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912" w:rsidRPr="004D75EC" w:rsidRDefault="007A0912" w:rsidP="007A0912">
      <w:pPr>
        <w:autoSpaceDE w:val="0"/>
        <w:autoSpaceDN w:val="0"/>
        <w:adjustRightInd w:val="0"/>
        <w:rPr>
          <w:rFonts w:ascii="Trebuchet MS" w:hAnsi="Trebuchet MS" w:cs="StoneSans-Bold"/>
          <w:b/>
          <w:bCs/>
          <w:sz w:val="60"/>
          <w:szCs w:val="60"/>
          <w:lang w:val="en-US"/>
        </w:rPr>
      </w:pPr>
      <w:r w:rsidRPr="000F6CE1">
        <w:rPr>
          <w:rFonts w:ascii="Trebuchet MS" w:hAnsi="Trebuchet MS" w:cs="StoneSans-Bold"/>
          <w:b/>
          <w:bCs/>
          <w:color w:val="4F81BD"/>
          <w:sz w:val="56"/>
          <w:szCs w:val="56"/>
          <w:lang w:val="en-US"/>
        </w:rPr>
        <w:t>Anti Money Laundering</w:t>
      </w:r>
      <w:r>
        <w:rPr>
          <w:rFonts w:ascii="Trebuchet MS" w:hAnsi="Trebuchet MS" w:cs="StoneSans-Bold"/>
          <w:b/>
          <w:bCs/>
          <w:sz w:val="56"/>
          <w:szCs w:val="56"/>
          <w:lang w:val="en-US"/>
        </w:rPr>
        <w:t xml:space="preserve">  </w:t>
      </w:r>
      <w:r>
        <w:rPr>
          <w:rFonts w:ascii="Trebuchet MS" w:hAnsi="Trebuchet MS" w:cs="StoneSans-Bold"/>
          <w:b/>
          <w:noProof/>
          <w:sz w:val="60"/>
          <w:szCs w:val="60"/>
        </w:rPr>
        <w:drawing>
          <wp:inline distT="0" distB="0" distL="0" distR="0">
            <wp:extent cx="1346200" cy="760730"/>
            <wp:effectExtent l="19050" t="0" r="6350" b="0"/>
            <wp:docPr id="1" name="Picture 1" descr="ciot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ot logo horizontal"/>
                    <pic:cNvPicPr>
                      <a:picLocks noChangeAspect="1" noChangeArrowheads="1"/>
                    </pic:cNvPicPr>
                  </pic:nvPicPr>
                  <pic:blipFill>
                    <a:blip r:embed="rId8" cstate="print"/>
                    <a:srcRect/>
                    <a:stretch>
                      <a:fillRect/>
                    </a:stretch>
                  </pic:blipFill>
                  <pic:spPr bwMode="auto">
                    <a:xfrm>
                      <a:off x="0" y="0"/>
                      <a:ext cx="1346200" cy="760730"/>
                    </a:xfrm>
                    <a:prstGeom prst="rect">
                      <a:avLst/>
                    </a:prstGeom>
                    <a:noFill/>
                    <a:ln w="9525">
                      <a:noFill/>
                      <a:miter lim="800000"/>
                      <a:headEnd/>
                      <a:tailEnd/>
                    </a:ln>
                  </pic:spPr>
                </pic:pic>
              </a:graphicData>
            </a:graphic>
          </wp:inline>
        </w:drawing>
      </w:r>
    </w:p>
    <w:p w:rsidR="007A0912" w:rsidRPr="000F6CE1" w:rsidRDefault="007A0912" w:rsidP="007A0912">
      <w:pPr>
        <w:autoSpaceDE w:val="0"/>
        <w:autoSpaceDN w:val="0"/>
        <w:adjustRightInd w:val="0"/>
        <w:rPr>
          <w:rFonts w:ascii="Trebuchet MS" w:hAnsi="Trebuchet MS" w:cs="StoneSans-Bold"/>
          <w:b/>
          <w:bCs/>
          <w:color w:val="4F81BD"/>
          <w:sz w:val="56"/>
          <w:szCs w:val="56"/>
          <w:lang w:val="en-US"/>
        </w:rPr>
      </w:pPr>
      <w:r>
        <w:rPr>
          <w:rFonts w:ascii="Trebuchet MS" w:hAnsi="Trebuchet MS" w:cs="StoneSans-Bold"/>
          <w:b/>
          <w:bCs/>
          <w:noProof/>
          <w:color w:val="4F81BD"/>
          <w:sz w:val="56"/>
          <w:szCs w:val="56"/>
        </w:rPr>
        <w:drawing>
          <wp:anchor distT="0" distB="0" distL="114300" distR="114300" simplePos="0" relativeHeight="251658240" behindDoc="0" locked="0" layoutInCell="1" allowOverlap="1">
            <wp:simplePos x="0" y="0"/>
            <wp:positionH relativeFrom="margin">
              <wp:posOffset>4443730</wp:posOffset>
            </wp:positionH>
            <wp:positionV relativeFrom="margin">
              <wp:posOffset>940435</wp:posOffset>
            </wp:positionV>
            <wp:extent cx="858520" cy="1155700"/>
            <wp:effectExtent l="19050" t="0" r="0" b="0"/>
            <wp:wrapSquare wrapText="bothSides"/>
            <wp:docPr id="6" name="Picture 2" descr="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 logo"/>
                    <pic:cNvPicPr>
                      <a:picLocks noChangeAspect="1" noChangeArrowheads="1"/>
                    </pic:cNvPicPr>
                  </pic:nvPicPr>
                  <pic:blipFill>
                    <a:blip r:embed="rId9" cstate="print"/>
                    <a:srcRect/>
                    <a:stretch>
                      <a:fillRect/>
                    </a:stretch>
                  </pic:blipFill>
                  <pic:spPr bwMode="auto">
                    <a:xfrm>
                      <a:off x="0" y="0"/>
                      <a:ext cx="858520" cy="1155700"/>
                    </a:xfrm>
                    <a:prstGeom prst="rect">
                      <a:avLst/>
                    </a:prstGeom>
                    <a:noFill/>
                  </pic:spPr>
                </pic:pic>
              </a:graphicData>
            </a:graphic>
          </wp:anchor>
        </w:drawing>
      </w:r>
      <w:r w:rsidRPr="000F6CE1">
        <w:rPr>
          <w:rFonts w:ascii="Trebuchet MS" w:hAnsi="Trebuchet MS" w:cs="StoneSans-Bold"/>
          <w:b/>
          <w:bCs/>
          <w:color w:val="4F81BD"/>
          <w:sz w:val="56"/>
          <w:szCs w:val="56"/>
          <w:lang w:val="en-US"/>
        </w:rPr>
        <w:t xml:space="preserve">Newsletter - </w:t>
      </w:r>
      <w:r w:rsidRPr="000F6CE1">
        <w:rPr>
          <w:rFonts w:ascii="Trebuchet MS" w:hAnsi="Trebuchet MS" w:cs="StoneSans"/>
          <w:b/>
          <w:color w:val="4F81BD"/>
          <w:sz w:val="56"/>
          <w:szCs w:val="56"/>
          <w:lang w:val="en-US"/>
        </w:rPr>
        <w:t xml:space="preserve">Issue </w:t>
      </w:r>
      <w:r w:rsidR="00D817FE">
        <w:rPr>
          <w:rFonts w:ascii="Trebuchet MS" w:hAnsi="Trebuchet MS" w:cs="StoneSans"/>
          <w:b/>
          <w:color w:val="4F81BD"/>
          <w:sz w:val="56"/>
          <w:szCs w:val="56"/>
          <w:lang w:val="en-US"/>
        </w:rPr>
        <w:t>T</w:t>
      </w:r>
      <w:r>
        <w:rPr>
          <w:rFonts w:ascii="Trebuchet MS" w:hAnsi="Trebuchet MS" w:cs="StoneSans"/>
          <w:b/>
          <w:color w:val="4F81BD"/>
          <w:sz w:val="56"/>
          <w:szCs w:val="56"/>
          <w:lang w:val="en-US"/>
        </w:rPr>
        <w:t>e</w:t>
      </w:r>
      <w:r w:rsidR="00D817FE">
        <w:rPr>
          <w:rFonts w:ascii="Trebuchet MS" w:hAnsi="Trebuchet MS" w:cs="StoneSans"/>
          <w:b/>
          <w:color w:val="4F81BD"/>
          <w:sz w:val="56"/>
          <w:szCs w:val="56"/>
          <w:lang w:val="en-US"/>
        </w:rPr>
        <w:t>n</w:t>
      </w:r>
    </w:p>
    <w:p w:rsidR="007A0912" w:rsidRDefault="007A0912" w:rsidP="007A0912">
      <w:pPr>
        <w:autoSpaceDE w:val="0"/>
        <w:autoSpaceDN w:val="0"/>
        <w:adjustRightInd w:val="0"/>
        <w:rPr>
          <w:rFonts w:ascii="Trebuchet MS" w:hAnsi="Trebuchet MS" w:cs="StoneSans"/>
          <w:color w:val="4F81BD"/>
          <w:sz w:val="48"/>
          <w:szCs w:val="48"/>
          <w:lang w:val="en-US"/>
        </w:rPr>
      </w:pPr>
    </w:p>
    <w:p w:rsidR="007A0912" w:rsidRPr="004D75EC" w:rsidRDefault="00D817FE" w:rsidP="007A0912">
      <w:pPr>
        <w:autoSpaceDE w:val="0"/>
        <w:autoSpaceDN w:val="0"/>
        <w:adjustRightInd w:val="0"/>
        <w:rPr>
          <w:rFonts w:ascii="Trebuchet MS" w:hAnsi="Trebuchet MS" w:cs="StoneSans-Bold"/>
          <w:sz w:val="56"/>
          <w:szCs w:val="56"/>
          <w:lang w:val="en-US"/>
        </w:rPr>
      </w:pPr>
      <w:r>
        <w:rPr>
          <w:rFonts w:ascii="Trebuchet MS" w:hAnsi="Trebuchet MS" w:cs="StoneSans"/>
          <w:color w:val="4F81BD"/>
          <w:sz w:val="48"/>
          <w:szCs w:val="48"/>
          <w:lang w:val="en-US"/>
        </w:rPr>
        <w:t>July</w:t>
      </w:r>
      <w:r w:rsidR="007A0912" w:rsidRPr="00E4687B">
        <w:rPr>
          <w:rFonts w:ascii="Trebuchet MS" w:hAnsi="Trebuchet MS" w:cs="StoneSans"/>
          <w:color w:val="4F81BD"/>
          <w:sz w:val="48"/>
          <w:szCs w:val="48"/>
          <w:lang w:val="en-US"/>
        </w:rPr>
        <w:t xml:space="preserve"> 20</w:t>
      </w:r>
      <w:r w:rsidR="007A0912">
        <w:rPr>
          <w:rFonts w:ascii="Trebuchet MS" w:hAnsi="Trebuchet MS" w:cs="StoneSans"/>
          <w:color w:val="4F81BD"/>
          <w:sz w:val="48"/>
          <w:szCs w:val="48"/>
          <w:lang w:val="en-US"/>
        </w:rPr>
        <w:t>12</w:t>
      </w:r>
      <w:r w:rsidR="007A0912" w:rsidRPr="000F6CE1">
        <w:rPr>
          <w:rFonts w:ascii="Trebuchet MS" w:hAnsi="Trebuchet MS" w:cs="StoneSans"/>
          <w:color w:val="4F81BD"/>
          <w:sz w:val="56"/>
          <w:szCs w:val="56"/>
          <w:lang w:val="en-US"/>
        </w:rPr>
        <w:tab/>
      </w:r>
      <w:r w:rsidR="007A0912">
        <w:rPr>
          <w:rFonts w:ascii="Trebuchet MS" w:hAnsi="Trebuchet MS" w:cs="StoneSans"/>
          <w:color w:val="4F81BD"/>
          <w:sz w:val="56"/>
          <w:szCs w:val="56"/>
          <w:lang w:val="en-US"/>
        </w:rPr>
        <w:t xml:space="preserve">   </w:t>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r w:rsidR="007A0912">
        <w:rPr>
          <w:rFonts w:ascii="Trebuchet MS" w:hAnsi="Trebuchet MS" w:cs="StoneSans"/>
          <w:sz w:val="56"/>
          <w:szCs w:val="56"/>
          <w:lang w:val="en-US"/>
        </w:rPr>
        <w:tab/>
      </w:r>
    </w:p>
    <w:p w:rsidR="007A0912" w:rsidRDefault="007A0912" w:rsidP="007A0912">
      <w:pPr>
        <w:autoSpaceDE w:val="0"/>
        <w:autoSpaceDN w:val="0"/>
        <w:adjustRightInd w:val="0"/>
        <w:rPr>
          <w:rFonts w:ascii="Trebuchet MS" w:hAnsi="Trebuchet MS" w:cs="Humanist777BT-BoldB"/>
          <w:b/>
          <w:bCs/>
          <w:sz w:val="32"/>
          <w:szCs w:val="32"/>
          <w:lang w:val="en-US"/>
        </w:rPr>
      </w:pPr>
    </w:p>
    <w:p w:rsidR="00234331" w:rsidRDefault="00234331" w:rsidP="007A0912">
      <w:pPr>
        <w:autoSpaceDE w:val="0"/>
        <w:autoSpaceDN w:val="0"/>
        <w:adjustRightInd w:val="0"/>
        <w:rPr>
          <w:rFonts w:ascii="Trebuchet MS" w:hAnsi="Trebuchet MS" w:cs="Humanist777BT-BoldB"/>
          <w:b/>
          <w:bCs/>
          <w:color w:val="4F81BD"/>
          <w:sz w:val="30"/>
          <w:szCs w:val="30"/>
          <w:lang w:val="en-US"/>
        </w:rPr>
      </w:pPr>
    </w:p>
    <w:p w:rsidR="00D817FE" w:rsidRDefault="00D817FE" w:rsidP="00D817FE">
      <w:pPr>
        <w:autoSpaceDE w:val="0"/>
        <w:autoSpaceDN w:val="0"/>
        <w:adjustRightInd w:val="0"/>
        <w:rPr>
          <w:rFonts w:ascii="Trebuchet MS" w:hAnsi="Trebuchet MS" w:cs="Humanist777BT-BoldB"/>
          <w:b/>
          <w:bCs/>
          <w:color w:val="4F81BD"/>
          <w:sz w:val="30"/>
          <w:szCs w:val="30"/>
          <w:lang w:val="en-US"/>
        </w:rPr>
      </w:pPr>
      <w:r>
        <w:rPr>
          <w:rFonts w:ascii="Trebuchet MS" w:hAnsi="Trebuchet MS" w:cs="Humanist777BT-BoldB"/>
          <w:b/>
          <w:bCs/>
          <w:color w:val="4F81BD"/>
          <w:sz w:val="30"/>
          <w:szCs w:val="30"/>
          <w:lang w:val="en-US"/>
        </w:rPr>
        <w:t xml:space="preserve">Changes to </w:t>
      </w:r>
      <w:r w:rsidR="007A0912" w:rsidRPr="00671923">
        <w:rPr>
          <w:rFonts w:ascii="Trebuchet MS" w:hAnsi="Trebuchet MS" w:cs="Humanist777BT-BoldB"/>
          <w:b/>
          <w:bCs/>
          <w:color w:val="4F81BD"/>
          <w:sz w:val="30"/>
          <w:szCs w:val="30"/>
          <w:lang w:val="en-US"/>
        </w:rPr>
        <w:t xml:space="preserve">the Money Laundering Regulations 2007 </w:t>
      </w:r>
      <w:r>
        <w:rPr>
          <w:rFonts w:ascii="Trebuchet MS" w:hAnsi="Trebuchet MS" w:cs="Humanist777BT-BoldB"/>
          <w:b/>
          <w:bCs/>
          <w:color w:val="4F81BD"/>
          <w:sz w:val="30"/>
          <w:szCs w:val="30"/>
          <w:lang w:val="en-US"/>
        </w:rPr>
        <w:t>- HMT response to consultation</w:t>
      </w:r>
    </w:p>
    <w:p w:rsidR="00D817FE" w:rsidRPr="00EA28EB" w:rsidRDefault="00D817FE" w:rsidP="00D817FE">
      <w:pPr>
        <w:autoSpaceDE w:val="0"/>
        <w:autoSpaceDN w:val="0"/>
        <w:adjustRightInd w:val="0"/>
        <w:rPr>
          <w:rFonts w:ascii="Trebuchet MS" w:hAnsi="Trebuchet MS" w:cs="Arial"/>
        </w:rPr>
      </w:pPr>
      <w:r w:rsidRPr="00D817FE">
        <w:rPr>
          <w:rFonts w:ascii="Trebuchet MS" w:hAnsi="Trebuchet MS" w:cs="Arial"/>
        </w:rPr>
        <w:t>After a fairly lengthy consultation process, HMT has published a response to its consultation on changes to the Money Laundering Regulations 2007 (“MLR”) and an impact assessment of the proposed changes</w:t>
      </w:r>
      <w:r w:rsidR="00611632">
        <w:rPr>
          <w:rFonts w:ascii="Trebuchet MS" w:hAnsi="Trebuchet MS" w:cs="Arial"/>
        </w:rPr>
        <w:t xml:space="preserve"> (</w:t>
      </w:r>
      <w:hyperlink r:id="rId10" w:history="1">
        <w:r w:rsidR="00EA28EB" w:rsidRPr="00EA28EB">
          <w:rPr>
            <w:rStyle w:val="Hyperlink"/>
            <w:rFonts w:ascii="Trebuchet MS" w:hAnsi="Trebuchet MS" w:cs="Arial"/>
          </w:rPr>
          <w:t>http://www.hm-treasury.gov.uk/fin_review_laundering_regs.htm</w:t>
        </w:r>
      </w:hyperlink>
      <w:r w:rsidR="00EA28EB">
        <w:rPr>
          <w:rFonts w:ascii="Trebuchet MS" w:hAnsi="Trebuchet MS" w:cs="Arial"/>
        </w:rPr>
        <w:t xml:space="preserve">). </w:t>
      </w:r>
      <w:r w:rsidRPr="00D817FE">
        <w:rPr>
          <w:rFonts w:ascii="Trebuchet MS" w:hAnsi="Trebuchet MS" w:cs="Arial"/>
        </w:rPr>
        <w:t>The consultation follows a post-implementation review of the MLR which was undertaken in 2009-10.  HMT’s draft amendments to the MLR are proposed to tak</w:t>
      </w:r>
      <w:r>
        <w:rPr>
          <w:rFonts w:ascii="Trebuchet MS" w:hAnsi="Trebuchet MS" w:cs="Arial"/>
        </w:rPr>
        <w:t>e effect from 1 October 2012 and t</w:t>
      </w:r>
      <w:r w:rsidRPr="00D817FE">
        <w:rPr>
          <w:rFonts w:ascii="Trebuchet MS" w:hAnsi="Trebuchet MS" w:cs="Arial"/>
        </w:rPr>
        <w:t>hey hope that the changes will reduce the regulatory burden imposed by the current MLR, making them more effective and proportionate, whilst strengthening the overall anti-money laundering regime. </w:t>
      </w:r>
    </w:p>
    <w:p w:rsidR="00D817FE" w:rsidRPr="00D817FE" w:rsidRDefault="00D817FE" w:rsidP="00D817FE">
      <w:pPr>
        <w:shd w:val="clear" w:color="auto" w:fill="FFFFFF"/>
        <w:spacing w:before="240" w:after="225" w:line="240" w:lineRule="atLeast"/>
        <w:textAlignment w:val="baseline"/>
        <w:rPr>
          <w:rFonts w:ascii="Trebuchet MS" w:hAnsi="Trebuchet MS" w:cs="Arial"/>
        </w:rPr>
      </w:pPr>
      <w:r w:rsidRPr="00D817FE">
        <w:rPr>
          <w:rFonts w:ascii="Trebuchet MS" w:hAnsi="Trebuchet MS" w:cs="Arial"/>
        </w:rPr>
        <w:t>However, this is only stage 1 as these changes are separate from the revisions to the MLR which are expected to occur following the current EU review of the Third Money Laundering Directive (“Third Directive”) and the Financial Action Task Force’s (“FATF”) publication of its Recommendations earlier this year.  It is anticipated that this will lead to new EU legislation later on in 2012 which will inevitably result in further amendments to the MLR.</w:t>
      </w:r>
    </w:p>
    <w:p w:rsidR="00D817FE" w:rsidRPr="00D817FE" w:rsidRDefault="00D817FE" w:rsidP="00D817FE">
      <w:pPr>
        <w:shd w:val="clear" w:color="auto" w:fill="FFFFFF"/>
        <w:spacing w:after="225" w:line="240" w:lineRule="atLeast"/>
        <w:textAlignment w:val="baseline"/>
        <w:rPr>
          <w:rFonts w:ascii="Trebuchet MS" w:hAnsi="Trebuchet MS" w:cs="Arial"/>
        </w:rPr>
      </w:pPr>
      <w:r w:rsidRPr="00D817FE">
        <w:rPr>
          <w:rFonts w:ascii="Trebuchet MS" w:hAnsi="Trebuchet MS" w:cs="Arial"/>
        </w:rPr>
        <w:t xml:space="preserve">For now, the proposed changes include some of the requests we made in our response to the consultation in </w:t>
      </w:r>
      <w:r>
        <w:rPr>
          <w:rFonts w:ascii="Trebuchet MS" w:hAnsi="Trebuchet MS" w:cs="Arial"/>
        </w:rPr>
        <w:t>August 2011</w:t>
      </w:r>
      <w:r w:rsidRPr="00D817FE">
        <w:rPr>
          <w:rFonts w:ascii="Trebuchet MS" w:hAnsi="Trebuchet MS" w:cs="Arial"/>
        </w:rPr>
        <w:t xml:space="preserve">, specifically in connection with 'reliance' under Regulation 17 of the MLR.  Going forward, it will be possible to rely on customer due diligence carried out by any firm which is supervised by any Supervisory Body listed in </w:t>
      </w:r>
      <w:r w:rsidRPr="00D817FE">
        <w:rPr>
          <w:rFonts w:ascii="Trebuchet MS" w:hAnsi="Trebuchet MS" w:cs="Arial"/>
          <w:b/>
        </w:rPr>
        <w:t>either</w:t>
      </w:r>
      <w:r>
        <w:rPr>
          <w:rFonts w:ascii="Trebuchet MS" w:hAnsi="Trebuchet MS" w:cs="Arial"/>
        </w:rPr>
        <w:t xml:space="preserve"> Part 1 or 2 of </w:t>
      </w:r>
      <w:r w:rsidRPr="00D817FE">
        <w:rPr>
          <w:rFonts w:ascii="Trebuchet MS" w:hAnsi="Trebuchet MS" w:cs="Arial"/>
        </w:rPr>
        <w:t xml:space="preserve">Schedule 3 to the </w:t>
      </w:r>
      <w:r>
        <w:rPr>
          <w:rFonts w:ascii="Trebuchet MS" w:hAnsi="Trebuchet MS" w:cs="Arial"/>
        </w:rPr>
        <w:t>MLR</w:t>
      </w:r>
      <w:r w:rsidRPr="00D817FE">
        <w:rPr>
          <w:rFonts w:ascii="Trebuchet MS" w:hAnsi="Trebuchet MS" w:cs="Arial"/>
        </w:rPr>
        <w:t xml:space="preserve">.  Previously, you could only rely on firms supervised by Supervisory Bodies listed in </w:t>
      </w:r>
      <w:r w:rsidRPr="00D817FE">
        <w:rPr>
          <w:rStyle w:val="Strong"/>
          <w:rFonts w:ascii="Trebuchet MS" w:hAnsi="Trebuchet MS" w:cs="Arial"/>
        </w:rPr>
        <w:t>Part 1</w:t>
      </w:r>
      <w:r w:rsidRPr="00D817FE">
        <w:rPr>
          <w:rFonts w:ascii="Trebuchet MS" w:hAnsi="Trebuchet MS" w:cs="Arial"/>
        </w:rPr>
        <w:t xml:space="preserve"> of Schedule 3 whereas CIOT and ATT are listed in </w:t>
      </w:r>
      <w:r w:rsidRPr="00D817FE">
        <w:rPr>
          <w:rFonts w:ascii="Trebuchet MS" w:hAnsi="Trebuchet MS" w:cs="Arial"/>
          <w:b/>
        </w:rPr>
        <w:t>Part 2</w:t>
      </w:r>
      <w:r w:rsidRPr="00D817FE">
        <w:rPr>
          <w:rFonts w:ascii="Trebuchet MS" w:hAnsi="Trebuchet MS" w:cs="Arial"/>
        </w:rPr>
        <w:t>.</w:t>
      </w:r>
    </w:p>
    <w:p w:rsidR="00D817FE" w:rsidRPr="00D817FE" w:rsidRDefault="00D817FE" w:rsidP="00D817FE">
      <w:pPr>
        <w:pStyle w:val="NormalWeb"/>
        <w:shd w:val="clear" w:color="auto" w:fill="FFFFFF"/>
        <w:rPr>
          <w:rFonts w:ascii="Trebuchet MS" w:hAnsi="Trebuchet MS" w:cs="Arial"/>
          <w:sz w:val="22"/>
          <w:szCs w:val="22"/>
        </w:rPr>
      </w:pPr>
      <w:r w:rsidRPr="00D817FE">
        <w:rPr>
          <w:rFonts w:ascii="Trebuchet MS" w:hAnsi="Trebuchet MS" w:cs="Arial"/>
          <w:sz w:val="22"/>
          <w:szCs w:val="22"/>
        </w:rPr>
        <w:t xml:space="preserve">There are also changes affecting supervisory bodies, for example, </w:t>
      </w:r>
      <w:r w:rsidR="003C63A2">
        <w:rPr>
          <w:rFonts w:ascii="Trebuchet MS" w:hAnsi="Trebuchet MS" w:cs="Arial"/>
          <w:sz w:val="22"/>
          <w:szCs w:val="22"/>
        </w:rPr>
        <w:t xml:space="preserve">clarifying the position regarding the exchange of </w:t>
      </w:r>
      <w:r w:rsidRPr="00D817FE">
        <w:rPr>
          <w:rFonts w:ascii="Trebuchet MS" w:hAnsi="Trebuchet MS" w:cs="Arial"/>
          <w:sz w:val="22"/>
          <w:szCs w:val="22"/>
        </w:rPr>
        <w:t xml:space="preserve">relevant information between </w:t>
      </w:r>
      <w:r w:rsidR="003C63A2">
        <w:rPr>
          <w:rFonts w:ascii="Trebuchet MS" w:hAnsi="Trebuchet MS" w:cs="Arial"/>
          <w:sz w:val="22"/>
          <w:szCs w:val="22"/>
        </w:rPr>
        <w:t xml:space="preserve">the </w:t>
      </w:r>
      <w:r w:rsidR="003C63A2" w:rsidRPr="00D817FE">
        <w:rPr>
          <w:rFonts w:ascii="Trebuchet MS" w:hAnsi="Trebuchet MS" w:cs="Arial"/>
          <w:sz w:val="22"/>
          <w:szCs w:val="22"/>
        </w:rPr>
        <w:t>supervisory bodies</w:t>
      </w:r>
      <w:r w:rsidRPr="00D817FE">
        <w:rPr>
          <w:rFonts w:ascii="Trebuchet MS" w:hAnsi="Trebuchet MS" w:cs="Arial"/>
          <w:sz w:val="22"/>
          <w:szCs w:val="22"/>
        </w:rPr>
        <w:t>.</w:t>
      </w:r>
    </w:p>
    <w:p w:rsidR="00D817FE" w:rsidRPr="00D817FE" w:rsidRDefault="00D817FE" w:rsidP="00D817FE">
      <w:pPr>
        <w:pStyle w:val="NormalWeb"/>
        <w:shd w:val="clear" w:color="auto" w:fill="FFFFFF"/>
        <w:rPr>
          <w:rFonts w:ascii="Trebuchet MS" w:hAnsi="Trebuchet MS" w:cs="Arial"/>
          <w:sz w:val="22"/>
          <w:szCs w:val="22"/>
        </w:rPr>
      </w:pPr>
      <w:r w:rsidRPr="00D817FE">
        <w:rPr>
          <w:rFonts w:ascii="Trebuchet MS" w:hAnsi="Trebuchet MS" w:cs="Arial"/>
          <w:sz w:val="22"/>
          <w:szCs w:val="22"/>
        </w:rPr>
        <w:t>What HMT has decided not to progress is a de minimis exclusion</w:t>
      </w:r>
      <w:r>
        <w:rPr>
          <w:rFonts w:ascii="Trebuchet MS" w:hAnsi="Trebuchet MS" w:cs="Arial"/>
          <w:sz w:val="22"/>
          <w:szCs w:val="22"/>
        </w:rPr>
        <w:t xml:space="preserve"> </w:t>
      </w:r>
      <w:r w:rsidRPr="00D817FE">
        <w:rPr>
          <w:rFonts w:ascii="Trebuchet MS" w:hAnsi="Trebuchet MS" w:cs="Arial"/>
          <w:sz w:val="22"/>
          <w:szCs w:val="22"/>
        </w:rPr>
        <w:t>from the obligation to comply with the MLR</w:t>
      </w:r>
      <w:r>
        <w:rPr>
          <w:rFonts w:ascii="Trebuchet MS" w:hAnsi="Trebuchet MS" w:cs="Arial"/>
          <w:sz w:val="22"/>
          <w:szCs w:val="22"/>
        </w:rPr>
        <w:t xml:space="preserve"> for</w:t>
      </w:r>
      <w:r w:rsidRPr="00D817FE">
        <w:rPr>
          <w:rFonts w:ascii="Trebuchet MS" w:hAnsi="Trebuchet MS" w:cs="Arial"/>
          <w:sz w:val="22"/>
          <w:szCs w:val="22"/>
        </w:rPr>
        <w:t xml:space="preserve"> small businesses with a very low turnover</w:t>
      </w:r>
      <w:r w:rsidR="003C63A2">
        <w:rPr>
          <w:rFonts w:ascii="Trebuchet MS" w:hAnsi="Trebuchet MS" w:cs="Arial"/>
          <w:sz w:val="22"/>
          <w:szCs w:val="22"/>
        </w:rPr>
        <w:t xml:space="preserve"> as they felt without supervisory scrutiny, such businesses could become conduits for illicit activity</w:t>
      </w:r>
      <w:r w:rsidRPr="00D817FE">
        <w:rPr>
          <w:rFonts w:ascii="Trebuchet MS" w:hAnsi="Trebuchet MS" w:cs="Arial"/>
          <w:sz w:val="22"/>
          <w:szCs w:val="22"/>
        </w:rPr>
        <w:t>.  Also, HMT has decided not to remove the criminal penalties for breaches of the MLR, leaving only a civil penalty regime, as Supervisory Bodies in their responses to the consultation had stated that they found the criminal penalties a useful enforcement tool for compliance with the MLR.</w:t>
      </w:r>
    </w:p>
    <w:p w:rsidR="00D817FE" w:rsidRPr="00D817FE" w:rsidRDefault="00D817FE" w:rsidP="00D817FE">
      <w:pPr>
        <w:pStyle w:val="NormalWeb"/>
        <w:shd w:val="clear" w:color="auto" w:fill="FFFFFF"/>
        <w:rPr>
          <w:rFonts w:ascii="Trebuchet MS" w:hAnsi="Trebuchet MS" w:cs="Arial"/>
          <w:sz w:val="22"/>
          <w:szCs w:val="22"/>
        </w:rPr>
      </w:pPr>
      <w:r w:rsidRPr="00D817FE">
        <w:rPr>
          <w:rFonts w:ascii="Trebuchet MS" w:hAnsi="Trebuchet MS" w:cs="Arial"/>
          <w:sz w:val="22"/>
          <w:szCs w:val="22"/>
        </w:rPr>
        <w:t xml:space="preserve">Other issues have been postponed until the EU review is finalised, such as amending the definition of </w:t>
      </w:r>
      <w:r>
        <w:rPr>
          <w:rFonts w:ascii="Trebuchet MS" w:hAnsi="Trebuchet MS" w:cs="Arial"/>
          <w:sz w:val="22"/>
          <w:szCs w:val="22"/>
        </w:rPr>
        <w:t>'</w:t>
      </w:r>
      <w:r w:rsidRPr="00D817FE">
        <w:rPr>
          <w:rFonts w:ascii="Trebuchet MS" w:hAnsi="Trebuchet MS" w:cs="Arial"/>
          <w:sz w:val="22"/>
          <w:szCs w:val="22"/>
        </w:rPr>
        <w:t>Politically Exposed Persons</w:t>
      </w:r>
      <w:r>
        <w:rPr>
          <w:rFonts w:ascii="Trebuchet MS" w:hAnsi="Trebuchet MS" w:cs="Arial"/>
          <w:sz w:val="22"/>
          <w:szCs w:val="22"/>
        </w:rPr>
        <w:t>'</w:t>
      </w:r>
      <w:r w:rsidRPr="00D817FE">
        <w:rPr>
          <w:rFonts w:ascii="Trebuchet MS" w:hAnsi="Trebuchet MS" w:cs="Arial"/>
          <w:sz w:val="22"/>
          <w:szCs w:val="22"/>
        </w:rPr>
        <w:t xml:space="preserve"> and introducing a requirement to keep identity records of beneficial owners as well as those relating to clients.</w:t>
      </w:r>
    </w:p>
    <w:p w:rsidR="00EB128D" w:rsidRPr="00D817FE" w:rsidRDefault="00D817FE" w:rsidP="00D817FE">
      <w:pPr>
        <w:pStyle w:val="NormalWeb"/>
        <w:shd w:val="clear" w:color="auto" w:fill="FFFFFF"/>
        <w:rPr>
          <w:rFonts w:ascii="Trebuchet MS" w:hAnsi="Trebuchet MS" w:cs="Arial"/>
          <w:sz w:val="22"/>
          <w:szCs w:val="22"/>
        </w:rPr>
      </w:pPr>
      <w:r w:rsidRPr="00D817FE">
        <w:rPr>
          <w:rFonts w:ascii="Trebuchet MS" w:hAnsi="Trebuchet MS" w:cs="Arial"/>
          <w:sz w:val="22"/>
          <w:szCs w:val="22"/>
        </w:rPr>
        <w:t xml:space="preserve">In conclusion, these current changes may not necessarily ease the burdens of the MLR </w:t>
      </w:r>
      <w:r>
        <w:rPr>
          <w:rFonts w:ascii="Trebuchet MS" w:hAnsi="Trebuchet MS" w:cs="Arial"/>
          <w:sz w:val="22"/>
          <w:szCs w:val="22"/>
        </w:rPr>
        <w:t xml:space="preserve">for tax advisers </w:t>
      </w:r>
      <w:r w:rsidRPr="00D817FE">
        <w:rPr>
          <w:rFonts w:ascii="Trebuchet MS" w:hAnsi="Trebuchet MS" w:cs="Arial"/>
          <w:sz w:val="22"/>
          <w:szCs w:val="22"/>
        </w:rPr>
        <w:t xml:space="preserve">but on a positive note, they do not make matters worse.  Any further changes </w:t>
      </w:r>
      <w:r w:rsidRPr="00D817FE">
        <w:rPr>
          <w:rFonts w:ascii="Trebuchet MS" w:hAnsi="Trebuchet MS" w:cs="Arial"/>
          <w:sz w:val="22"/>
          <w:szCs w:val="22"/>
        </w:rPr>
        <w:lastRenderedPageBreak/>
        <w:t xml:space="preserve">to the MLR following the EU review are not expected to fundamentally change </w:t>
      </w:r>
      <w:r>
        <w:rPr>
          <w:rFonts w:ascii="Trebuchet MS" w:hAnsi="Trebuchet MS" w:cs="Arial"/>
          <w:sz w:val="22"/>
          <w:szCs w:val="22"/>
        </w:rPr>
        <w:t>the UK AML framework</w:t>
      </w:r>
      <w:r w:rsidRPr="00D817FE">
        <w:rPr>
          <w:rFonts w:ascii="Trebuchet MS" w:hAnsi="Trebuchet MS" w:cs="Arial"/>
          <w:sz w:val="22"/>
          <w:szCs w:val="22"/>
        </w:rPr>
        <w:t xml:space="preserve"> but we will keep you updated as and when they arise.</w:t>
      </w:r>
      <w:r w:rsidR="00EB128D" w:rsidRPr="00EB128D">
        <w:rPr>
          <w:rFonts w:ascii="Trebuchet MS" w:hAnsi="Trebuchet MS" w:cs="Arial"/>
          <w:color w:val="333333"/>
        </w:rPr>
        <w:t xml:space="preserve"> </w:t>
      </w:r>
    </w:p>
    <w:p w:rsidR="00DD2518" w:rsidRDefault="00DD2518" w:rsidP="00DD2518">
      <w:pPr>
        <w:autoSpaceDE w:val="0"/>
        <w:autoSpaceDN w:val="0"/>
        <w:adjustRightInd w:val="0"/>
        <w:rPr>
          <w:rFonts w:ascii="Trebuchet MS" w:hAnsi="Trebuchet MS" w:cs="Humanist777BT-BoldB"/>
          <w:b/>
          <w:bCs/>
          <w:color w:val="4F81BD"/>
          <w:sz w:val="30"/>
          <w:szCs w:val="30"/>
          <w:lang w:val="en-US"/>
        </w:rPr>
      </w:pPr>
      <w:r>
        <w:rPr>
          <w:rFonts w:ascii="Trebuchet MS" w:hAnsi="Trebuchet MS" w:cs="Humanist777BT-BoldB"/>
          <w:b/>
          <w:bCs/>
          <w:color w:val="4F81BD"/>
          <w:sz w:val="30"/>
          <w:szCs w:val="30"/>
          <w:lang w:val="en-US"/>
        </w:rPr>
        <w:t>London 2012 and AML threats</w:t>
      </w:r>
    </w:p>
    <w:p w:rsidR="00611632" w:rsidRPr="00EA28EB" w:rsidRDefault="00611632" w:rsidP="00EA28EB">
      <w:pPr>
        <w:rPr>
          <w:rFonts w:ascii="Trebuchet MS" w:hAnsi="Trebuchet MS" w:cs="Arial"/>
          <w:lang w:eastAsia="en-US"/>
        </w:rPr>
      </w:pPr>
      <w:r w:rsidRPr="00EA28EB">
        <w:rPr>
          <w:rFonts w:ascii="Trebuchet MS" w:hAnsi="Trebuchet MS"/>
          <w:shd w:val="clear" w:color="auto" w:fill="FFFFFF"/>
        </w:rPr>
        <w:t xml:space="preserve">We reported in our last Newsletter that as </w:t>
      </w:r>
      <w:r w:rsidR="00EB128D" w:rsidRPr="00EA28EB">
        <w:rPr>
          <w:rFonts w:ascii="Trebuchet MS" w:hAnsi="Trebuchet MS"/>
          <w:shd w:val="clear" w:color="auto" w:fill="FFFFFF"/>
        </w:rPr>
        <w:t xml:space="preserve">a number of </w:t>
      </w:r>
      <w:r w:rsidR="00DD2518" w:rsidRPr="00EA28EB">
        <w:rPr>
          <w:rFonts w:ascii="Trebuchet MS" w:hAnsi="Trebuchet MS" w:cs="Arial"/>
          <w:lang w:eastAsia="en-US"/>
        </w:rPr>
        <w:t>Suspicious Activity Reports</w:t>
      </w:r>
      <w:r w:rsidR="00DD2518" w:rsidRPr="00EA28EB">
        <w:rPr>
          <w:rFonts w:ascii="Trebuchet MS" w:hAnsi="Trebuchet MS"/>
          <w:shd w:val="clear" w:color="auto" w:fill="FFFFFF"/>
        </w:rPr>
        <w:t xml:space="preserve"> </w:t>
      </w:r>
      <w:r w:rsidR="00DD2518" w:rsidRPr="00EA28EB">
        <w:rPr>
          <w:rFonts w:ascii="Trebuchet MS" w:hAnsi="Trebuchet MS" w:cs="Arial"/>
          <w:lang w:eastAsia="en-US"/>
        </w:rPr>
        <w:t xml:space="preserve">(SARs) </w:t>
      </w:r>
      <w:r w:rsidR="00EB128D" w:rsidRPr="00EA28EB">
        <w:rPr>
          <w:rFonts w:ascii="Trebuchet MS" w:hAnsi="Trebuchet MS"/>
          <w:shd w:val="clear" w:color="auto" w:fill="FFFFFF"/>
        </w:rPr>
        <w:t xml:space="preserve">made to SOCA are </w:t>
      </w:r>
      <w:r w:rsidR="004A42EC" w:rsidRPr="00EA28EB">
        <w:rPr>
          <w:rFonts w:ascii="Trebuchet MS" w:hAnsi="Trebuchet MS"/>
          <w:shd w:val="clear" w:color="auto" w:fill="FFFFFF"/>
        </w:rPr>
        <w:t>Olympics</w:t>
      </w:r>
      <w:r w:rsidR="00EB128D" w:rsidRPr="00EA28EB">
        <w:rPr>
          <w:rFonts w:ascii="Trebuchet MS" w:hAnsi="Trebuchet MS"/>
          <w:shd w:val="clear" w:color="auto" w:fill="FFFFFF"/>
        </w:rPr>
        <w:t xml:space="preserve"> related</w:t>
      </w:r>
      <w:r w:rsidRPr="00EA28EB">
        <w:rPr>
          <w:rFonts w:ascii="Trebuchet MS" w:hAnsi="Trebuchet MS"/>
          <w:shd w:val="clear" w:color="auto" w:fill="FFFFFF"/>
        </w:rPr>
        <w:t>, they created a</w:t>
      </w:r>
      <w:r w:rsidR="00E26264" w:rsidRPr="00EA28EB">
        <w:rPr>
          <w:rFonts w:ascii="Trebuchet MS" w:hAnsi="Trebuchet MS" w:cs="Arial"/>
          <w:lang w:eastAsia="en-US"/>
        </w:rPr>
        <w:t xml:space="preserve"> </w:t>
      </w:r>
      <w:r w:rsidR="003D4E3E" w:rsidRPr="00EA28EB">
        <w:rPr>
          <w:rFonts w:ascii="Trebuchet MS" w:hAnsi="Trebuchet MS" w:cs="Arial"/>
          <w:lang w:eastAsia="en-US"/>
        </w:rPr>
        <w:t xml:space="preserve">specific </w:t>
      </w:r>
      <w:r w:rsidRPr="00EA28EB">
        <w:rPr>
          <w:rFonts w:ascii="Trebuchet MS" w:hAnsi="Trebuchet MS" w:cs="Arial"/>
          <w:lang w:eastAsia="en-US"/>
        </w:rPr>
        <w:t xml:space="preserve">Olympic </w:t>
      </w:r>
      <w:r w:rsidR="00E26264" w:rsidRPr="00EA28EB">
        <w:rPr>
          <w:rFonts w:ascii="Trebuchet MS" w:hAnsi="Trebuchet MS" w:cs="Arial"/>
          <w:lang w:eastAsia="en-US"/>
        </w:rPr>
        <w:t>Glossary Term and Prefix</w:t>
      </w:r>
      <w:r w:rsidRPr="00EA28EB">
        <w:rPr>
          <w:rFonts w:ascii="Trebuchet MS" w:hAnsi="Trebuchet MS" w:cs="Arial"/>
          <w:lang w:eastAsia="en-US"/>
        </w:rPr>
        <w:t>.  However, following feedback from industry professionals on the potential for inaccuracy of SAR</w:t>
      </w:r>
      <w:r w:rsidR="00EA28EB" w:rsidRPr="00EA28EB">
        <w:rPr>
          <w:rFonts w:ascii="Trebuchet MS" w:hAnsi="Trebuchet MS" w:cs="Arial"/>
          <w:lang w:eastAsia="en-US"/>
        </w:rPr>
        <w:t xml:space="preserve"> </w:t>
      </w:r>
      <w:r w:rsidRPr="00EA28EB">
        <w:rPr>
          <w:rFonts w:ascii="Trebuchet MS" w:hAnsi="Trebuchet MS" w:cs="Arial"/>
          <w:lang w:eastAsia="en-US"/>
        </w:rPr>
        <w:t>Glossary Terms including an alpha zero or numeric zero, it has been agreed that the recent</w:t>
      </w:r>
      <w:r w:rsidR="00EA28EB" w:rsidRPr="00EA28EB">
        <w:rPr>
          <w:rFonts w:ascii="Trebuchet MS" w:hAnsi="Trebuchet MS" w:cs="Arial"/>
          <w:lang w:eastAsia="en-US"/>
        </w:rPr>
        <w:t xml:space="preserve"> </w:t>
      </w:r>
      <w:r w:rsidRPr="00EA28EB">
        <w:rPr>
          <w:rFonts w:ascii="Trebuchet MS" w:hAnsi="Trebuchet MS" w:cs="Arial"/>
          <w:lang w:eastAsia="en-US"/>
        </w:rPr>
        <w:t xml:space="preserve">new SAR Glossary Term for the London 2012 Olympic and Paralympic Games be changed from </w:t>
      </w:r>
      <w:r w:rsidRPr="00EA28EB">
        <w:rPr>
          <w:rFonts w:ascii="Trebuchet MS" w:hAnsi="Trebuchet MS" w:cs="Arial,Bold"/>
          <w:b/>
          <w:bCs/>
          <w:color w:val="000000"/>
          <w:lang w:eastAsia="en-US"/>
        </w:rPr>
        <w:t>XXLO2012XX.</w:t>
      </w:r>
    </w:p>
    <w:p w:rsidR="00611632" w:rsidRPr="00EA28EB" w:rsidRDefault="00611632" w:rsidP="00611632">
      <w:pPr>
        <w:autoSpaceDE w:val="0"/>
        <w:autoSpaceDN w:val="0"/>
        <w:adjustRightInd w:val="0"/>
        <w:rPr>
          <w:rFonts w:ascii="Trebuchet MS" w:hAnsi="Trebuchet MS" w:cs="Arial"/>
          <w:lang w:eastAsia="en-US"/>
        </w:rPr>
      </w:pPr>
    </w:p>
    <w:p w:rsidR="00611632" w:rsidRPr="00EA28EB" w:rsidRDefault="00611632" w:rsidP="00611632">
      <w:pPr>
        <w:autoSpaceDE w:val="0"/>
        <w:autoSpaceDN w:val="0"/>
        <w:adjustRightInd w:val="0"/>
        <w:rPr>
          <w:rFonts w:ascii="Trebuchet MS" w:hAnsi="Trebuchet MS" w:cs="Arial"/>
          <w:lang w:eastAsia="en-US"/>
        </w:rPr>
      </w:pPr>
      <w:r w:rsidRPr="00EA28EB">
        <w:rPr>
          <w:rFonts w:ascii="Trebuchet MS" w:hAnsi="Trebuchet MS" w:cs="Arial"/>
          <w:lang w:eastAsia="en-US"/>
        </w:rPr>
        <w:t>The revised Glossary Term and Prefix is now:</w:t>
      </w:r>
    </w:p>
    <w:p w:rsidR="00611632" w:rsidRPr="00EA28EB" w:rsidRDefault="00611632" w:rsidP="00611632">
      <w:pPr>
        <w:autoSpaceDE w:val="0"/>
        <w:autoSpaceDN w:val="0"/>
        <w:adjustRightInd w:val="0"/>
        <w:rPr>
          <w:rFonts w:ascii="Trebuchet MS" w:hAnsi="Trebuchet MS" w:cs="Arial"/>
          <w:b/>
          <w:bCs/>
          <w:lang w:eastAsia="en-US"/>
        </w:rPr>
      </w:pPr>
      <w:r w:rsidRPr="00EA28EB">
        <w:rPr>
          <w:rFonts w:ascii="Trebuchet MS" w:hAnsi="Trebuchet MS" w:cs="Arial"/>
          <w:b/>
          <w:bCs/>
          <w:lang w:eastAsia="en-US"/>
        </w:rPr>
        <w:t>London Olympic and Paralympic Games</w:t>
      </w:r>
    </w:p>
    <w:p w:rsidR="00611632" w:rsidRPr="00EA28EB" w:rsidRDefault="00611632" w:rsidP="00611632">
      <w:pPr>
        <w:rPr>
          <w:rFonts w:ascii="Trebuchet MS" w:hAnsi="Trebuchet MS" w:cs="Arial"/>
          <w:color w:val="000000"/>
          <w:lang w:eastAsia="en-US"/>
        </w:rPr>
      </w:pPr>
      <w:r w:rsidRPr="00EA28EB">
        <w:rPr>
          <w:rFonts w:ascii="Trebuchet MS" w:hAnsi="Trebuchet MS" w:cs="Arial"/>
          <w:b/>
          <w:bCs/>
          <w:lang w:eastAsia="en-US"/>
        </w:rPr>
        <w:t>XXLYMXX</w:t>
      </w:r>
    </w:p>
    <w:p w:rsidR="00611632" w:rsidRPr="00EA28EB" w:rsidRDefault="00611632" w:rsidP="00611632">
      <w:pPr>
        <w:rPr>
          <w:rFonts w:ascii="Trebuchet MS" w:hAnsi="Trebuchet MS" w:cs="Arial,Bold"/>
          <w:bCs/>
          <w:color w:val="000000"/>
          <w:lang w:eastAsia="en-US"/>
        </w:rPr>
      </w:pPr>
      <w:r w:rsidRPr="00EA28EB">
        <w:rPr>
          <w:rFonts w:ascii="Trebuchet MS" w:hAnsi="Trebuchet MS" w:cs="Arial"/>
          <w:color w:val="000000"/>
          <w:lang w:eastAsia="en-US"/>
        </w:rPr>
        <w:t xml:space="preserve"> </w:t>
      </w:r>
    </w:p>
    <w:p w:rsidR="00E26264" w:rsidRPr="00EA28EB" w:rsidRDefault="008E4F38" w:rsidP="003D4E3E">
      <w:pPr>
        <w:autoSpaceDE w:val="0"/>
        <w:autoSpaceDN w:val="0"/>
        <w:adjustRightInd w:val="0"/>
        <w:rPr>
          <w:rFonts w:ascii="Trebuchet MS" w:hAnsi="Trebuchet MS"/>
        </w:rPr>
      </w:pPr>
      <w:r w:rsidRPr="00EA28EB">
        <w:rPr>
          <w:rFonts w:ascii="Trebuchet MS" w:hAnsi="Trebuchet MS" w:cs="Arial,Bold"/>
          <w:bCs/>
          <w:color w:val="000000"/>
          <w:lang w:eastAsia="en-US"/>
        </w:rPr>
        <w:t xml:space="preserve">For further information on SAR Glossary of Terms, please visit the SOCA </w:t>
      </w:r>
      <w:hyperlink r:id="rId11" w:history="1">
        <w:r w:rsidRPr="00EA28EB">
          <w:rPr>
            <w:rStyle w:val="Hyperlink"/>
            <w:rFonts w:ascii="Trebuchet MS" w:hAnsi="Trebuchet MS" w:cs="Arial,Bold"/>
            <w:bCs/>
            <w:lang w:eastAsia="en-US"/>
          </w:rPr>
          <w:t>website</w:t>
        </w:r>
      </w:hyperlink>
      <w:r w:rsidRPr="00EA28EB">
        <w:rPr>
          <w:rFonts w:ascii="Trebuchet MS" w:hAnsi="Trebuchet MS" w:cs="Arial,Bold"/>
          <w:bCs/>
          <w:color w:val="000000"/>
          <w:lang w:eastAsia="en-US"/>
        </w:rPr>
        <w:t xml:space="preserve">.  </w:t>
      </w:r>
      <w:r w:rsidR="003D4E3E" w:rsidRPr="00EA28EB">
        <w:rPr>
          <w:rFonts w:ascii="Trebuchet MS" w:hAnsi="Trebuchet MS" w:cs="Arial,Bold"/>
          <w:bCs/>
          <w:color w:val="000000"/>
          <w:lang w:eastAsia="en-US"/>
        </w:rPr>
        <w:t>A</w:t>
      </w:r>
      <w:r w:rsidR="00E26264" w:rsidRPr="00EA28EB">
        <w:rPr>
          <w:rFonts w:ascii="Trebuchet MS" w:hAnsi="Trebuchet MS" w:cs="Arial"/>
          <w:color w:val="000000"/>
          <w:lang w:eastAsia="en-US"/>
        </w:rPr>
        <w:t>ny enquiries concerning the SAR Glossary of Terms</w:t>
      </w:r>
      <w:r w:rsidR="00DD2518" w:rsidRPr="00EA28EB">
        <w:rPr>
          <w:rFonts w:ascii="Trebuchet MS" w:hAnsi="Trebuchet MS" w:cs="Arial"/>
          <w:color w:val="000000"/>
          <w:lang w:eastAsia="en-US"/>
        </w:rPr>
        <w:t>,</w:t>
      </w:r>
      <w:r w:rsidR="00E26264" w:rsidRPr="00EA28EB">
        <w:rPr>
          <w:rFonts w:ascii="Trebuchet MS" w:hAnsi="Trebuchet MS" w:cs="Arial"/>
          <w:color w:val="000000"/>
          <w:lang w:eastAsia="en-US"/>
        </w:rPr>
        <w:t xml:space="preserve"> please email</w:t>
      </w:r>
      <w:r w:rsidR="003D4E3E" w:rsidRPr="00EA28EB">
        <w:rPr>
          <w:rFonts w:ascii="Trebuchet MS" w:hAnsi="Trebuchet MS" w:cs="Arial"/>
          <w:color w:val="000000"/>
          <w:lang w:eastAsia="en-US"/>
        </w:rPr>
        <w:t xml:space="preserve"> </w:t>
      </w:r>
      <w:r w:rsidR="00E26264" w:rsidRPr="00EA28EB">
        <w:rPr>
          <w:rFonts w:ascii="Trebuchet MS" w:hAnsi="Trebuchet MS" w:cs="Arial"/>
          <w:color w:val="0000FF"/>
          <w:lang w:eastAsia="en-US"/>
        </w:rPr>
        <w:t>ukfiusars@soca.x.gsi.gov.uk</w:t>
      </w:r>
    </w:p>
    <w:sectPr w:rsidR="00E26264" w:rsidRPr="00EA28EB" w:rsidSect="00BE0D30">
      <w:pgSz w:w="11906" w:h="16838"/>
      <w:pgMar w:top="1134" w:right="136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632" w:rsidRDefault="00611632" w:rsidP="00B73259">
      <w:r>
        <w:separator/>
      </w:r>
    </w:p>
  </w:endnote>
  <w:endnote w:type="continuationSeparator" w:id="0">
    <w:p w:rsidR="00611632" w:rsidRDefault="00611632" w:rsidP="00B732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toneSans-Bold">
    <w:panose1 w:val="00000000000000000000"/>
    <w:charset w:val="00"/>
    <w:family w:val="swiss"/>
    <w:notTrueType/>
    <w:pitch w:val="default"/>
    <w:sig w:usb0="00000003" w:usb1="00000000" w:usb2="00000000" w:usb3="00000000" w:csb0="00000001" w:csb1="00000000"/>
  </w:font>
  <w:font w:name="StoneSans">
    <w:panose1 w:val="020B0500000000000000"/>
    <w:charset w:val="00"/>
    <w:family w:val="swiss"/>
    <w:pitch w:val="variable"/>
    <w:sig w:usb0="00000003" w:usb1="00000000" w:usb2="00000000" w:usb3="00000000" w:csb0="00000001" w:csb1="00000000"/>
  </w:font>
  <w:font w:name="Humanist777BT-BoldB">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632" w:rsidRDefault="00611632" w:rsidP="00B73259">
      <w:r>
        <w:separator/>
      </w:r>
    </w:p>
  </w:footnote>
  <w:footnote w:type="continuationSeparator" w:id="0">
    <w:p w:rsidR="00611632" w:rsidRDefault="00611632" w:rsidP="00B73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B2A28"/>
    <w:multiLevelType w:val="hybridMultilevel"/>
    <w:tmpl w:val="FB2EA99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
    <w:nsid w:val="7D992E2E"/>
    <w:multiLevelType w:val="multilevel"/>
    <w:tmpl w:val="982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F1D3D"/>
    <w:rsid w:val="00044B71"/>
    <w:rsid w:val="000C6CB9"/>
    <w:rsid w:val="000D2F8E"/>
    <w:rsid w:val="000F1D3D"/>
    <w:rsid w:val="00105A30"/>
    <w:rsid w:val="001E34ED"/>
    <w:rsid w:val="00234331"/>
    <w:rsid w:val="003438F8"/>
    <w:rsid w:val="00351FEB"/>
    <w:rsid w:val="003C63A2"/>
    <w:rsid w:val="003D4E3E"/>
    <w:rsid w:val="00454BC6"/>
    <w:rsid w:val="004A42EC"/>
    <w:rsid w:val="004C4DE7"/>
    <w:rsid w:val="005A034E"/>
    <w:rsid w:val="005F571E"/>
    <w:rsid w:val="00611632"/>
    <w:rsid w:val="006305E0"/>
    <w:rsid w:val="006456AB"/>
    <w:rsid w:val="007220F4"/>
    <w:rsid w:val="00732BF3"/>
    <w:rsid w:val="007A0912"/>
    <w:rsid w:val="007E24CD"/>
    <w:rsid w:val="00847B98"/>
    <w:rsid w:val="008B5807"/>
    <w:rsid w:val="008E0CAB"/>
    <w:rsid w:val="008E4F38"/>
    <w:rsid w:val="009018C4"/>
    <w:rsid w:val="0099146D"/>
    <w:rsid w:val="00A713BB"/>
    <w:rsid w:val="00B73259"/>
    <w:rsid w:val="00B91473"/>
    <w:rsid w:val="00BA5DA4"/>
    <w:rsid w:val="00BC1B8E"/>
    <w:rsid w:val="00BE0D30"/>
    <w:rsid w:val="00BE1ED8"/>
    <w:rsid w:val="00C86816"/>
    <w:rsid w:val="00CF2A52"/>
    <w:rsid w:val="00D817FE"/>
    <w:rsid w:val="00DD1349"/>
    <w:rsid w:val="00DD2518"/>
    <w:rsid w:val="00DE75CE"/>
    <w:rsid w:val="00E26264"/>
    <w:rsid w:val="00E27A4B"/>
    <w:rsid w:val="00EA28EB"/>
    <w:rsid w:val="00EB128D"/>
    <w:rsid w:val="00ED143C"/>
    <w:rsid w:val="00F400E0"/>
    <w:rsid w:val="00F435D8"/>
    <w:rsid w:val="00F86019"/>
    <w:rsid w:val="00F87A67"/>
    <w:rsid w:val="00FB07E6"/>
    <w:rsid w:val="00FF2D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3D"/>
    <w:rPr>
      <w:rFonts w:ascii="Calibri" w:hAnsi="Calibri" w:cs="Times New Roman"/>
      <w:lang w:eastAsia="en-GB"/>
    </w:rPr>
  </w:style>
  <w:style w:type="paragraph" w:styleId="Heading2">
    <w:name w:val="heading 2"/>
    <w:basedOn w:val="Normal"/>
    <w:next w:val="Normal"/>
    <w:link w:val="Heading2Char"/>
    <w:uiPriority w:val="9"/>
    <w:semiHidden/>
    <w:unhideWhenUsed/>
    <w:qFormat/>
    <w:rsid w:val="00ED1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D143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D3D"/>
    <w:rPr>
      <w:color w:val="0000FF"/>
      <w:u w:val="single"/>
    </w:rPr>
  </w:style>
  <w:style w:type="character" w:customStyle="1" w:styleId="Heading3Char">
    <w:name w:val="Heading 3 Char"/>
    <w:basedOn w:val="DefaultParagraphFont"/>
    <w:link w:val="Heading3"/>
    <w:uiPriority w:val="9"/>
    <w:rsid w:val="00ED143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D143C"/>
    <w:rPr>
      <w:b/>
      <w:bCs/>
    </w:rPr>
  </w:style>
  <w:style w:type="paragraph" w:styleId="NormalWeb">
    <w:name w:val="Normal (Web)"/>
    <w:basedOn w:val="Normal"/>
    <w:uiPriority w:val="99"/>
    <w:unhideWhenUsed/>
    <w:rsid w:val="00ED143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D143C"/>
  </w:style>
  <w:style w:type="character" w:customStyle="1" w:styleId="Heading2Char">
    <w:name w:val="Heading 2 Char"/>
    <w:basedOn w:val="DefaultParagraphFont"/>
    <w:link w:val="Heading2"/>
    <w:uiPriority w:val="9"/>
    <w:semiHidden/>
    <w:rsid w:val="00ED143C"/>
    <w:rPr>
      <w:rFonts w:asciiTheme="majorHAnsi" w:eastAsiaTheme="majorEastAsia" w:hAnsiTheme="majorHAnsi" w:cstheme="majorBidi"/>
      <w:b/>
      <w:bCs/>
      <w:color w:val="4F81BD" w:themeColor="accent1"/>
      <w:sz w:val="26"/>
      <w:szCs w:val="26"/>
      <w:lang w:eastAsia="en-GB"/>
    </w:rPr>
  </w:style>
  <w:style w:type="character" w:customStyle="1" w:styleId="nobackground">
    <w:name w:val="nobackground"/>
    <w:basedOn w:val="DefaultParagraphFont"/>
    <w:rsid w:val="00ED143C"/>
  </w:style>
  <w:style w:type="paragraph" w:styleId="BalloonText">
    <w:name w:val="Balloon Text"/>
    <w:basedOn w:val="Normal"/>
    <w:link w:val="BalloonTextChar"/>
    <w:uiPriority w:val="99"/>
    <w:semiHidden/>
    <w:unhideWhenUsed/>
    <w:rsid w:val="007A0912"/>
    <w:rPr>
      <w:rFonts w:ascii="Tahoma" w:hAnsi="Tahoma" w:cs="Tahoma"/>
      <w:sz w:val="16"/>
      <w:szCs w:val="16"/>
    </w:rPr>
  </w:style>
  <w:style w:type="character" w:customStyle="1" w:styleId="BalloonTextChar">
    <w:name w:val="Balloon Text Char"/>
    <w:basedOn w:val="DefaultParagraphFont"/>
    <w:link w:val="BalloonText"/>
    <w:uiPriority w:val="99"/>
    <w:semiHidden/>
    <w:rsid w:val="007A0912"/>
    <w:rPr>
      <w:rFonts w:ascii="Tahoma" w:hAnsi="Tahoma" w:cs="Tahoma"/>
      <w:sz w:val="16"/>
      <w:szCs w:val="16"/>
      <w:lang w:eastAsia="en-GB"/>
    </w:rPr>
  </w:style>
  <w:style w:type="character" w:styleId="FollowedHyperlink">
    <w:name w:val="FollowedHyperlink"/>
    <w:basedOn w:val="DefaultParagraphFont"/>
    <w:uiPriority w:val="99"/>
    <w:semiHidden/>
    <w:unhideWhenUsed/>
    <w:rsid w:val="00351FEB"/>
    <w:rPr>
      <w:color w:val="800080" w:themeColor="followedHyperlink"/>
      <w:u w:val="single"/>
    </w:rPr>
  </w:style>
  <w:style w:type="paragraph" w:customStyle="1" w:styleId="paragraph">
    <w:name w:val="paragraph"/>
    <w:basedOn w:val="Normal"/>
    <w:rsid w:val="005F571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semiHidden/>
    <w:unhideWhenUsed/>
    <w:rsid w:val="00B73259"/>
    <w:pPr>
      <w:tabs>
        <w:tab w:val="center" w:pos="4513"/>
        <w:tab w:val="right" w:pos="9026"/>
      </w:tabs>
    </w:pPr>
  </w:style>
  <w:style w:type="character" w:customStyle="1" w:styleId="HeaderChar">
    <w:name w:val="Header Char"/>
    <w:basedOn w:val="DefaultParagraphFont"/>
    <w:link w:val="Header"/>
    <w:uiPriority w:val="99"/>
    <w:semiHidden/>
    <w:rsid w:val="00B73259"/>
    <w:rPr>
      <w:rFonts w:ascii="Calibri" w:hAnsi="Calibri" w:cs="Times New Roman"/>
      <w:lang w:eastAsia="en-GB"/>
    </w:rPr>
  </w:style>
  <w:style w:type="paragraph" w:styleId="Footer">
    <w:name w:val="footer"/>
    <w:basedOn w:val="Normal"/>
    <w:link w:val="FooterChar"/>
    <w:uiPriority w:val="99"/>
    <w:semiHidden/>
    <w:unhideWhenUsed/>
    <w:rsid w:val="00B73259"/>
    <w:pPr>
      <w:tabs>
        <w:tab w:val="center" w:pos="4513"/>
        <w:tab w:val="right" w:pos="9026"/>
      </w:tabs>
    </w:pPr>
  </w:style>
  <w:style w:type="character" w:customStyle="1" w:styleId="FooterChar">
    <w:name w:val="Footer Char"/>
    <w:basedOn w:val="DefaultParagraphFont"/>
    <w:link w:val="Footer"/>
    <w:uiPriority w:val="99"/>
    <w:semiHidden/>
    <w:rsid w:val="00B73259"/>
    <w:rPr>
      <w:rFonts w:ascii="Calibri" w:hAnsi="Calibri" w:cs="Times New Roman"/>
      <w:lang w:eastAsia="en-GB"/>
    </w:rPr>
  </w:style>
</w:styles>
</file>

<file path=word/webSettings.xml><?xml version="1.0" encoding="utf-8"?>
<w:webSettings xmlns:r="http://schemas.openxmlformats.org/officeDocument/2006/relationships" xmlns:w="http://schemas.openxmlformats.org/wordprocessingml/2006/main">
  <w:divs>
    <w:div w:id="57823288">
      <w:bodyDiv w:val="1"/>
      <w:marLeft w:val="0"/>
      <w:marRight w:val="0"/>
      <w:marTop w:val="0"/>
      <w:marBottom w:val="0"/>
      <w:divBdr>
        <w:top w:val="none" w:sz="0" w:space="0" w:color="auto"/>
        <w:left w:val="none" w:sz="0" w:space="0" w:color="auto"/>
        <w:bottom w:val="none" w:sz="0" w:space="0" w:color="auto"/>
        <w:right w:val="none" w:sz="0" w:space="0" w:color="auto"/>
      </w:divBdr>
    </w:div>
    <w:div w:id="489101100">
      <w:bodyDiv w:val="1"/>
      <w:marLeft w:val="0"/>
      <w:marRight w:val="0"/>
      <w:marTop w:val="0"/>
      <w:marBottom w:val="0"/>
      <w:divBdr>
        <w:top w:val="none" w:sz="0" w:space="0" w:color="auto"/>
        <w:left w:val="none" w:sz="0" w:space="0" w:color="auto"/>
        <w:bottom w:val="none" w:sz="0" w:space="0" w:color="auto"/>
        <w:right w:val="none" w:sz="0" w:space="0" w:color="auto"/>
      </w:divBdr>
      <w:divsChild>
        <w:div w:id="1599294777">
          <w:marLeft w:val="0"/>
          <w:marRight w:val="0"/>
          <w:marTop w:val="0"/>
          <w:marBottom w:val="0"/>
          <w:divBdr>
            <w:top w:val="none" w:sz="0" w:space="0" w:color="auto"/>
            <w:left w:val="none" w:sz="0" w:space="0" w:color="auto"/>
            <w:bottom w:val="none" w:sz="0" w:space="0" w:color="auto"/>
            <w:right w:val="none" w:sz="0" w:space="0" w:color="auto"/>
          </w:divBdr>
          <w:divsChild>
            <w:div w:id="6014546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54791697">
      <w:bodyDiv w:val="1"/>
      <w:marLeft w:val="0"/>
      <w:marRight w:val="0"/>
      <w:marTop w:val="0"/>
      <w:marBottom w:val="0"/>
      <w:divBdr>
        <w:top w:val="none" w:sz="0" w:space="0" w:color="auto"/>
        <w:left w:val="none" w:sz="0" w:space="0" w:color="auto"/>
        <w:bottom w:val="none" w:sz="0" w:space="0" w:color="auto"/>
        <w:right w:val="none" w:sz="0" w:space="0" w:color="auto"/>
      </w:divBdr>
    </w:div>
    <w:div w:id="1670986780">
      <w:bodyDiv w:val="1"/>
      <w:marLeft w:val="0"/>
      <w:marRight w:val="0"/>
      <w:marTop w:val="0"/>
      <w:marBottom w:val="0"/>
      <w:divBdr>
        <w:top w:val="none" w:sz="0" w:space="0" w:color="auto"/>
        <w:left w:val="none" w:sz="0" w:space="0" w:color="auto"/>
        <w:bottom w:val="none" w:sz="0" w:space="0" w:color="auto"/>
        <w:right w:val="none" w:sz="0" w:space="0" w:color="auto"/>
      </w:divBdr>
    </w:div>
    <w:div w:id="1968662088">
      <w:bodyDiv w:val="1"/>
      <w:marLeft w:val="0"/>
      <w:marRight w:val="0"/>
      <w:marTop w:val="0"/>
      <w:marBottom w:val="0"/>
      <w:divBdr>
        <w:top w:val="none" w:sz="0" w:space="0" w:color="auto"/>
        <w:left w:val="none" w:sz="0" w:space="0" w:color="auto"/>
        <w:bottom w:val="none" w:sz="0" w:space="0" w:color="auto"/>
        <w:right w:val="none" w:sz="0" w:space="0" w:color="auto"/>
      </w:divBdr>
      <w:divsChild>
        <w:div w:id="1664310201">
          <w:marLeft w:val="0"/>
          <w:marRight w:val="0"/>
          <w:marTop w:val="0"/>
          <w:marBottom w:val="0"/>
          <w:divBdr>
            <w:top w:val="none" w:sz="0" w:space="0" w:color="auto"/>
            <w:left w:val="none" w:sz="0" w:space="0" w:color="auto"/>
            <w:bottom w:val="none" w:sz="0" w:space="0" w:color="auto"/>
            <w:right w:val="none" w:sz="0" w:space="0" w:color="auto"/>
          </w:divBdr>
          <w:divsChild>
            <w:div w:id="1328240515">
              <w:marLeft w:val="0"/>
              <w:marRight w:val="0"/>
              <w:marTop w:val="0"/>
              <w:marBottom w:val="0"/>
              <w:divBdr>
                <w:top w:val="none" w:sz="0" w:space="0" w:color="auto"/>
                <w:left w:val="none" w:sz="0" w:space="0" w:color="auto"/>
                <w:bottom w:val="none" w:sz="0" w:space="0" w:color="auto"/>
                <w:right w:val="none" w:sz="0" w:space="0" w:color="auto"/>
              </w:divBdr>
              <w:divsChild>
                <w:div w:id="1198006356">
                  <w:marLeft w:val="0"/>
                  <w:marRight w:val="0"/>
                  <w:marTop w:val="0"/>
                  <w:marBottom w:val="0"/>
                  <w:divBdr>
                    <w:top w:val="none" w:sz="0" w:space="0" w:color="auto"/>
                    <w:left w:val="none" w:sz="0" w:space="0" w:color="auto"/>
                    <w:bottom w:val="none" w:sz="0" w:space="0" w:color="auto"/>
                    <w:right w:val="none" w:sz="0" w:space="0" w:color="auto"/>
                  </w:divBdr>
                  <w:divsChild>
                    <w:div w:id="1490100675">
                      <w:marLeft w:val="0"/>
                      <w:marRight w:val="0"/>
                      <w:marTop w:val="0"/>
                      <w:marBottom w:val="0"/>
                      <w:divBdr>
                        <w:top w:val="none" w:sz="0" w:space="0" w:color="auto"/>
                        <w:left w:val="none" w:sz="0" w:space="0" w:color="auto"/>
                        <w:bottom w:val="none" w:sz="0" w:space="0" w:color="auto"/>
                        <w:right w:val="none" w:sz="0" w:space="0" w:color="auto"/>
                      </w:divBdr>
                      <w:divsChild>
                        <w:div w:id="2008171437">
                          <w:marLeft w:val="0"/>
                          <w:marRight w:val="0"/>
                          <w:marTop w:val="0"/>
                          <w:marBottom w:val="0"/>
                          <w:divBdr>
                            <w:top w:val="none" w:sz="0" w:space="0" w:color="auto"/>
                            <w:left w:val="none" w:sz="0" w:space="0" w:color="auto"/>
                            <w:bottom w:val="none" w:sz="0" w:space="0" w:color="auto"/>
                            <w:right w:val="none" w:sz="0" w:space="0" w:color="auto"/>
                          </w:divBdr>
                          <w:divsChild>
                            <w:div w:id="1748990380">
                              <w:marLeft w:val="0"/>
                              <w:marRight w:val="0"/>
                              <w:marTop w:val="0"/>
                              <w:marBottom w:val="0"/>
                              <w:divBdr>
                                <w:top w:val="none" w:sz="0" w:space="0" w:color="auto"/>
                                <w:left w:val="none" w:sz="0" w:space="0" w:color="auto"/>
                                <w:bottom w:val="none" w:sz="0" w:space="0" w:color="auto"/>
                                <w:right w:val="none" w:sz="0" w:space="0" w:color="auto"/>
                              </w:divBdr>
                              <w:divsChild>
                                <w:div w:id="12266799">
                                  <w:marLeft w:val="0"/>
                                  <w:marRight w:val="0"/>
                                  <w:marTop w:val="0"/>
                                  <w:marBottom w:val="0"/>
                                  <w:divBdr>
                                    <w:top w:val="none" w:sz="0" w:space="0" w:color="auto"/>
                                    <w:left w:val="none" w:sz="0" w:space="0" w:color="auto"/>
                                    <w:bottom w:val="none" w:sz="0" w:space="0" w:color="auto"/>
                                    <w:right w:val="none" w:sz="0" w:space="0" w:color="auto"/>
                                  </w:divBdr>
                                  <w:divsChild>
                                    <w:div w:id="1572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a.gov.uk/about-soca/library/cat_view/98-ukfiu" TargetMode="External"/><Relationship Id="rId5" Type="http://schemas.openxmlformats.org/officeDocument/2006/relationships/webSettings" Target="webSettings.xml"/><Relationship Id="rId10" Type="http://schemas.openxmlformats.org/officeDocument/2006/relationships/hyperlink" Target="http://www.hm-treasury.gov.uk/fin_review_laundering_regs.ht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9546F-29A7-4FF1-A843-62DA7D96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Blinehan</dc:creator>
  <cp:lastModifiedBy>Helen Burgess</cp:lastModifiedBy>
  <cp:revision>2</cp:revision>
  <dcterms:created xsi:type="dcterms:W3CDTF">2012-07-30T09:27:00Z</dcterms:created>
  <dcterms:modified xsi:type="dcterms:W3CDTF">2012-07-30T09:27:00Z</dcterms:modified>
</cp:coreProperties>
</file>