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65341" w14:textId="670B0325" w:rsidR="002B605B" w:rsidRPr="003A03F9" w:rsidRDefault="005E6985">
      <w:pPr>
        <w:pStyle w:val="Heading3"/>
        <w:rPr>
          <w:rFonts w:ascii="Arial" w:hAnsi="Arial"/>
          <w:sz w:val="22"/>
          <w:szCs w:val="22"/>
        </w:rPr>
      </w:pPr>
      <w:r>
        <w:rPr>
          <w:noProof/>
          <w:lang w:eastAsia="en-GB"/>
        </w:rPr>
        <w:drawing>
          <wp:anchor distT="0" distB="0" distL="114300" distR="114300" simplePos="0" relativeHeight="251659264" behindDoc="1" locked="0" layoutInCell="1" allowOverlap="1" wp14:anchorId="2C849AED" wp14:editId="286A6A75">
            <wp:simplePos x="0" y="0"/>
            <wp:positionH relativeFrom="column">
              <wp:posOffset>4804410</wp:posOffset>
            </wp:positionH>
            <wp:positionV relativeFrom="paragraph">
              <wp:posOffset>-448598</wp:posOffset>
            </wp:positionV>
            <wp:extent cx="1286510" cy="2305050"/>
            <wp:effectExtent l="0" t="0" r="8890" b="0"/>
            <wp:wrapTight wrapText="bothSides">
              <wp:wrapPolygon edited="0">
                <wp:start x="0" y="0"/>
                <wp:lineTo x="0" y="21421"/>
                <wp:lineTo x="21429" y="21421"/>
                <wp:lineTo x="2142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286510" cy="2305050"/>
                    </a:xfrm>
                    <a:prstGeom prst="rect">
                      <a:avLst/>
                    </a:prstGeom>
                  </pic:spPr>
                </pic:pic>
              </a:graphicData>
            </a:graphic>
          </wp:anchor>
        </w:drawing>
      </w:r>
    </w:p>
    <w:p w14:paraId="05549672" w14:textId="77777777" w:rsidR="002B605B" w:rsidRPr="003A03F9" w:rsidRDefault="002B605B" w:rsidP="003321E7">
      <w:pPr>
        <w:rPr>
          <w:szCs w:val="22"/>
        </w:rPr>
      </w:pPr>
    </w:p>
    <w:p w14:paraId="191C3EE0" w14:textId="77777777" w:rsidR="002B605B" w:rsidRPr="003A03F9" w:rsidRDefault="002B605B">
      <w:pPr>
        <w:rPr>
          <w:szCs w:val="22"/>
        </w:rPr>
      </w:pPr>
    </w:p>
    <w:p w14:paraId="6BA4D856" w14:textId="77777777" w:rsidR="002B605B" w:rsidRPr="003A03F9" w:rsidRDefault="002B605B">
      <w:pPr>
        <w:rPr>
          <w:szCs w:val="22"/>
        </w:rPr>
      </w:pPr>
    </w:p>
    <w:p w14:paraId="586AF6EA" w14:textId="77777777" w:rsidR="005E6985" w:rsidRDefault="005E6985" w:rsidP="00F82179">
      <w:pPr>
        <w:pStyle w:val="Heading1"/>
      </w:pPr>
    </w:p>
    <w:p w14:paraId="4C26E38B" w14:textId="77777777" w:rsidR="005E6985" w:rsidRDefault="005E6985" w:rsidP="00F82179">
      <w:pPr>
        <w:pStyle w:val="Heading1"/>
      </w:pPr>
    </w:p>
    <w:p w14:paraId="0AF42B2F" w14:textId="77777777" w:rsidR="005E6985" w:rsidRDefault="005E6985" w:rsidP="00F82179">
      <w:pPr>
        <w:pStyle w:val="Heading1"/>
      </w:pPr>
    </w:p>
    <w:p w14:paraId="54295BD3" w14:textId="77777777" w:rsidR="005E6985" w:rsidRDefault="005E6985" w:rsidP="00F82179">
      <w:pPr>
        <w:pStyle w:val="Heading1"/>
      </w:pPr>
    </w:p>
    <w:p w14:paraId="51B49EDE" w14:textId="77777777" w:rsidR="005E6985" w:rsidRDefault="005E6985" w:rsidP="00F82179">
      <w:pPr>
        <w:pStyle w:val="Heading1"/>
      </w:pPr>
    </w:p>
    <w:p w14:paraId="193F9619" w14:textId="77777777" w:rsidR="005E6985" w:rsidRDefault="005E6985" w:rsidP="00F82179">
      <w:pPr>
        <w:pStyle w:val="Heading1"/>
      </w:pPr>
    </w:p>
    <w:p w14:paraId="376E02B1" w14:textId="77777777" w:rsidR="005E6985" w:rsidRDefault="005E6985" w:rsidP="00F82179">
      <w:pPr>
        <w:pStyle w:val="Heading1"/>
      </w:pPr>
    </w:p>
    <w:p w14:paraId="0A0119B2" w14:textId="77777777" w:rsidR="005E6985" w:rsidRDefault="005E6985" w:rsidP="00F82179">
      <w:pPr>
        <w:pStyle w:val="Heading1"/>
      </w:pPr>
    </w:p>
    <w:p w14:paraId="67437776" w14:textId="77777777" w:rsidR="005E6985" w:rsidRDefault="005E6985" w:rsidP="00F82179">
      <w:pPr>
        <w:pStyle w:val="Heading1"/>
      </w:pPr>
    </w:p>
    <w:p w14:paraId="3237A342" w14:textId="77777777" w:rsidR="002C3F9B" w:rsidRDefault="002C3F9B" w:rsidP="00F82179">
      <w:pPr>
        <w:pStyle w:val="Heading1"/>
      </w:pPr>
      <w:r>
        <w:t>HMRC consultation document</w:t>
      </w:r>
    </w:p>
    <w:p w14:paraId="52042A72" w14:textId="1B7EF50B" w:rsidR="002C3F9B" w:rsidRDefault="002C3F9B" w:rsidP="00F82179">
      <w:pPr>
        <w:pStyle w:val="Heading1"/>
      </w:pPr>
      <w:r w:rsidRPr="002C3F9B">
        <w:t xml:space="preserve">Making Tax Digital </w:t>
      </w:r>
      <w:r>
        <w:t xml:space="preserve">- </w:t>
      </w:r>
      <w:r w:rsidRPr="002C3F9B">
        <w:t xml:space="preserve">sanctions for late submission and late payment </w:t>
      </w:r>
    </w:p>
    <w:p w14:paraId="28233882" w14:textId="04DD3B4C" w:rsidR="00E06042" w:rsidRPr="00F82179" w:rsidRDefault="001129EE" w:rsidP="00F82179">
      <w:pPr>
        <w:pStyle w:val="Heading1"/>
      </w:pPr>
      <w:r w:rsidRPr="00F82179">
        <w:t>Response by</w:t>
      </w:r>
      <w:r w:rsidR="00E06042" w:rsidRPr="00F82179">
        <w:t xml:space="preserve"> </w:t>
      </w:r>
      <w:r w:rsidR="00262553" w:rsidRPr="00F82179">
        <w:t>the</w:t>
      </w:r>
      <w:r w:rsidR="00E06042" w:rsidRPr="00F82179">
        <w:t xml:space="preserve"> Chartered Institute of Taxation</w:t>
      </w:r>
    </w:p>
    <w:p w14:paraId="6A3BA618" w14:textId="77777777" w:rsidR="00E06042" w:rsidRPr="003A03F9" w:rsidRDefault="00E06042" w:rsidP="00E06042">
      <w:pPr>
        <w:jc w:val="center"/>
        <w:rPr>
          <w:b/>
          <w:bCs/>
          <w:szCs w:val="22"/>
        </w:rPr>
      </w:pPr>
    </w:p>
    <w:p w14:paraId="69C243C4" w14:textId="77777777" w:rsidR="00E06042" w:rsidRPr="003A03F9" w:rsidRDefault="00E06042" w:rsidP="00E06042">
      <w:pPr>
        <w:rPr>
          <w:szCs w:val="22"/>
        </w:rPr>
      </w:pPr>
    </w:p>
    <w:tbl>
      <w:tblPr>
        <w:tblW w:w="0" w:type="auto"/>
        <w:tblLook w:val="0000" w:firstRow="0" w:lastRow="0" w:firstColumn="0" w:lastColumn="0" w:noHBand="0" w:noVBand="0"/>
      </w:tblPr>
      <w:tblGrid>
        <w:gridCol w:w="562"/>
        <w:gridCol w:w="8510"/>
      </w:tblGrid>
      <w:tr w:rsidR="005E6985" w:rsidRPr="003A03F9" w14:paraId="2FDAC1D8" w14:textId="77777777" w:rsidTr="00EB0A6C">
        <w:tc>
          <w:tcPr>
            <w:tcW w:w="562" w:type="dxa"/>
          </w:tcPr>
          <w:p w14:paraId="5CAEA10D" w14:textId="77777777" w:rsidR="00E06042" w:rsidRPr="003A03F9" w:rsidRDefault="00E06042" w:rsidP="00625356">
            <w:pPr>
              <w:numPr>
                <w:ilvl w:val="0"/>
                <w:numId w:val="6"/>
              </w:numPr>
              <w:rPr>
                <w:szCs w:val="22"/>
              </w:rPr>
            </w:pPr>
          </w:p>
        </w:tc>
        <w:tc>
          <w:tcPr>
            <w:tcW w:w="8510" w:type="dxa"/>
          </w:tcPr>
          <w:p w14:paraId="32654A50" w14:textId="77777777" w:rsidR="00E06042" w:rsidRPr="003A03F9" w:rsidRDefault="00625356" w:rsidP="00C418FE">
            <w:pPr>
              <w:pStyle w:val="Heading1"/>
              <w:jc w:val="left"/>
            </w:pPr>
            <w:r w:rsidRPr="003A03F9">
              <w:t>Introduction</w:t>
            </w:r>
          </w:p>
          <w:p w14:paraId="72E0A9B0" w14:textId="77777777" w:rsidR="00E06042" w:rsidRPr="003A03F9" w:rsidRDefault="00E06042" w:rsidP="002B605B">
            <w:pPr>
              <w:rPr>
                <w:szCs w:val="22"/>
              </w:rPr>
            </w:pPr>
          </w:p>
        </w:tc>
      </w:tr>
      <w:tr w:rsidR="005E6985" w:rsidRPr="003A03F9" w14:paraId="394BD66C" w14:textId="77777777" w:rsidTr="00EB0A6C">
        <w:tc>
          <w:tcPr>
            <w:tcW w:w="562" w:type="dxa"/>
          </w:tcPr>
          <w:p w14:paraId="764B4D83" w14:textId="77777777" w:rsidR="00E06042" w:rsidRPr="003A03F9" w:rsidRDefault="00E06042" w:rsidP="00625356">
            <w:pPr>
              <w:numPr>
                <w:ilvl w:val="1"/>
                <w:numId w:val="6"/>
              </w:numPr>
              <w:rPr>
                <w:szCs w:val="22"/>
              </w:rPr>
            </w:pPr>
          </w:p>
        </w:tc>
        <w:tc>
          <w:tcPr>
            <w:tcW w:w="8510" w:type="dxa"/>
          </w:tcPr>
          <w:p w14:paraId="74B09147" w14:textId="7A024369" w:rsidR="00E06042" w:rsidRDefault="002C3F9B" w:rsidP="002C3F9B">
            <w:pPr>
              <w:rPr>
                <w:szCs w:val="22"/>
              </w:rPr>
            </w:pPr>
            <w:r w:rsidRPr="002C3F9B">
              <w:rPr>
                <w:szCs w:val="22"/>
              </w:rPr>
              <w:t xml:space="preserve">This consultation sets out </w:t>
            </w:r>
            <w:r>
              <w:rPr>
                <w:szCs w:val="22"/>
              </w:rPr>
              <w:t>the Government</w:t>
            </w:r>
            <w:r w:rsidR="00A47A14">
              <w:rPr>
                <w:szCs w:val="22"/>
              </w:rPr>
              <w:t>’</w:t>
            </w:r>
            <w:r>
              <w:rPr>
                <w:szCs w:val="22"/>
              </w:rPr>
              <w:t>s</w:t>
            </w:r>
            <w:r w:rsidRPr="002C3F9B">
              <w:rPr>
                <w:szCs w:val="22"/>
              </w:rPr>
              <w:t xml:space="preserve"> proposals for new late submission penalties and provides an update on the plan to penalise late payment by penalty interest</w:t>
            </w:r>
            <w:r>
              <w:rPr>
                <w:szCs w:val="22"/>
              </w:rPr>
              <w:t>.</w:t>
            </w:r>
          </w:p>
          <w:p w14:paraId="41E996D2" w14:textId="7A6EDE7C" w:rsidR="0037428E" w:rsidRPr="00645954" w:rsidRDefault="0037428E" w:rsidP="002C3F9B">
            <w:pPr>
              <w:rPr>
                <w:szCs w:val="22"/>
              </w:rPr>
            </w:pPr>
          </w:p>
        </w:tc>
      </w:tr>
      <w:tr w:rsidR="005E6985" w:rsidRPr="003A03F9" w14:paraId="2D493872" w14:textId="77777777" w:rsidTr="00EB0A6C">
        <w:tc>
          <w:tcPr>
            <w:tcW w:w="562" w:type="dxa"/>
          </w:tcPr>
          <w:p w14:paraId="415D2BA3" w14:textId="77777777" w:rsidR="00D061C8" w:rsidRPr="003A03F9" w:rsidRDefault="00D061C8" w:rsidP="00625356">
            <w:pPr>
              <w:numPr>
                <w:ilvl w:val="1"/>
                <w:numId w:val="6"/>
              </w:numPr>
              <w:rPr>
                <w:szCs w:val="22"/>
              </w:rPr>
            </w:pPr>
          </w:p>
        </w:tc>
        <w:tc>
          <w:tcPr>
            <w:tcW w:w="8510" w:type="dxa"/>
          </w:tcPr>
          <w:p w14:paraId="12F1C0BC" w14:textId="75600564" w:rsidR="009800C2" w:rsidRDefault="009800C2" w:rsidP="009800C2">
            <w:pPr>
              <w:rPr>
                <w:rFonts w:ascii="Calibri" w:hAnsi="Calibri" w:cs="Times New Roman"/>
                <w:szCs w:val="22"/>
              </w:rPr>
            </w:pPr>
            <w:r>
              <w:t xml:space="preserve">As an educational charity, our primary purpose is to promote education in taxation. One of </w:t>
            </w:r>
            <w:r w:rsidR="00E20705">
              <w:t>our</w:t>
            </w:r>
            <w:r w:rsidR="00B75A0E">
              <w:t xml:space="preserve"> </w:t>
            </w:r>
            <w:r>
              <w:t>key aims is to work for a better, more efficient, ta</w:t>
            </w:r>
            <w:r w:rsidR="00A47A14">
              <w:t>x system for all affected by it;</w:t>
            </w:r>
            <w:r>
              <w:t xml:space="preserve"> taxpayers, their advisers and the authorities. Our comments and recommendations on tax issues are made sole</w:t>
            </w:r>
            <w:r w:rsidR="00A47A14">
              <w:t>ly in order to achieve this aim.</w:t>
            </w:r>
            <w:r>
              <w:t xml:space="preserve"> </w:t>
            </w:r>
            <w:r w:rsidR="00A47A14">
              <w:t>W</w:t>
            </w:r>
            <w:r>
              <w:t>e are a non-party-political organisation.</w:t>
            </w:r>
          </w:p>
          <w:p w14:paraId="2E5FD3B3" w14:textId="77777777" w:rsidR="00D061C8" w:rsidRPr="003A03F9" w:rsidRDefault="00D061C8" w:rsidP="00D061C8">
            <w:pPr>
              <w:rPr>
                <w:szCs w:val="22"/>
              </w:rPr>
            </w:pPr>
          </w:p>
        </w:tc>
      </w:tr>
      <w:tr w:rsidR="005E6985" w:rsidRPr="003A03F9" w14:paraId="650D2E21" w14:textId="77777777" w:rsidTr="00EB0A6C">
        <w:tc>
          <w:tcPr>
            <w:tcW w:w="562" w:type="dxa"/>
          </w:tcPr>
          <w:p w14:paraId="5ABF0FC2" w14:textId="28578990" w:rsidR="00EB0A6C" w:rsidRPr="003A03F9" w:rsidRDefault="00EB0A6C" w:rsidP="00625356">
            <w:pPr>
              <w:numPr>
                <w:ilvl w:val="1"/>
                <w:numId w:val="6"/>
              </w:numPr>
              <w:rPr>
                <w:szCs w:val="22"/>
              </w:rPr>
            </w:pPr>
          </w:p>
        </w:tc>
        <w:tc>
          <w:tcPr>
            <w:tcW w:w="8510" w:type="dxa"/>
          </w:tcPr>
          <w:p w14:paraId="6ECC63A9" w14:textId="1AC1F362" w:rsidR="00EB0A6C" w:rsidRDefault="0037428E" w:rsidP="0037428E">
            <w:pPr>
              <w:autoSpaceDE w:val="0"/>
              <w:autoSpaceDN w:val="0"/>
              <w:adjustRightInd w:val="0"/>
              <w:rPr>
                <w:szCs w:val="22"/>
              </w:rPr>
            </w:pPr>
            <w:r>
              <w:rPr>
                <w:szCs w:val="22"/>
              </w:rPr>
              <w:t>The CIOT responded to ‘Making Tax Digital: Tax Administration’ on 7 November 2016</w:t>
            </w:r>
            <w:r w:rsidR="002F7312">
              <w:rPr>
                <w:rStyle w:val="FootnoteReference"/>
                <w:szCs w:val="22"/>
              </w:rPr>
              <w:footnoteReference w:id="1"/>
            </w:r>
            <w:r>
              <w:rPr>
                <w:szCs w:val="22"/>
              </w:rPr>
              <w:t xml:space="preserve"> and ‘HMRC Penalties – a discussion document’ on 11 May 2015</w:t>
            </w:r>
            <w:r w:rsidR="002F7312">
              <w:rPr>
                <w:rStyle w:val="FootnoteReference"/>
                <w:szCs w:val="22"/>
              </w:rPr>
              <w:footnoteReference w:id="2"/>
            </w:r>
            <w:r>
              <w:rPr>
                <w:szCs w:val="22"/>
              </w:rPr>
              <w:t xml:space="preserve"> and we were heavily involved in the HM</w:t>
            </w:r>
            <w:r w:rsidR="00A47A14">
              <w:rPr>
                <w:szCs w:val="22"/>
              </w:rPr>
              <w:t xml:space="preserve"> </w:t>
            </w:r>
            <w:r>
              <w:rPr>
                <w:szCs w:val="22"/>
              </w:rPr>
              <w:t>R</w:t>
            </w:r>
            <w:r w:rsidR="00A47A14">
              <w:rPr>
                <w:szCs w:val="22"/>
              </w:rPr>
              <w:t>evenue and Customs (HMRC)</w:t>
            </w:r>
            <w:r>
              <w:rPr>
                <w:szCs w:val="22"/>
              </w:rPr>
              <w:t xml:space="preserve"> Powers Review which ran from 2005 to 2012. Many of the current penalties came into existence as a result of that very comprehensive review of HMRC Powers. We should not lose sight of the principles that underscored the previous review, learn from that experience and build on what has so far been achieved.</w:t>
            </w:r>
          </w:p>
          <w:p w14:paraId="32183099" w14:textId="77777777" w:rsidR="00EB0A6C" w:rsidRPr="003A03F9" w:rsidRDefault="00EB0A6C" w:rsidP="00D061C8">
            <w:pPr>
              <w:rPr>
                <w:szCs w:val="22"/>
              </w:rPr>
            </w:pPr>
            <w:bookmarkStart w:id="0" w:name="_GoBack"/>
            <w:bookmarkEnd w:id="0"/>
          </w:p>
        </w:tc>
      </w:tr>
      <w:tr w:rsidR="005E6985" w:rsidRPr="003A03F9" w14:paraId="1EC2F1AA" w14:textId="77777777" w:rsidTr="00EB0A6C">
        <w:tc>
          <w:tcPr>
            <w:tcW w:w="562" w:type="dxa"/>
          </w:tcPr>
          <w:p w14:paraId="7E487619" w14:textId="77777777" w:rsidR="0037428E" w:rsidRPr="003A03F9" w:rsidRDefault="0037428E" w:rsidP="00625356">
            <w:pPr>
              <w:numPr>
                <w:ilvl w:val="1"/>
                <w:numId w:val="6"/>
              </w:numPr>
              <w:rPr>
                <w:szCs w:val="22"/>
              </w:rPr>
            </w:pPr>
          </w:p>
        </w:tc>
        <w:tc>
          <w:tcPr>
            <w:tcW w:w="8510" w:type="dxa"/>
          </w:tcPr>
          <w:p w14:paraId="590BFCC0" w14:textId="6A50AD9A" w:rsidR="00EE4541" w:rsidRDefault="0037428E" w:rsidP="0037428E">
            <w:pPr>
              <w:autoSpaceDE w:val="0"/>
              <w:autoSpaceDN w:val="0"/>
              <w:adjustRightInd w:val="0"/>
              <w:rPr>
                <w:szCs w:val="22"/>
              </w:rPr>
            </w:pPr>
            <w:r>
              <w:rPr>
                <w:szCs w:val="22"/>
              </w:rPr>
              <w:t>T</w:t>
            </w:r>
            <w:r w:rsidR="00A47A14">
              <w:rPr>
                <w:szCs w:val="22"/>
              </w:rPr>
              <w:t>he G</w:t>
            </w:r>
            <w:r w:rsidRPr="0037428E">
              <w:rPr>
                <w:szCs w:val="22"/>
              </w:rPr>
              <w:t xml:space="preserve">overnment’s aim is to introduce a </w:t>
            </w:r>
            <w:r w:rsidR="00D166D6">
              <w:rPr>
                <w:szCs w:val="22"/>
              </w:rPr>
              <w:t xml:space="preserve">late submission </w:t>
            </w:r>
            <w:r w:rsidRPr="0037428E">
              <w:rPr>
                <w:szCs w:val="22"/>
              </w:rPr>
              <w:t xml:space="preserve">penalty model </w:t>
            </w:r>
            <w:r w:rsidR="00D166D6">
              <w:rPr>
                <w:szCs w:val="22"/>
              </w:rPr>
              <w:t>for the new filing obligations that will be introduced by Making Tax Digital (MTD)</w:t>
            </w:r>
            <w:r w:rsidR="00E20705">
              <w:rPr>
                <w:szCs w:val="22"/>
              </w:rPr>
              <w:t xml:space="preserve">. Such a model should be consistent </w:t>
            </w:r>
            <w:r w:rsidRPr="0037428E">
              <w:rPr>
                <w:szCs w:val="22"/>
              </w:rPr>
              <w:t xml:space="preserve">with the five principles set out in </w:t>
            </w:r>
            <w:r w:rsidR="005E6985">
              <w:rPr>
                <w:szCs w:val="22"/>
              </w:rPr>
              <w:t>‘</w:t>
            </w:r>
            <w:r w:rsidRPr="0037428E">
              <w:rPr>
                <w:szCs w:val="22"/>
              </w:rPr>
              <w:t>HMRC Penalties: a Discussion Document</w:t>
            </w:r>
            <w:r w:rsidR="005E6985">
              <w:rPr>
                <w:szCs w:val="22"/>
              </w:rPr>
              <w:t xml:space="preserve">’. </w:t>
            </w:r>
            <w:r>
              <w:rPr>
                <w:szCs w:val="22"/>
              </w:rPr>
              <w:t>Throughout this response we will be referring to these principles to test whether HMRC’s proposals are consistent with them or not.</w:t>
            </w:r>
            <w:r w:rsidR="00EE4541">
              <w:rPr>
                <w:szCs w:val="22"/>
              </w:rPr>
              <w:t xml:space="preserve"> </w:t>
            </w:r>
            <w:r>
              <w:rPr>
                <w:szCs w:val="22"/>
              </w:rPr>
              <w:t>The</w:t>
            </w:r>
            <w:r w:rsidRPr="0037428E">
              <w:rPr>
                <w:szCs w:val="22"/>
              </w:rPr>
              <w:t xml:space="preserve"> </w:t>
            </w:r>
            <w:r w:rsidR="00EE4541">
              <w:rPr>
                <w:szCs w:val="22"/>
              </w:rPr>
              <w:t xml:space="preserve">five </w:t>
            </w:r>
            <w:r w:rsidRPr="0037428E">
              <w:rPr>
                <w:szCs w:val="22"/>
              </w:rPr>
              <w:t xml:space="preserve">principles are:  </w:t>
            </w:r>
          </w:p>
          <w:p w14:paraId="39D9BC78" w14:textId="3BEC290B" w:rsidR="0037428E" w:rsidRPr="0037428E" w:rsidRDefault="0037428E" w:rsidP="0037428E">
            <w:pPr>
              <w:autoSpaceDE w:val="0"/>
              <w:autoSpaceDN w:val="0"/>
              <w:adjustRightInd w:val="0"/>
              <w:rPr>
                <w:szCs w:val="22"/>
              </w:rPr>
            </w:pPr>
            <w:r w:rsidRPr="0037428E">
              <w:rPr>
                <w:szCs w:val="22"/>
              </w:rPr>
              <w:t xml:space="preserve"> </w:t>
            </w:r>
          </w:p>
          <w:p w14:paraId="78EC8678" w14:textId="77777777" w:rsidR="0037428E" w:rsidRPr="00AE5AA2" w:rsidRDefault="0037428E" w:rsidP="00AE5AA2">
            <w:pPr>
              <w:pStyle w:val="ListParagraph"/>
              <w:numPr>
                <w:ilvl w:val="0"/>
                <w:numId w:val="19"/>
              </w:numPr>
              <w:rPr>
                <w:rFonts w:ascii="Arial" w:hAnsi="Arial" w:cs="Arial"/>
              </w:rPr>
            </w:pPr>
            <w:r w:rsidRPr="00AE5AA2">
              <w:rPr>
                <w:rFonts w:ascii="Arial" w:hAnsi="Arial" w:cs="Arial"/>
              </w:rPr>
              <w:t xml:space="preserve">The penalty regime should be designed from the customer perspective, primarily to encourage compliance and prevent non-compliance. Penalties </w:t>
            </w:r>
            <w:r w:rsidRPr="00AE5AA2">
              <w:rPr>
                <w:rFonts w:ascii="Arial" w:hAnsi="Arial" w:cs="Arial"/>
              </w:rPr>
              <w:lastRenderedPageBreak/>
              <w:t xml:space="preserve">are not to be applied with the objective of raising revenues. </w:t>
            </w:r>
          </w:p>
          <w:p w14:paraId="2F65AF6A" w14:textId="77777777" w:rsidR="0037428E" w:rsidRPr="00AE5AA2" w:rsidRDefault="0037428E" w:rsidP="00AE5AA2">
            <w:pPr>
              <w:pStyle w:val="ListParagraph"/>
              <w:numPr>
                <w:ilvl w:val="0"/>
                <w:numId w:val="19"/>
              </w:numPr>
              <w:rPr>
                <w:rFonts w:ascii="Arial" w:hAnsi="Arial" w:cs="Arial"/>
              </w:rPr>
            </w:pPr>
            <w:r w:rsidRPr="00AE5AA2">
              <w:rPr>
                <w:rFonts w:ascii="Arial" w:hAnsi="Arial" w:cs="Arial"/>
              </w:rPr>
              <w:t xml:space="preserve">Penalties should be proportionate to the offence and may take into account past behaviour. </w:t>
            </w:r>
          </w:p>
          <w:p w14:paraId="4AD1C04A" w14:textId="77777777" w:rsidR="0037428E" w:rsidRPr="00AE5AA2" w:rsidRDefault="0037428E" w:rsidP="00AE5AA2">
            <w:pPr>
              <w:pStyle w:val="ListParagraph"/>
              <w:numPr>
                <w:ilvl w:val="0"/>
                <w:numId w:val="19"/>
              </w:numPr>
              <w:rPr>
                <w:rFonts w:ascii="Arial" w:hAnsi="Arial" w:cs="Arial"/>
              </w:rPr>
            </w:pPr>
            <w:r w:rsidRPr="00AE5AA2">
              <w:rPr>
                <w:rFonts w:ascii="Arial" w:hAnsi="Arial" w:cs="Arial"/>
              </w:rPr>
              <w:t xml:space="preserve">Penalties must be applied fairly, ensuring that compliant customers are (and are seen to be) in a better position than the non-compliant. </w:t>
            </w:r>
          </w:p>
          <w:p w14:paraId="0EF715B0" w14:textId="77777777" w:rsidR="0037428E" w:rsidRPr="00AE5AA2" w:rsidRDefault="0037428E" w:rsidP="00AE5AA2">
            <w:pPr>
              <w:pStyle w:val="ListParagraph"/>
              <w:numPr>
                <w:ilvl w:val="0"/>
                <w:numId w:val="19"/>
              </w:numPr>
              <w:rPr>
                <w:rFonts w:ascii="Arial" w:hAnsi="Arial" w:cs="Arial"/>
              </w:rPr>
            </w:pPr>
            <w:r w:rsidRPr="00AE5AA2">
              <w:rPr>
                <w:rFonts w:ascii="Arial" w:hAnsi="Arial" w:cs="Arial"/>
              </w:rPr>
              <w:t xml:space="preserve">Penalties must provide a credible threat. If there is a penalty, we must have the operational capability and capacity to raise it accurately, and if we raise it, we must be able to collect it in a cost-efficient manner. </w:t>
            </w:r>
          </w:p>
          <w:p w14:paraId="3CE7AC1F" w14:textId="1BCDA942" w:rsidR="0037428E" w:rsidRDefault="0037428E" w:rsidP="00A47A14">
            <w:pPr>
              <w:pStyle w:val="ListParagraph"/>
              <w:numPr>
                <w:ilvl w:val="0"/>
                <w:numId w:val="19"/>
              </w:numPr>
            </w:pPr>
            <w:r w:rsidRPr="00AE5AA2">
              <w:rPr>
                <w:rFonts w:ascii="Arial" w:hAnsi="Arial" w:cs="Arial"/>
              </w:rPr>
              <w:t>Customers should see a consistent and standardised approach. Variations will be those necessary to take into account customer behaviours and particular taxes.</w:t>
            </w:r>
          </w:p>
        </w:tc>
      </w:tr>
      <w:tr w:rsidR="005E6985" w:rsidRPr="003A03F9" w14:paraId="3F96ABA9" w14:textId="77777777" w:rsidTr="00EB0A6C">
        <w:tc>
          <w:tcPr>
            <w:tcW w:w="562" w:type="dxa"/>
          </w:tcPr>
          <w:p w14:paraId="2B0C31F8" w14:textId="77777777" w:rsidR="00E563CC" w:rsidRPr="005E6985" w:rsidRDefault="00E563CC" w:rsidP="00625356">
            <w:pPr>
              <w:numPr>
                <w:ilvl w:val="1"/>
                <w:numId w:val="6"/>
              </w:numPr>
              <w:rPr>
                <w:szCs w:val="22"/>
              </w:rPr>
            </w:pPr>
          </w:p>
        </w:tc>
        <w:tc>
          <w:tcPr>
            <w:tcW w:w="8510" w:type="dxa"/>
          </w:tcPr>
          <w:p w14:paraId="25E93F08" w14:textId="21BC4AF3" w:rsidR="00E563CC" w:rsidRPr="005E6985" w:rsidRDefault="00E563CC" w:rsidP="00E563CC">
            <w:pPr>
              <w:autoSpaceDE w:val="0"/>
              <w:autoSpaceDN w:val="0"/>
              <w:adjustRightInd w:val="0"/>
              <w:rPr>
                <w:szCs w:val="22"/>
              </w:rPr>
            </w:pPr>
            <w:r w:rsidRPr="005E6985">
              <w:rPr>
                <w:szCs w:val="22"/>
              </w:rPr>
              <w:t>We broadly support HMRC’s five penalty principles</w:t>
            </w:r>
            <w:r w:rsidR="005E6985">
              <w:rPr>
                <w:szCs w:val="22"/>
              </w:rPr>
              <w:t xml:space="preserve">. </w:t>
            </w:r>
            <w:r w:rsidRPr="005E6985">
              <w:rPr>
                <w:szCs w:val="22"/>
              </w:rPr>
              <w:t>In our response to HMRC’s 2015 consultation document on penalties</w:t>
            </w:r>
            <w:r w:rsidRPr="005E6985">
              <w:rPr>
                <w:rStyle w:val="FootnoteReference"/>
                <w:szCs w:val="22"/>
              </w:rPr>
              <w:footnoteReference w:id="3"/>
            </w:r>
            <w:r w:rsidRPr="005E6985">
              <w:rPr>
                <w:szCs w:val="22"/>
              </w:rPr>
              <w:t xml:space="preserve"> we </w:t>
            </w:r>
            <w:r w:rsidR="005A71D3" w:rsidRPr="005E6985">
              <w:rPr>
                <w:szCs w:val="22"/>
              </w:rPr>
              <w:t>gave our views on</w:t>
            </w:r>
            <w:r w:rsidRPr="005E6985">
              <w:rPr>
                <w:szCs w:val="22"/>
              </w:rPr>
              <w:t xml:space="preserve"> each of</w:t>
            </w:r>
            <w:r w:rsidR="005A71D3" w:rsidRPr="005E6985">
              <w:rPr>
                <w:szCs w:val="22"/>
              </w:rPr>
              <w:t xml:space="preserve"> the five principles </w:t>
            </w:r>
            <w:r w:rsidRPr="005E6985">
              <w:rPr>
                <w:szCs w:val="22"/>
              </w:rPr>
              <w:t>and also suggested two further principles that we believe should apply</w:t>
            </w:r>
            <w:r w:rsidR="005E6985">
              <w:rPr>
                <w:szCs w:val="22"/>
              </w:rPr>
              <w:t xml:space="preserve">. </w:t>
            </w:r>
            <w:r w:rsidRPr="005E6985">
              <w:rPr>
                <w:szCs w:val="22"/>
              </w:rPr>
              <w:t>These were–</w:t>
            </w:r>
          </w:p>
          <w:p w14:paraId="69EDB144" w14:textId="77777777" w:rsidR="005E6985" w:rsidRPr="005E6985" w:rsidRDefault="005E6985" w:rsidP="00E563CC">
            <w:pPr>
              <w:autoSpaceDE w:val="0"/>
              <w:autoSpaceDN w:val="0"/>
              <w:adjustRightInd w:val="0"/>
              <w:rPr>
                <w:szCs w:val="22"/>
              </w:rPr>
            </w:pPr>
          </w:p>
          <w:p w14:paraId="4EA2DE3B" w14:textId="7B005839" w:rsidR="005E6985" w:rsidRPr="005E6985" w:rsidRDefault="00E563CC" w:rsidP="005E6985">
            <w:pPr>
              <w:pStyle w:val="ListParagraph"/>
              <w:numPr>
                <w:ilvl w:val="0"/>
                <w:numId w:val="26"/>
              </w:numPr>
              <w:autoSpaceDE w:val="0"/>
              <w:autoSpaceDN w:val="0"/>
              <w:adjustRightInd w:val="0"/>
              <w:rPr>
                <w:rFonts w:ascii="Arial" w:hAnsi="Arial" w:cs="Arial"/>
              </w:rPr>
            </w:pPr>
            <w:r w:rsidRPr="005E6985">
              <w:rPr>
                <w:rFonts w:ascii="Arial" w:hAnsi="Arial" w:cs="Arial"/>
              </w:rPr>
              <w:t>that penalties must always be subject to a right of appeal. There must be a visible, clear and easily accessible right of appeal against the imposition of a penalty;</w:t>
            </w:r>
          </w:p>
          <w:p w14:paraId="0DE5AFD1" w14:textId="05EA28C8" w:rsidR="00E563CC" w:rsidRPr="005E6985" w:rsidDel="00B75A0E" w:rsidRDefault="00E563CC" w:rsidP="005E6985">
            <w:pPr>
              <w:pStyle w:val="ListParagraph"/>
              <w:numPr>
                <w:ilvl w:val="0"/>
                <w:numId w:val="26"/>
              </w:numPr>
            </w:pPr>
            <w:r w:rsidRPr="005E6985">
              <w:rPr>
                <w:rFonts w:ascii="Arial" w:hAnsi="Arial" w:cs="Arial"/>
              </w:rPr>
              <w:t>that penalties must be kept as simple as possible, so that they and the policy intention behind them are easily understandable to the ordinary taxpayer.</w:t>
            </w:r>
            <w:r w:rsidR="005E6985">
              <w:br/>
            </w:r>
          </w:p>
        </w:tc>
      </w:tr>
    </w:tbl>
    <w:p w14:paraId="7A98823A" w14:textId="621E1985" w:rsidR="00E06042" w:rsidRDefault="00E06042" w:rsidP="00E06042">
      <w:pPr>
        <w:rPr>
          <w:szCs w:val="22"/>
        </w:rPr>
      </w:pPr>
    </w:p>
    <w:p w14:paraId="23D8AC25" w14:textId="77777777" w:rsidR="005E6985" w:rsidRPr="003A03F9" w:rsidRDefault="005E6985" w:rsidP="00E06042">
      <w:pPr>
        <w:rPr>
          <w:szCs w:val="22"/>
        </w:rPr>
      </w:pPr>
    </w:p>
    <w:tbl>
      <w:tblPr>
        <w:tblW w:w="0" w:type="auto"/>
        <w:tblLook w:val="0000" w:firstRow="0" w:lastRow="0" w:firstColumn="0" w:lastColumn="0" w:noHBand="0" w:noVBand="0"/>
      </w:tblPr>
      <w:tblGrid>
        <w:gridCol w:w="562"/>
        <w:gridCol w:w="8510"/>
      </w:tblGrid>
      <w:tr w:rsidR="00E06042" w:rsidRPr="003A03F9" w14:paraId="04341ECB" w14:textId="77777777" w:rsidTr="00F819D5">
        <w:tc>
          <w:tcPr>
            <w:tcW w:w="562" w:type="dxa"/>
          </w:tcPr>
          <w:p w14:paraId="47C8D791" w14:textId="77777777" w:rsidR="00E06042" w:rsidRPr="003A03F9" w:rsidRDefault="00E06042" w:rsidP="00625356">
            <w:pPr>
              <w:numPr>
                <w:ilvl w:val="0"/>
                <w:numId w:val="6"/>
              </w:numPr>
              <w:rPr>
                <w:szCs w:val="22"/>
              </w:rPr>
            </w:pPr>
          </w:p>
        </w:tc>
        <w:tc>
          <w:tcPr>
            <w:tcW w:w="8510" w:type="dxa"/>
          </w:tcPr>
          <w:p w14:paraId="7F02B01C" w14:textId="77777777" w:rsidR="00625356" w:rsidRDefault="004566FE" w:rsidP="00625356">
            <w:pPr>
              <w:rPr>
                <w:b/>
                <w:bCs/>
                <w:szCs w:val="22"/>
              </w:rPr>
            </w:pPr>
            <w:r w:rsidRPr="003A03F9">
              <w:rPr>
                <w:b/>
                <w:bCs/>
                <w:szCs w:val="22"/>
              </w:rPr>
              <w:t>Executive summary</w:t>
            </w:r>
          </w:p>
          <w:p w14:paraId="30FDA88D" w14:textId="77777777" w:rsidR="00832D19" w:rsidRDefault="00832D19" w:rsidP="00625356">
            <w:pPr>
              <w:rPr>
                <w:b/>
                <w:bCs/>
                <w:szCs w:val="22"/>
              </w:rPr>
            </w:pPr>
          </w:p>
          <w:p w14:paraId="08352B44" w14:textId="7DDC5C9F" w:rsidR="00832D19" w:rsidRPr="005A71D3" w:rsidRDefault="00832D19" w:rsidP="00625356">
            <w:pPr>
              <w:rPr>
                <w:b/>
                <w:bCs/>
                <w:szCs w:val="22"/>
                <w:u w:val="single"/>
              </w:rPr>
            </w:pPr>
            <w:r w:rsidRPr="005A71D3">
              <w:rPr>
                <w:b/>
                <w:bCs/>
                <w:szCs w:val="22"/>
                <w:u w:val="single"/>
              </w:rPr>
              <w:t>The Penalty Models</w:t>
            </w:r>
          </w:p>
          <w:p w14:paraId="252B2B98" w14:textId="77777777" w:rsidR="00E06042" w:rsidRPr="003A03F9" w:rsidRDefault="00E06042" w:rsidP="002B605B">
            <w:pPr>
              <w:rPr>
                <w:szCs w:val="22"/>
              </w:rPr>
            </w:pPr>
          </w:p>
        </w:tc>
      </w:tr>
      <w:tr w:rsidR="00EB0A6C" w:rsidRPr="003A03F9" w14:paraId="287FC5D2" w14:textId="77777777" w:rsidTr="00F819D5">
        <w:tc>
          <w:tcPr>
            <w:tcW w:w="562" w:type="dxa"/>
          </w:tcPr>
          <w:p w14:paraId="0148AD05" w14:textId="77777777" w:rsidR="00EB0A6C" w:rsidRPr="00645954" w:rsidRDefault="00EB0A6C" w:rsidP="00625356">
            <w:pPr>
              <w:numPr>
                <w:ilvl w:val="1"/>
                <w:numId w:val="6"/>
              </w:numPr>
              <w:rPr>
                <w:szCs w:val="22"/>
              </w:rPr>
            </w:pPr>
          </w:p>
        </w:tc>
        <w:tc>
          <w:tcPr>
            <w:tcW w:w="8510" w:type="dxa"/>
          </w:tcPr>
          <w:p w14:paraId="52C6AD47" w14:textId="615656A3" w:rsidR="00B84F40" w:rsidRDefault="00B84F40" w:rsidP="00B84F40">
            <w:pPr>
              <w:pStyle w:val="Heading2"/>
              <w:rPr>
                <w:b w:val="0"/>
                <w:i w:val="0"/>
                <w:szCs w:val="22"/>
              </w:rPr>
            </w:pPr>
            <w:r>
              <w:rPr>
                <w:b w:val="0"/>
                <w:i w:val="0"/>
                <w:szCs w:val="22"/>
              </w:rPr>
              <w:t xml:space="preserve">Of the three models discussed in the consultation document, on balance, we prefer Model C – </w:t>
            </w:r>
            <w:r w:rsidR="005E6985">
              <w:rPr>
                <w:b w:val="0"/>
                <w:i w:val="0"/>
                <w:szCs w:val="22"/>
              </w:rPr>
              <w:t>‘</w:t>
            </w:r>
            <w:r>
              <w:rPr>
                <w:b w:val="0"/>
                <w:i w:val="0"/>
                <w:szCs w:val="22"/>
              </w:rPr>
              <w:t>Suspension of penalties</w:t>
            </w:r>
            <w:r w:rsidR="005E6985">
              <w:rPr>
                <w:b w:val="0"/>
                <w:i w:val="0"/>
                <w:szCs w:val="22"/>
              </w:rPr>
              <w:t>’</w:t>
            </w:r>
            <w:r>
              <w:rPr>
                <w:b w:val="0"/>
                <w:i w:val="0"/>
                <w:szCs w:val="22"/>
              </w:rPr>
              <w:t xml:space="preserve"> because it sets conditions which would encourage the submission of late filings to avoid a penalty (principle 1). In our view, the other models will not do this as effectively. We also think it is relatively easy to understand. </w:t>
            </w:r>
          </w:p>
          <w:p w14:paraId="5C223CB5" w14:textId="77777777" w:rsidR="00EB0A6C" w:rsidRPr="00645954" w:rsidRDefault="00EB0A6C" w:rsidP="00E563CC">
            <w:pPr>
              <w:rPr>
                <w:szCs w:val="22"/>
              </w:rPr>
            </w:pPr>
          </w:p>
        </w:tc>
      </w:tr>
      <w:tr w:rsidR="00B84F40" w:rsidRPr="003A03F9" w14:paraId="0AFC8110" w14:textId="77777777" w:rsidTr="00F819D5">
        <w:tc>
          <w:tcPr>
            <w:tcW w:w="562" w:type="dxa"/>
          </w:tcPr>
          <w:p w14:paraId="0A5CAAEE" w14:textId="77777777" w:rsidR="00B84F40" w:rsidRPr="00645954" w:rsidRDefault="00B84F40" w:rsidP="00625356">
            <w:pPr>
              <w:numPr>
                <w:ilvl w:val="1"/>
                <w:numId w:val="6"/>
              </w:numPr>
              <w:rPr>
                <w:szCs w:val="22"/>
              </w:rPr>
            </w:pPr>
          </w:p>
        </w:tc>
        <w:tc>
          <w:tcPr>
            <w:tcW w:w="8510" w:type="dxa"/>
          </w:tcPr>
          <w:p w14:paraId="6B4D06D3" w14:textId="7E3164FA" w:rsidR="00B84F40" w:rsidRDefault="00B84F40" w:rsidP="00B84F40">
            <w:pPr>
              <w:pStyle w:val="Heading2"/>
              <w:rPr>
                <w:b w:val="0"/>
                <w:i w:val="0"/>
                <w:szCs w:val="22"/>
              </w:rPr>
            </w:pPr>
            <w:r>
              <w:rPr>
                <w:b w:val="0"/>
                <w:i w:val="0"/>
                <w:szCs w:val="22"/>
              </w:rPr>
              <w:t xml:space="preserve">We think that Model A – </w:t>
            </w:r>
            <w:r w:rsidR="005E6985">
              <w:rPr>
                <w:b w:val="0"/>
                <w:i w:val="0"/>
                <w:szCs w:val="22"/>
              </w:rPr>
              <w:t>‘</w:t>
            </w:r>
            <w:r>
              <w:rPr>
                <w:b w:val="0"/>
                <w:i w:val="0"/>
                <w:szCs w:val="22"/>
              </w:rPr>
              <w:t>Points based</w:t>
            </w:r>
            <w:r w:rsidR="005E6985">
              <w:rPr>
                <w:b w:val="0"/>
                <w:i w:val="0"/>
                <w:szCs w:val="22"/>
              </w:rPr>
              <w:t>’</w:t>
            </w:r>
            <w:r>
              <w:rPr>
                <w:b w:val="0"/>
                <w:i w:val="0"/>
                <w:szCs w:val="22"/>
              </w:rPr>
              <w:t xml:space="preserve"> </w:t>
            </w:r>
            <w:r w:rsidRPr="00BD3123">
              <w:rPr>
                <w:b w:val="0"/>
                <w:i w:val="0"/>
                <w:szCs w:val="22"/>
              </w:rPr>
              <w:t>also has some attractions</w:t>
            </w:r>
            <w:r>
              <w:rPr>
                <w:b w:val="0"/>
                <w:i w:val="0"/>
                <w:szCs w:val="22"/>
              </w:rPr>
              <w:t>. It will provide the taxpayer with a ‘warning’ that they need to work at improving their compliance in order to avoid a monetary penalty, but there is a risk that, without penalties having a 'shelf life' there could be a significant length of time between getting a point and getting a penalty</w:t>
            </w:r>
            <w:r w:rsidR="005E6985">
              <w:rPr>
                <w:b w:val="0"/>
                <w:i w:val="0"/>
                <w:szCs w:val="22"/>
              </w:rPr>
              <w:t xml:space="preserve">. </w:t>
            </w:r>
            <w:r>
              <w:rPr>
                <w:b w:val="0"/>
                <w:i w:val="0"/>
                <w:szCs w:val="22"/>
              </w:rPr>
              <w:t>This could reduce the effectiveness of the model (principle 4).</w:t>
            </w:r>
          </w:p>
          <w:p w14:paraId="20161A52" w14:textId="20B80242" w:rsidR="00B84F40" w:rsidRPr="00B84F40" w:rsidRDefault="00B84F40" w:rsidP="00B84F40"/>
        </w:tc>
      </w:tr>
      <w:tr w:rsidR="00B84F40" w:rsidRPr="003A03F9" w14:paraId="31C00E49" w14:textId="77777777" w:rsidTr="00F819D5">
        <w:tc>
          <w:tcPr>
            <w:tcW w:w="562" w:type="dxa"/>
          </w:tcPr>
          <w:p w14:paraId="708CEEEE" w14:textId="77777777" w:rsidR="00B84F40" w:rsidRPr="00645954" w:rsidRDefault="00B84F40" w:rsidP="00625356">
            <w:pPr>
              <w:numPr>
                <w:ilvl w:val="1"/>
                <w:numId w:val="6"/>
              </w:numPr>
              <w:rPr>
                <w:szCs w:val="22"/>
              </w:rPr>
            </w:pPr>
          </w:p>
        </w:tc>
        <w:tc>
          <w:tcPr>
            <w:tcW w:w="8510" w:type="dxa"/>
          </w:tcPr>
          <w:p w14:paraId="2A5517AB" w14:textId="5D41A790" w:rsidR="00B84F40" w:rsidRDefault="00B84F40" w:rsidP="00B84F40">
            <w:pPr>
              <w:pStyle w:val="Heading2"/>
              <w:rPr>
                <w:b w:val="0"/>
                <w:i w:val="0"/>
                <w:szCs w:val="22"/>
              </w:rPr>
            </w:pPr>
            <w:r>
              <w:rPr>
                <w:b w:val="0"/>
                <w:i w:val="0"/>
                <w:szCs w:val="22"/>
              </w:rPr>
              <w:t xml:space="preserve">Attached to </w:t>
            </w:r>
            <w:r w:rsidR="0076079E">
              <w:rPr>
                <w:b w:val="0"/>
                <w:i w:val="0"/>
                <w:szCs w:val="22"/>
              </w:rPr>
              <w:t>this</w:t>
            </w:r>
            <w:r>
              <w:rPr>
                <w:b w:val="0"/>
                <w:i w:val="0"/>
                <w:szCs w:val="22"/>
              </w:rPr>
              <w:t xml:space="preserve"> submission </w:t>
            </w:r>
            <w:r w:rsidR="00624A52">
              <w:rPr>
                <w:b w:val="0"/>
                <w:i w:val="0"/>
                <w:szCs w:val="22"/>
              </w:rPr>
              <w:t>are two</w:t>
            </w:r>
            <w:r>
              <w:rPr>
                <w:b w:val="0"/>
                <w:i w:val="0"/>
                <w:szCs w:val="22"/>
              </w:rPr>
              <w:t xml:space="preserve"> spreadsheet</w:t>
            </w:r>
            <w:r w:rsidR="00624A52">
              <w:rPr>
                <w:b w:val="0"/>
                <w:i w:val="0"/>
                <w:szCs w:val="22"/>
              </w:rPr>
              <w:t>s</w:t>
            </w:r>
            <w:r>
              <w:rPr>
                <w:b w:val="0"/>
                <w:i w:val="0"/>
                <w:szCs w:val="22"/>
              </w:rPr>
              <w:t xml:space="preserve"> with our suggestions for how the suspension model and points based model might look</w:t>
            </w:r>
            <w:r w:rsidR="005E6985">
              <w:rPr>
                <w:b w:val="0"/>
                <w:i w:val="0"/>
                <w:szCs w:val="22"/>
              </w:rPr>
              <w:t xml:space="preserve">. </w:t>
            </w:r>
            <w:r>
              <w:rPr>
                <w:b w:val="0"/>
                <w:i w:val="0"/>
                <w:szCs w:val="22"/>
              </w:rPr>
              <w:t xml:space="preserve">We also attach two flowcharts showing how our proposed </w:t>
            </w:r>
            <w:r w:rsidR="00624A52">
              <w:rPr>
                <w:b w:val="0"/>
                <w:i w:val="0"/>
                <w:szCs w:val="22"/>
              </w:rPr>
              <w:t xml:space="preserve">cumulative </w:t>
            </w:r>
            <w:r>
              <w:rPr>
                <w:b w:val="0"/>
                <w:i w:val="0"/>
                <w:szCs w:val="22"/>
              </w:rPr>
              <w:t>suspension model would operate</w:t>
            </w:r>
            <w:r w:rsidR="005E6985">
              <w:rPr>
                <w:b w:val="0"/>
                <w:i w:val="0"/>
                <w:szCs w:val="22"/>
              </w:rPr>
              <w:t xml:space="preserve">. </w:t>
            </w:r>
            <w:r>
              <w:rPr>
                <w:b w:val="0"/>
                <w:i w:val="0"/>
                <w:szCs w:val="22"/>
              </w:rPr>
              <w:t>We discuss this in more detail below.</w:t>
            </w:r>
          </w:p>
          <w:p w14:paraId="69B722D4" w14:textId="77777777" w:rsidR="00B84F40" w:rsidRDefault="00B84F40" w:rsidP="00B84F40">
            <w:pPr>
              <w:rPr>
                <w:b/>
                <w:i/>
                <w:szCs w:val="22"/>
              </w:rPr>
            </w:pPr>
          </w:p>
        </w:tc>
      </w:tr>
      <w:tr w:rsidR="006021E2" w:rsidRPr="003A03F9" w14:paraId="1924002B" w14:textId="77777777" w:rsidTr="00F819D5">
        <w:tc>
          <w:tcPr>
            <w:tcW w:w="562" w:type="dxa"/>
          </w:tcPr>
          <w:p w14:paraId="22F4EDBA" w14:textId="77777777" w:rsidR="006021E2" w:rsidRPr="00645954" w:rsidRDefault="006021E2" w:rsidP="00625356">
            <w:pPr>
              <w:numPr>
                <w:ilvl w:val="1"/>
                <w:numId w:val="6"/>
              </w:numPr>
              <w:rPr>
                <w:szCs w:val="22"/>
              </w:rPr>
            </w:pPr>
          </w:p>
        </w:tc>
        <w:tc>
          <w:tcPr>
            <w:tcW w:w="8510" w:type="dxa"/>
          </w:tcPr>
          <w:p w14:paraId="6B112FC1" w14:textId="77777777" w:rsidR="006021E2" w:rsidRDefault="006021E2" w:rsidP="00B84F40">
            <w:pPr>
              <w:pStyle w:val="Heading2"/>
              <w:rPr>
                <w:b w:val="0"/>
                <w:i w:val="0"/>
                <w:szCs w:val="22"/>
              </w:rPr>
            </w:pPr>
            <w:r>
              <w:rPr>
                <w:b w:val="0"/>
                <w:i w:val="0"/>
                <w:szCs w:val="22"/>
              </w:rPr>
              <w:t>We would be pleased to have the opportunity to meet with HMRC to discuss our suggestions in more detail.</w:t>
            </w:r>
          </w:p>
          <w:p w14:paraId="2950BB09" w14:textId="6234B2BF" w:rsidR="006021E2" w:rsidRPr="006021E2" w:rsidRDefault="006021E2" w:rsidP="006021E2"/>
        </w:tc>
      </w:tr>
      <w:tr w:rsidR="00B84F40" w:rsidRPr="003A03F9" w14:paraId="33F029FC" w14:textId="77777777" w:rsidTr="00F819D5">
        <w:tc>
          <w:tcPr>
            <w:tcW w:w="562" w:type="dxa"/>
          </w:tcPr>
          <w:p w14:paraId="7F81A44A" w14:textId="0D61F2F5" w:rsidR="00B84F40" w:rsidRPr="00645954" w:rsidRDefault="00B84F40" w:rsidP="00625356">
            <w:pPr>
              <w:numPr>
                <w:ilvl w:val="1"/>
                <w:numId w:val="6"/>
              </w:numPr>
              <w:rPr>
                <w:szCs w:val="22"/>
              </w:rPr>
            </w:pPr>
          </w:p>
        </w:tc>
        <w:tc>
          <w:tcPr>
            <w:tcW w:w="8510" w:type="dxa"/>
          </w:tcPr>
          <w:p w14:paraId="70114DA8" w14:textId="60AAF1B4" w:rsidR="00B84F40" w:rsidRDefault="00B84F40" w:rsidP="00B84F40">
            <w:pPr>
              <w:rPr>
                <w:szCs w:val="22"/>
              </w:rPr>
            </w:pPr>
            <w:r>
              <w:rPr>
                <w:szCs w:val="22"/>
              </w:rPr>
              <w:t xml:space="preserve">We do not favour Model B – </w:t>
            </w:r>
            <w:r w:rsidR="005E6985">
              <w:rPr>
                <w:szCs w:val="22"/>
              </w:rPr>
              <w:t>‘</w:t>
            </w:r>
            <w:r>
              <w:rPr>
                <w:szCs w:val="22"/>
              </w:rPr>
              <w:t>Regular review of compliance</w:t>
            </w:r>
            <w:r w:rsidR="005E6985">
              <w:rPr>
                <w:szCs w:val="22"/>
              </w:rPr>
              <w:t>’</w:t>
            </w:r>
            <w:r>
              <w:rPr>
                <w:szCs w:val="22"/>
              </w:rPr>
              <w:t xml:space="preserve"> because the taxpayer will not know until sometime after their initial failure what the consequences will be of </w:t>
            </w:r>
            <w:r>
              <w:rPr>
                <w:szCs w:val="22"/>
              </w:rPr>
              <w:lastRenderedPageBreak/>
              <w:t>that and other failures as the review is not being done in real time</w:t>
            </w:r>
            <w:r w:rsidR="005E6985">
              <w:rPr>
                <w:szCs w:val="22"/>
              </w:rPr>
              <w:t xml:space="preserve">. </w:t>
            </w:r>
          </w:p>
          <w:p w14:paraId="2B88A35E" w14:textId="77777777" w:rsidR="00B84F40" w:rsidRDefault="00B84F40" w:rsidP="00B84F40">
            <w:pPr>
              <w:pStyle w:val="Heading2"/>
              <w:rPr>
                <w:szCs w:val="22"/>
              </w:rPr>
            </w:pPr>
          </w:p>
        </w:tc>
      </w:tr>
      <w:tr w:rsidR="00B84F40" w:rsidRPr="003A03F9" w14:paraId="0E2993FC" w14:textId="77777777" w:rsidTr="00F819D5">
        <w:tc>
          <w:tcPr>
            <w:tcW w:w="562" w:type="dxa"/>
          </w:tcPr>
          <w:p w14:paraId="4CA53639" w14:textId="77777777" w:rsidR="00B84F40" w:rsidRPr="00645954" w:rsidRDefault="00B84F40" w:rsidP="00625356">
            <w:pPr>
              <w:numPr>
                <w:ilvl w:val="1"/>
                <w:numId w:val="6"/>
              </w:numPr>
              <w:rPr>
                <w:szCs w:val="22"/>
              </w:rPr>
            </w:pPr>
          </w:p>
        </w:tc>
        <w:tc>
          <w:tcPr>
            <w:tcW w:w="8510" w:type="dxa"/>
          </w:tcPr>
          <w:p w14:paraId="008E5E87" w14:textId="77777777" w:rsidR="00B84F40" w:rsidRPr="00155C3C" w:rsidRDefault="00B84F40" w:rsidP="00B84F40">
            <w:pPr>
              <w:rPr>
                <w:szCs w:val="22"/>
              </w:rPr>
            </w:pPr>
            <w:r w:rsidRPr="00155C3C">
              <w:t xml:space="preserve">Not knowing how the penalty regime will operate when a taxpayer has multiple MTD filings </w:t>
            </w:r>
            <w:r>
              <w:t xml:space="preserve">within a particular tax </w:t>
            </w:r>
            <w:r w:rsidRPr="00155C3C">
              <w:t>(</w:t>
            </w:r>
            <w:proofErr w:type="spellStart"/>
            <w:r w:rsidRPr="00155C3C">
              <w:t>eg</w:t>
            </w:r>
            <w:proofErr w:type="spellEnd"/>
            <w:r w:rsidRPr="00155C3C">
              <w:t xml:space="preserve"> because </w:t>
            </w:r>
            <w:r>
              <w:t>a taxpayer has</w:t>
            </w:r>
            <w:r w:rsidRPr="00155C3C">
              <w:t xml:space="preserve"> one or more self-employed businesses and/or a let property) </w:t>
            </w:r>
            <w:r>
              <w:t xml:space="preserve">has made </w:t>
            </w:r>
            <w:r w:rsidRPr="00155C3C">
              <w:t>it harder to comment.</w:t>
            </w:r>
            <w:r>
              <w:t xml:space="preserve"> For the avoidance of any doubt, o</w:t>
            </w:r>
            <w:r w:rsidRPr="00155C3C">
              <w:t xml:space="preserve">ur view is that it would </w:t>
            </w:r>
            <w:r>
              <w:t xml:space="preserve">more closely respect the five penalty principles if </w:t>
            </w:r>
            <w:r w:rsidRPr="00155C3C">
              <w:t>the different filing</w:t>
            </w:r>
            <w:r>
              <w:t xml:space="preserve"> obligation</w:t>
            </w:r>
            <w:r w:rsidRPr="00155C3C">
              <w:t>s</w:t>
            </w:r>
            <w:r>
              <w:t xml:space="preserve"> were kept</w:t>
            </w:r>
            <w:r w:rsidRPr="00155C3C">
              <w:t xml:space="preserve"> separate for penalty purposes</w:t>
            </w:r>
            <w:r>
              <w:t>; in effect as if they were separate taxes</w:t>
            </w:r>
            <w:r w:rsidRPr="00155C3C">
              <w:t>.</w:t>
            </w:r>
          </w:p>
          <w:p w14:paraId="791DFAC0" w14:textId="77777777" w:rsidR="00B84F40" w:rsidRDefault="00B84F40" w:rsidP="00B84F40">
            <w:pPr>
              <w:pStyle w:val="Heading2"/>
              <w:rPr>
                <w:b w:val="0"/>
                <w:i w:val="0"/>
                <w:szCs w:val="22"/>
              </w:rPr>
            </w:pPr>
          </w:p>
        </w:tc>
      </w:tr>
      <w:tr w:rsidR="00832D19" w:rsidRPr="003A03F9" w14:paraId="03C1F81A" w14:textId="77777777" w:rsidTr="00F819D5">
        <w:tc>
          <w:tcPr>
            <w:tcW w:w="562" w:type="dxa"/>
          </w:tcPr>
          <w:p w14:paraId="43207309" w14:textId="77777777" w:rsidR="00832D19" w:rsidRPr="00645954" w:rsidRDefault="00832D19" w:rsidP="00625356">
            <w:pPr>
              <w:numPr>
                <w:ilvl w:val="1"/>
                <w:numId w:val="6"/>
              </w:numPr>
              <w:rPr>
                <w:szCs w:val="22"/>
              </w:rPr>
            </w:pPr>
          </w:p>
        </w:tc>
        <w:tc>
          <w:tcPr>
            <w:tcW w:w="8510" w:type="dxa"/>
          </w:tcPr>
          <w:p w14:paraId="1265B01C" w14:textId="77777777" w:rsidR="00832D19" w:rsidRDefault="00832D19" w:rsidP="00832D19">
            <w:pPr>
              <w:rPr>
                <w:szCs w:val="22"/>
              </w:rPr>
            </w:pPr>
            <w:r>
              <w:rPr>
                <w:szCs w:val="22"/>
              </w:rPr>
              <w:t>Some of our comments on the various penalty models are inevitably made without a full understanding and appreciation of how the MTD software might work since it is currently still in the development and testing phase. Our comments are made with the intention that they might influence how the software will eventually work in practice in order to support an effective penalty regime.</w:t>
            </w:r>
          </w:p>
          <w:p w14:paraId="4EEA0B57" w14:textId="77777777" w:rsidR="00832D19" w:rsidRPr="00AC2025" w:rsidRDefault="00832D19" w:rsidP="00AC2025"/>
        </w:tc>
      </w:tr>
      <w:tr w:rsidR="00832D19" w:rsidRPr="003A03F9" w14:paraId="46D8B20F" w14:textId="77777777" w:rsidTr="00F819D5">
        <w:tc>
          <w:tcPr>
            <w:tcW w:w="562" w:type="dxa"/>
          </w:tcPr>
          <w:p w14:paraId="2E9E2CA6" w14:textId="77777777" w:rsidR="00832D19" w:rsidRPr="00645954" w:rsidRDefault="00832D19" w:rsidP="00625356">
            <w:pPr>
              <w:numPr>
                <w:ilvl w:val="1"/>
                <w:numId w:val="6"/>
              </w:numPr>
              <w:rPr>
                <w:szCs w:val="22"/>
              </w:rPr>
            </w:pPr>
          </w:p>
        </w:tc>
        <w:tc>
          <w:tcPr>
            <w:tcW w:w="8510" w:type="dxa"/>
          </w:tcPr>
          <w:p w14:paraId="2604CEF5" w14:textId="74251874" w:rsidR="00832D19" w:rsidRPr="002E3881" w:rsidRDefault="00832D19" w:rsidP="002E3881">
            <w:pPr>
              <w:pStyle w:val="CommentText"/>
              <w:rPr>
                <w:sz w:val="22"/>
              </w:rPr>
            </w:pPr>
            <w:r w:rsidRPr="002E3881">
              <w:rPr>
                <w:sz w:val="22"/>
                <w:szCs w:val="22"/>
              </w:rPr>
              <w:t>The consultation document does not consider the size of the penalty and we understand that no public consultation will take place on this aspect</w:t>
            </w:r>
            <w:r w:rsidR="005E6985">
              <w:rPr>
                <w:sz w:val="22"/>
                <w:szCs w:val="22"/>
              </w:rPr>
              <w:t xml:space="preserve">. </w:t>
            </w:r>
            <w:r w:rsidR="002E3881">
              <w:rPr>
                <w:sz w:val="22"/>
                <w:szCs w:val="22"/>
              </w:rPr>
              <w:t>Ideally, a simple penalty system is needed and that would be a fixed penalty at the start, even if this means forgoing a little fairness to get simplicity. W</w:t>
            </w:r>
            <w:r w:rsidR="002E3881" w:rsidRPr="002E3881">
              <w:rPr>
                <w:sz w:val="22"/>
                <w:szCs w:val="22"/>
              </w:rPr>
              <w:t>e</w:t>
            </w:r>
            <w:r w:rsidR="002E3881">
              <w:rPr>
                <w:sz w:val="22"/>
                <w:szCs w:val="22"/>
              </w:rPr>
              <w:t xml:space="preserve"> would </w:t>
            </w:r>
            <w:r w:rsidR="002E3881" w:rsidRPr="002E3881">
              <w:rPr>
                <w:sz w:val="22"/>
                <w:szCs w:val="22"/>
              </w:rPr>
              <w:t xml:space="preserve">suggest </w:t>
            </w:r>
            <w:r w:rsidR="002E3881">
              <w:rPr>
                <w:sz w:val="22"/>
                <w:szCs w:val="22"/>
              </w:rPr>
              <w:t>that</w:t>
            </w:r>
            <w:r w:rsidR="002E3881" w:rsidRPr="002E3881">
              <w:rPr>
                <w:sz w:val="22"/>
                <w:szCs w:val="22"/>
              </w:rPr>
              <w:t xml:space="preserve"> £100 is a good starting point. </w:t>
            </w:r>
            <w:r w:rsidR="002E3881">
              <w:rPr>
                <w:sz w:val="22"/>
              </w:rPr>
              <w:t>T</w:t>
            </w:r>
            <w:r w:rsidRPr="002E3881">
              <w:rPr>
                <w:sz w:val="22"/>
              </w:rPr>
              <w:t xml:space="preserve">he consultation is </w:t>
            </w:r>
            <w:r w:rsidR="002E3881">
              <w:rPr>
                <w:sz w:val="22"/>
              </w:rPr>
              <w:t xml:space="preserve">also </w:t>
            </w:r>
            <w:r w:rsidRPr="002E3881">
              <w:rPr>
                <w:sz w:val="22"/>
              </w:rPr>
              <w:t>silent on whether there will be any repeat or escalation of penalties for continued non-compliance</w:t>
            </w:r>
            <w:r w:rsidR="005E6985">
              <w:rPr>
                <w:sz w:val="22"/>
              </w:rPr>
              <w:t xml:space="preserve">. </w:t>
            </w:r>
            <w:r w:rsidRPr="002E3881">
              <w:rPr>
                <w:sz w:val="22"/>
              </w:rPr>
              <w:t>Therefore it is not clear how the penalty model will deal with continued failures to submit information.</w:t>
            </w:r>
          </w:p>
          <w:p w14:paraId="0523BB65" w14:textId="77777777" w:rsidR="00832D19" w:rsidRDefault="00832D19" w:rsidP="00832D19">
            <w:pPr>
              <w:rPr>
                <w:szCs w:val="22"/>
              </w:rPr>
            </w:pPr>
          </w:p>
        </w:tc>
      </w:tr>
      <w:tr w:rsidR="00E563CC" w:rsidRPr="003A03F9" w14:paraId="66C1B504" w14:textId="77777777" w:rsidTr="00F819D5">
        <w:tc>
          <w:tcPr>
            <w:tcW w:w="562" w:type="dxa"/>
          </w:tcPr>
          <w:p w14:paraId="41B128AB" w14:textId="77777777" w:rsidR="00E563CC" w:rsidRPr="00645954" w:rsidRDefault="00E563CC" w:rsidP="00625356">
            <w:pPr>
              <w:numPr>
                <w:ilvl w:val="1"/>
                <w:numId w:val="6"/>
              </w:numPr>
              <w:rPr>
                <w:szCs w:val="22"/>
              </w:rPr>
            </w:pPr>
          </w:p>
        </w:tc>
        <w:tc>
          <w:tcPr>
            <w:tcW w:w="8510" w:type="dxa"/>
          </w:tcPr>
          <w:p w14:paraId="1425ECAF" w14:textId="74D204EA" w:rsidR="00E563CC" w:rsidRDefault="00E563CC" w:rsidP="00E563CC">
            <w:r>
              <w:rPr>
                <w:szCs w:val="22"/>
              </w:rPr>
              <w:t>Agents must be able to see their individual clients’ compliance history and penalty record, whichever penalty model is chosen</w:t>
            </w:r>
            <w:r w:rsidR="005E6985">
              <w:rPr>
                <w:szCs w:val="22"/>
              </w:rPr>
              <w:t xml:space="preserve">. </w:t>
            </w:r>
            <w:r>
              <w:rPr>
                <w:szCs w:val="22"/>
              </w:rPr>
              <w:t>Furthermore, agents must be able to appeal on their clients’ behalf against penalties and penalty points that have been issued to their clients. Where the appeal process is digital by default, agents must also be able to appeal by digital means.</w:t>
            </w:r>
          </w:p>
          <w:p w14:paraId="44720F4C" w14:textId="77777777" w:rsidR="00E563CC" w:rsidRDefault="00E563CC" w:rsidP="00832D19"/>
        </w:tc>
      </w:tr>
      <w:tr w:rsidR="00E563CC" w:rsidRPr="003A03F9" w14:paraId="7BAA9C53" w14:textId="77777777" w:rsidTr="00F819D5">
        <w:tc>
          <w:tcPr>
            <w:tcW w:w="562" w:type="dxa"/>
          </w:tcPr>
          <w:p w14:paraId="28FA9924" w14:textId="77777777" w:rsidR="00E563CC" w:rsidRPr="00645954" w:rsidRDefault="00E563CC" w:rsidP="00625356">
            <w:pPr>
              <w:numPr>
                <w:ilvl w:val="1"/>
                <w:numId w:val="6"/>
              </w:numPr>
              <w:rPr>
                <w:szCs w:val="22"/>
              </w:rPr>
            </w:pPr>
          </w:p>
        </w:tc>
        <w:tc>
          <w:tcPr>
            <w:tcW w:w="8510" w:type="dxa"/>
          </w:tcPr>
          <w:p w14:paraId="38B34787" w14:textId="22943F7C" w:rsidR="00E563CC" w:rsidRDefault="00E563CC" w:rsidP="00E563CC">
            <w:pPr>
              <w:autoSpaceDE w:val="0"/>
              <w:autoSpaceDN w:val="0"/>
              <w:adjustRightInd w:val="0"/>
              <w:rPr>
                <w:szCs w:val="22"/>
              </w:rPr>
            </w:pPr>
            <w:r>
              <w:rPr>
                <w:szCs w:val="22"/>
              </w:rPr>
              <w:t xml:space="preserve">We recommend that draft legislation is published for consultation, particularly as this </w:t>
            </w:r>
            <w:r w:rsidR="002E3881">
              <w:rPr>
                <w:szCs w:val="22"/>
              </w:rPr>
              <w:t xml:space="preserve">may </w:t>
            </w:r>
            <w:r>
              <w:rPr>
                <w:szCs w:val="22"/>
              </w:rPr>
              <w:t>contain the details about the amount of the penalty, as well as how the penalty system will operate.</w:t>
            </w:r>
          </w:p>
          <w:p w14:paraId="30D1CCCD" w14:textId="77777777" w:rsidR="00E563CC" w:rsidRDefault="00E563CC" w:rsidP="00E563CC">
            <w:pPr>
              <w:rPr>
                <w:szCs w:val="22"/>
              </w:rPr>
            </w:pPr>
          </w:p>
        </w:tc>
      </w:tr>
      <w:tr w:rsidR="005A71D3" w:rsidRPr="003A03F9" w14:paraId="4C83F1D6" w14:textId="77777777" w:rsidTr="00F819D5">
        <w:tc>
          <w:tcPr>
            <w:tcW w:w="562" w:type="dxa"/>
          </w:tcPr>
          <w:p w14:paraId="27ADF104" w14:textId="77777777" w:rsidR="005A71D3" w:rsidRPr="00645954" w:rsidRDefault="005A71D3" w:rsidP="00625356">
            <w:pPr>
              <w:numPr>
                <w:ilvl w:val="1"/>
                <w:numId w:val="6"/>
              </w:numPr>
              <w:rPr>
                <w:szCs w:val="22"/>
              </w:rPr>
            </w:pPr>
          </w:p>
        </w:tc>
        <w:tc>
          <w:tcPr>
            <w:tcW w:w="8510" w:type="dxa"/>
          </w:tcPr>
          <w:p w14:paraId="70EB44CD" w14:textId="3623C1B4" w:rsidR="005A71D3" w:rsidRDefault="005A71D3" w:rsidP="00E563CC">
            <w:pPr>
              <w:autoSpaceDE w:val="0"/>
              <w:autoSpaceDN w:val="0"/>
              <w:adjustRightInd w:val="0"/>
              <w:rPr>
                <w:szCs w:val="22"/>
              </w:rPr>
            </w:pPr>
            <w:r>
              <w:rPr>
                <w:szCs w:val="22"/>
              </w:rPr>
              <w:t>The CIOT would be happy to work collaboratively with HMRC on the development of whatever penalty model is chosen.</w:t>
            </w:r>
          </w:p>
          <w:p w14:paraId="5703EC0F" w14:textId="1A4AD29D" w:rsidR="005A71D3" w:rsidRDefault="005A71D3" w:rsidP="00E563CC">
            <w:pPr>
              <w:autoSpaceDE w:val="0"/>
              <w:autoSpaceDN w:val="0"/>
              <w:adjustRightInd w:val="0"/>
              <w:rPr>
                <w:szCs w:val="22"/>
              </w:rPr>
            </w:pPr>
          </w:p>
        </w:tc>
      </w:tr>
      <w:tr w:rsidR="0076079E" w:rsidRPr="003A03F9" w14:paraId="204AF91B" w14:textId="77777777" w:rsidTr="00F819D5">
        <w:tc>
          <w:tcPr>
            <w:tcW w:w="562" w:type="dxa"/>
          </w:tcPr>
          <w:p w14:paraId="5759F0BD" w14:textId="77777777" w:rsidR="0076079E" w:rsidRPr="00645954" w:rsidRDefault="0076079E" w:rsidP="00625356">
            <w:pPr>
              <w:numPr>
                <w:ilvl w:val="1"/>
                <w:numId w:val="6"/>
              </w:numPr>
              <w:rPr>
                <w:szCs w:val="22"/>
              </w:rPr>
            </w:pPr>
          </w:p>
        </w:tc>
        <w:tc>
          <w:tcPr>
            <w:tcW w:w="8510" w:type="dxa"/>
          </w:tcPr>
          <w:p w14:paraId="3A930910" w14:textId="6878687F" w:rsidR="005E6985" w:rsidRPr="005E6985" w:rsidRDefault="0076079E" w:rsidP="001B4E69">
            <w:pPr>
              <w:spacing w:after="200"/>
            </w:pPr>
            <w:r>
              <w:t>We note that this response comes to slightly different conclusions to the response by our Low Incomes Tax Reform Group (LITRG)</w:t>
            </w:r>
            <w:r w:rsidR="005E6985">
              <w:t xml:space="preserve">. </w:t>
            </w:r>
            <w:r>
              <w:t>Their response favours the point based model whereas we are favouring the suspension</w:t>
            </w:r>
            <w:r w:rsidR="001B4E69">
              <w:t xml:space="preserve"> </w:t>
            </w:r>
            <w:r>
              <w:t>based model. This is due to LITRG’s focus on what may best suit low income unrepresented taxpayers, for the reasons they explain throughout their document.</w:t>
            </w:r>
            <w:r w:rsidR="005E6985">
              <w:br/>
            </w:r>
          </w:p>
          <w:p w14:paraId="4514E16C" w14:textId="77777777" w:rsidR="009D326C" w:rsidRPr="00E563CC" w:rsidRDefault="009D326C" w:rsidP="009D326C">
            <w:pPr>
              <w:rPr>
                <w:b/>
                <w:u w:val="single"/>
              </w:rPr>
            </w:pPr>
            <w:r w:rsidRPr="00E563CC">
              <w:rPr>
                <w:b/>
                <w:u w:val="single"/>
              </w:rPr>
              <w:t>General comments about the MTD Penalty Regime</w:t>
            </w:r>
          </w:p>
          <w:p w14:paraId="30755502" w14:textId="77777777" w:rsidR="0076079E" w:rsidRDefault="0076079E" w:rsidP="00E563CC">
            <w:pPr>
              <w:autoSpaceDE w:val="0"/>
              <w:autoSpaceDN w:val="0"/>
              <w:adjustRightInd w:val="0"/>
              <w:rPr>
                <w:szCs w:val="22"/>
              </w:rPr>
            </w:pPr>
          </w:p>
        </w:tc>
      </w:tr>
      <w:tr w:rsidR="00AC2025" w:rsidRPr="003A03F9" w14:paraId="22A0A5A1" w14:textId="77777777" w:rsidTr="00F819D5">
        <w:tc>
          <w:tcPr>
            <w:tcW w:w="562" w:type="dxa"/>
          </w:tcPr>
          <w:p w14:paraId="228E40C4" w14:textId="0CBB5587" w:rsidR="00AC2025" w:rsidRPr="00645954" w:rsidRDefault="00AC2025" w:rsidP="00625356">
            <w:pPr>
              <w:numPr>
                <w:ilvl w:val="1"/>
                <w:numId w:val="6"/>
              </w:numPr>
              <w:rPr>
                <w:szCs w:val="22"/>
              </w:rPr>
            </w:pPr>
          </w:p>
        </w:tc>
        <w:tc>
          <w:tcPr>
            <w:tcW w:w="8510" w:type="dxa"/>
          </w:tcPr>
          <w:p w14:paraId="5C508C68" w14:textId="50B1E9BA" w:rsidR="00E563CC" w:rsidRPr="00E563CC" w:rsidRDefault="00E563CC" w:rsidP="00E563CC">
            <w:r w:rsidRPr="00AC2025">
              <w:t xml:space="preserve">We </w:t>
            </w:r>
            <w:r>
              <w:t>w</w:t>
            </w:r>
            <w:r w:rsidRPr="00AC2025">
              <w:t>ould encourage HMRC to standardise the</w:t>
            </w:r>
            <w:r>
              <w:t xml:space="preserve"> penalty</w:t>
            </w:r>
            <w:r w:rsidRPr="00AC2025">
              <w:t xml:space="preserve"> regime as much and as quickly as possible (</w:t>
            </w:r>
            <w:r>
              <w:t xml:space="preserve">penalty </w:t>
            </w:r>
            <w:r w:rsidRPr="00AC2025">
              <w:t>principle 5)</w:t>
            </w:r>
            <w:r>
              <w:t>, whilst ensuring adequate</w:t>
            </w:r>
            <w:r w:rsidR="00DE0B21">
              <w:t xml:space="preserve"> communication to taxpayers of the changes and </w:t>
            </w:r>
            <w:r w:rsidR="009D326C">
              <w:t xml:space="preserve">that </w:t>
            </w:r>
            <w:r w:rsidR="00DE0B21">
              <w:t>adequate</w:t>
            </w:r>
            <w:r>
              <w:t xml:space="preserve"> time is allowed for taxpayers to understand the changes</w:t>
            </w:r>
            <w:r w:rsidRPr="00AC2025">
              <w:t xml:space="preserve">. Having a variety of different regimes is currently confusing, so a genuine move towards consistency, for both MTD </w:t>
            </w:r>
            <w:r>
              <w:t>and non-MTD taxes, would be welcome</w:t>
            </w:r>
            <w:r w:rsidRPr="00AC2025">
              <w:t>.</w:t>
            </w:r>
          </w:p>
          <w:p w14:paraId="46576A95" w14:textId="77777777" w:rsidR="00AC2025" w:rsidRPr="00AC2025" w:rsidRDefault="00AC2025" w:rsidP="00E563CC"/>
        </w:tc>
      </w:tr>
      <w:tr w:rsidR="00E563CC" w:rsidRPr="003A03F9" w14:paraId="1269A12D" w14:textId="77777777" w:rsidTr="00F819D5">
        <w:tc>
          <w:tcPr>
            <w:tcW w:w="562" w:type="dxa"/>
          </w:tcPr>
          <w:p w14:paraId="7647CD6A" w14:textId="77777777" w:rsidR="00E563CC" w:rsidRPr="00645954" w:rsidRDefault="00E563CC" w:rsidP="00625356">
            <w:pPr>
              <w:numPr>
                <w:ilvl w:val="1"/>
                <w:numId w:val="6"/>
              </w:numPr>
              <w:rPr>
                <w:szCs w:val="22"/>
              </w:rPr>
            </w:pPr>
          </w:p>
        </w:tc>
        <w:tc>
          <w:tcPr>
            <w:tcW w:w="8510" w:type="dxa"/>
          </w:tcPr>
          <w:p w14:paraId="7AB0BFCC" w14:textId="5B63893B" w:rsidR="00E563CC" w:rsidRDefault="00E563CC" w:rsidP="00E563CC">
            <w:r>
              <w:t xml:space="preserve">We agree that taxpayers must be given a minimum period of 12 months from when they become subject to MTD for Business filing obligations in order that they can become familiar with their new obligations before the new penalty regime takes </w:t>
            </w:r>
            <w:r>
              <w:lastRenderedPageBreak/>
              <w:t>effect</w:t>
            </w:r>
            <w:r w:rsidR="005E6985">
              <w:t xml:space="preserve">. </w:t>
            </w:r>
            <w:r>
              <w:t>However, we would argue that this should apply on a tax by tax basis, because there might be different filing dates for the different taxes (</w:t>
            </w:r>
            <w:proofErr w:type="spellStart"/>
            <w:r>
              <w:t>ie</w:t>
            </w:r>
            <w:proofErr w:type="spellEnd"/>
            <w:r>
              <w:t xml:space="preserve"> if they are not aligned) or because understanding and dealing with (say) VAT obligations is different to understanding and dealing with (say) Income Tax obligations. In particular, it would also be consistent with the approach that penalties will be applied on a tax by tax basis, and therefore help prevent confusion.</w:t>
            </w:r>
          </w:p>
          <w:p w14:paraId="3BA05F02" w14:textId="77777777" w:rsidR="00E563CC" w:rsidRPr="00E563CC" w:rsidRDefault="00E563CC" w:rsidP="00AC2025">
            <w:pPr>
              <w:rPr>
                <w:b/>
                <w:u w:val="single"/>
              </w:rPr>
            </w:pPr>
          </w:p>
        </w:tc>
      </w:tr>
      <w:tr w:rsidR="00AC2025" w:rsidRPr="003A03F9" w14:paraId="60031F7E" w14:textId="77777777" w:rsidTr="00F819D5">
        <w:tc>
          <w:tcPr>
            <w:tcW w:w="562" w:type="dxa"/>
          </w:tcPr>
          <w:p w14:paraId="4F290205" w14:textId="40B91449" w:rsidR="00AC2025" w:rsidRPr="00645954" w:rsidRDefault="00AC2025" w:rsidP="00625356">
            <w:pPr>
              <w:numPr>
                <w:ilvl w:val="1"/>
                <w:numId w:val="6"/>
              </w:numPr>
              <w:rPr>
                <w:szCs w:val="22"/>
              </w:rPr>
            </w:pPr>
          </w:p>
        </w:tc>
        <w:tc>
          <w:tcPr>
            <w:tcW w:w="8510" w:type="dxa"/>
          </w:tcPr>
          <w:p w14:paraId="72DC1EAE" w14:textId="65BF9838" w:rsidR="00AC2025" w:rsidRDefault="00AC2025" w:rsidP="00AC2025">
            <w:r>
              <w:t>W</w:t>
            </w:r>
            <w:r w:rsidR="00F81672">
              <w:t>hil</w:t>
            </w:r>
            <w:r w:rsidR="00B356F4">
              <w:t>e</w:t>
            </w:r>
            <w:r w:rsidR="00F81672">
              <w:t xml:space="preserve"> we acknowledge that the smallest businesses have been given an extra year to ready themselves for MTD, </w:t>
            </w:r>
            <w:r>
              <w:t xml:space="preserve">HMRC </w:t>
            </w:r>
            <w:r w:rsidR="00E20705">
              <w:t xml:space="preserve">should </w:t>
            </w:r>
            <w:r>
              <w:t xml:space="preserve">remain open minded to giving </w:t>
            </w:r>
            <w:r w:rsidR="00F81672">
              <w:t xml:space="preserve">all </w:t>
            </w:r>
            <w:r>
              <w:t xml:space="preserve">taxpayers more than 12 months to become familiar with their new MTD </w:t>
            </w:r>
            <w:r w:rsidR="000C647D">
              <w:t xml:space="preserve">filing </w:t>
            </w:r>
            <w:r>
              <w:t>obligations</w:t>
            </w:r>
            <w:r w:rsidR="00022200">
              <w:t xml:space="preserve"> before penalties apply</w:t>
            </w:r>
            <w:r w:rsidR="005E6985">
              <w:t xml:space="preserve">. </w:t>
            </w:r>
            <w:r w:rsidR="00022200">
              <w:t xml:space="preserve">If penalties are introduced too soon it could undermine the whole system. </w:t>
            </w:r>
            <w:r w:rsidR="00E20705">
              <w:t>T</w:t>
            </w:r>
            <w:r w:rsidR="00022200">
              <w:t xml:space="preserve">he pilots </w:t>
            </w:r>
            <w:r w:rsidR="00E20705">
              <w:t xml:space="preserve">should </w:t>
            </w:r>
            <w:r w:rsidR="00022200">
              <w:t>provide valuable data for HMRC about the capability and reliability of the MTD software, and also insight into taxpayer behaviour</w:t>
            </w:r>
            <w:r>
              <w:t xml:space="preserve"> </w:t>
            </w:r>
            <w:r w:rsidR="00091700">
              <w:t xml:space="preserve">in </w:t>
            </w:r>
            <w:r w:rsidR="00022200">
              <w:t xml:space="preserve">coping with the new regime’s </w:t>
            </w:r>
            <w:r w:rsidR="000C647D">
              <w:t xml:space="preserve">filing </w:t>
            </w:r>
            <w:r w:rsidR="00022200">
              <w:t>obligations</w:t>
            </w:r>
            <w:r w:rsidR="005E6985">
              <w:t xml:space="preserve">. </w:t>
            </w:r>
            <w:r>
              <w:t>The</w:t>
            </w:r>
            <w:r w:rsidR="00CB2CDC">
              <w:t xml:space="preserve"> three year deferral for real time information for PAYE (RTI) penalties for small businesses shows</w:t>
            </w:r>
            <w:r>
              <w:t xml:space="preserve"> </w:t>
            </w:r>
            <w:r w:rsidR="00CB2CDC">
              <w:t>the benefits of a flexible approach.</w:t>
            </w:r>
          </w:p>
          <w:p w14:paraId="733F5740" w14:textId="77777777" w:rsidR="00AC2025" w:rsidRDefault="00AC2025" w:rsidP="00AC2025"/>
        </w:tc>
      </w:tr>
      <w:tr w:rsidR="000C647D" w:rsidRPr="003A03F9" w14:paraId="0E455C87" w14:textId="77777777" w:rsidTr="00F819D5">
        <w:tc>
          <w:tcPr>
            <w:tcW w:w="562" w:type="dxa"/>
          </w:tcPr>
          <w:p w14:paraId="0246A9FE" w14:textId="77777777" w:rsidR="000C647D" w:rsidRPr="00645954" w:rsidRDefault="000C647D" w:rsidP="00625356">
            <w:pPr>
              <w:numPr>
                <w:ilvl w:val="1"/>
                <w:numId w:val="6"/>
              </w:numPr>
              <w:rPr>
                <w:szCs w:val="22"/>
              </w:rPr>
            </w:pPr>
          </w:p>
        </w:tc>
        <w:tc>
          <w:tcPr>
            <w:tcW w:w="8510" w:type="dxa"/>
          </w:tcPr>
          <w:p w14:paraId="3652295E" w14:textId="716759C9" w:rsidR="000C647D" w:rsidRDefault="000C647D" w:rsidP="00AC2025">
            <w:r>
              <w:t>However,</w:t>
            </w:r>
            <w:r w:rsidR="00091700">
              <w:t xml:space="preserve"> given that much of the third party software is not yet available or fully developed, let alone agents then </w:t>
            </w:r>
            <w:r w:rsidR="009D326C">
              <w:t>having time to set</w:t>
            </w:r>
            <w:r w:rsidR="00091700">
              <w:t xml:space="preserve"> up their own processes,</w:t>
            </w:r>
            <w:r>
              <w:t xml:space="preserve"> the proposed timetable for introducing mandatory reporting under MTD from April 2018 onwards and HMRC’s intention to have the new penalty rules on the statute book by April 2018 risks there being insufficient time for thorough testing to take place. The deferral of the roll-out of the pilots </w:t>
            </w:r>
            <w:r w:rsidR="007F2566">
              <w:t>(due to</w:t>
            </w:r>
            <w:r>
              <w:t xml:space="preserve"> the General Election</w:t>
            </w:r>
            <w:r w:rsidR="007F2566">
              <w:t xml:space="preserve">) adds to our concerns. HMRC </w:t>
            </w:r>
            <w:r w:rsidR="00FC42BA">
              <w:t xml:space="preserve">should </w:t>
            </w:r>
            <w:r w:rsidR="007F2566">
              <w:t xml:space="preserve">keep the timetable under constant review and not hesitate to defer </w:t>
            </w:r>
            <w:proofErr w:type="spellStart"/>
            <w:r w:rsidR="00FC42BA">
              <w:t>mandation</w:t>
            </w:r>
            <w:proofErr w:type="spellEnd"/>
            <w:r w:rsidR="000E333C">
              <w:t xml:space="preserve"> and/or the introduction of penalties</w:t>
            </w:r>
            <w:r w:rsidR="007F2566">
              <w:t>, if necessary, so as to give MTD and the associated penalty regime the best chance of success, with a high level of taxpayer compliance, once it goes ‘live’.</w:t>
            </w:r>
          </w:p>
          <w:p w14:paraId="6BF417E3" w14:textId="42BF0C93" w:rsidR="000C647D" w:rsidRDefault="000C647D" w:rsidP="00AC2025"/>
        </w:tc>
      </w:tr>
      <w:tr w:rsidR="00272702" w:rsidRPr="003A03F9" w14:paraId="3E522F9A" w14:textId="77777777" w:rsidTr="00F819D5">
        <w:tc>
          <w:tcPr>
            <w:tcW w:w="562" w:type="dxa"/>
          </w:tcPr>
          <w:p w14:paraId="730FA1DA" w14:textId="77777777" w:rsidR="00272702" w:rsidRPr="00645954" w:rsidRDefault="00272702" w:rsidP="00625356">
            <w:pPr>
              <w:numPr>
                <w:ilvl w:val="1"/>
                <w:numId w:val="6"/>
              </w:numPr>
              <w:rPr>
                <w:szCs w:val="22"/>
              </w:rPr>
            </w:pPr>
          </w:p>
        </w:tc>
        <w:tc>
          <w:tcPr>
            <w:tcW w:w="8510" w:type="dxa"/>
          </w:tcPr>
          <w:p w14:paraId="15A17B22" w14:textId="69F1EDDA" w:rsidR="00272702" w:rsidRDefault="00272702" w:rsidP="00272702">
            <w:r w:rsidRPr="006E5320">
              <w:t xml:space="preserve">In order for the system to operate fairly, it will be imperative </w:t>
            </w:r>
            <w:r w:rsidR="000E333C">
              <w:t xml:space="preserve">once any penalty-free transitional period has finished </w:t>
            </w:r>
            <w:r w:rsidRPr="006E5320">
              <w:t xml:space="preserve">that penalties are visible to taxpayers (and agents) and cannot accumulate without the taxpayer becoming aware of them. This has happened in the past with some </w:t>
            </w:r>
            <w:r w:rsidR="00A97B21">
              <w:t xml:space="preserve">CIS and </w:t>
            </w:r>
            <w:r w:rsidRPr="006E5320">
              <w:t>PAYE penalties</w:t>
            </w:r>
            <w:r w:rsidR="005E6985">
              <w:t xml:space="preserve">. </w:t>
            </w:r>
            <w:r w:rsidRPr="00513975">
              <w:rPr>
                <w:szCs w:val="22"/>
              </w:rPr>
              <w:t xml:space="preserve">We </w:t>
            </w:r>
            <w:r>
              <w:rPr>
                <w:szCs w:val="22"/>
              </w:rPr>
              <w:t xml:space="preserve">also note that, in some areas, current </w:t>
            </w:r>
            <w:r w:rsidRPr="00513975">
              <w:rPr>
                <w:szCs w:val="22"/>
              </w:rPr>
              <w:t xml:space="preserve">legislation </w:t>
            </w:r>
            <w:r>
              <w:rPr>
                <w:szCs w:val="22"/>
              </w:rPr>
              <w:t>penalises continued late filing of returns irrespective of whether any tax is due</w:t>
            </w:r>
            <w:r w:rsidR="005E6985">
              <w:rPr>
                <w:szCs w:val="22"/>
              </w:rPr>
              <w:t xml:space="preserve">. </w:t>
            </w:r>
            <w:r>
              <w:rPr>
                <w:szCs w:val="22"/>
              </w:rPr>
              <w:t xml:space="preserve">This perceived lack of fairness with the current system means that it </w:t>
            </w:r>
            <w:r w:rsidRPr="00513975">
              <w:rPr>
                <w:szCs w:val="22"/>
              </w:rPr>
              <w:t>may</w:t>
            </w:r>
            <w:r>
              <w:rPr>
                <w:szCs w:val="22"/>
              </w:rPr>
              <w:t xml:space="preserve"> </w:t>
            </w:r>
            <w:r w:rsidRPr="00513975">
              <w:rPr>
                <w:szCs w:val="22"/>
              </w:rPr>
              <w:t>not provide the most suitable</w:t>
            </w:r>
            <w:r>
              <w:rPr>
                <w:szCs w:val="22"/>
              </w:rPr>
              <w:t xml:space="preserve"> model for repeat penalties</w:t>
            </w:r>
            <w:r w:rsidRPr="006E5320">
              <w:t xml:space="preserve">. </w:t>
            </w:r>
          </w:p>
          <w:p w14:paraId="39C10E66" w14:textId="3A8AE502" w:rsidR="00272702" w:rsidDel="00832D19" w:rsidRDefault="00272702" w:rsidP="00272702"/>
        </w:tc>
      </w:tr>
      <w:tr w:rsidR="00272702" w:rsidRPr="003A03F9" w14:paraId="6966F0CC" w14:textId="77777777" w:rsidTr="00F819D5">
        <w:tc>
          <w:tcPr>
            <w:tcW w:w="562" w:type="dxa"/>
          </w:tcPr>
          <w:p w14:paraId="4BB73E89" w14:textId="77777777" w:rsidR="00272702" w:rsidRPr="00645954" w:rsidRDefault="00272702" w:rsidP="00625356">
            <w:pPr>
              <w:numPr>
                <w:ilvl w:val="1"/>
                <w:numId w:val="6"/>
              </w:numPr>
              <w:rPr>
                <w:szCs w:val="22"/>
              </w:rPr>
            </w:pPr>
          </w:p>
        </w:tc>
        <w:tc>
          <w:tcPr>
            <w:tcW w:w="8510" w:type="dxa"/>
          </w:tcPr>
          <w:p w14:paraId="2AC3CEA2" w14:textId="2FFD5954" w:rsidR="00272702" w:rsidRPr="00E40ED5" w:rsidRDefault="00272702" w:rsidP="00272702">
            <w:r w:rsidRPr="006E5320">
              <w:t xml:space="preserve">Communication methods need to be </w:t>
            </w:r>
            <w:r>
              <w:t>reviewed</w:t>
            </w:r>
            <w:r w:rsidRPr="006E5320">
              <w:t xml:space="preserve"> as part of the digital approach.</w:t>
            </w:r>
            <w:r w:rsidRPr="006E5320">
              <w:rPr>
                <w:rStyle w:val="FootnoteReference"/>
              </w:rPr>
              <w:footnoteReference w:id="4"/>
            </w:r>
            <w:r w:rsidRPr="006E5320">
              <w:t xml:space="preserve">  </w:t>
            </w:r>
            <w:r w:rsidRPr="00E40ED5">
              <w:t>With the move to digital personal tax accounts, HMRC need to consider in particular how to communicate effectively with taxpayers to ensure they know when and why they might need to log into their accounts</w:t>
            </w:r>
            <w:r w:rsidR="005E6985">
              <w:t xml:space="preserve">. </w:t>
            </w:r>
            <w:r w:rsidRPr="00E40ED5">
              <w:t>Taxpayers receive so many emails from many sources that it is often difficult t</w:t>
            </w:r>
            <w:r w:rsidR="00110C6F">
              <w:t>o distinguish what is important</w:t>
            </w:r>
            <w:r w:rsidRPr="00E40ED5">
              <w:t xml:space="preserve">/ time sensitive and what is not. Other means of communication should be considered as well. </w:t>
            </w:r>
          </w:p>
          <w:p w14:paraId="4FE6EEE0" w14:textId="77777777" w:rsidR="00272702" w:rsidRDefault="00272702" w:rsidP="00272702">
            <w:pPr>
              <w:rPr>
                <w:szCs w:val="22"/>
              </w:rPr>
            </w:pPr>
          </w:p>
        </w:tc>
      </w:tr>
      <w:tr w:rsidR="00A97B21" w:rsidRPr="003A03F9" w14:paraId="3490E4B9" w14:textId="77777777" w:rsidTr="00F819D5">
        <w:tc>
          <w:tcPr>
            <w:tcW w:w="562" w:type="dxa"/>
          </w:tcPr>
          <w:p w14:paraId="4C0B9F40" w14:textId="77777777" w:rsidR="00A97B21" w:rsidRPr="00645954" w:rsidRDefault="00A97B21" w:rsidP="00625356">
            <w:pPr>
              <w:numPr>
                <w:ilvl w:val="1"/>
                <w:numId w:val="6"/>
              </w:numPr>
              <w:rPr>
                <w:szCs w:val="22"/>
              </w:rPr>
            </w:pPr>
          </w:p>
        </w:tc>
        <w:tc>
          <w:tcPr>
            <w:tcW w:w="8510" w:type="dxa"/>
          </w:tcPr>
          <w:p w14:paraId="2AE80AE3" w14:textId="7FA25517" w:rsidR="00A97B21" w:rsidRDefault="00A97B21" w:rsidP="00272702">
            <w:r w:rsidRPr="00E40ED5">
              <w:t>There is also the serious ongoing problem of cyber security as well as ‘phishing‘</w:t>
            </w:r>
            <w:r w:rsidR="00624A52">
              <w:t xml:space="preserve"> </w:t>
            </w:r>
            <w:r w:rsidRPr="00E40ED5">
              <w:t>emails and texts purporting to be from HMRC</w:t>
            </w:r>
            <w:r w:rsidR="005E6985">
              <w:t xml:space="preserve">. </w:t>
            </w:r>
            <w:r w:rsidRPr="00E40ED5">
              <w:t>Many people ignore messages from HMRC because they think they are fraudulent or spam. Where penalties are involved, time is clearly of the essence as the taxpayer will need to log into their account and take action within a relatively short space of time. How the message is worded and presented is therefore going to be a key part of HMRC’s communications strategy in order that compliance can be encouraged and non-compliance prevented (principle 1).</w:t>
            </w:r>
          </w:p>
          <w:p w14:paraId="74E9488B" w14:textId="39025E4A" w:rsidR="00A97B21" w:rsidRPr="006E5320" w:rsidRDefault="00A97B21" w:rsidP="00272702"/>
        </w:tc>
      </w:tr>
      <w:tr w:rsidR="00272702" w:rsidRPr="003A03F9" w14:paraId="625A1871" w14:textId="77777777" w:rsidTr="00F819D5">
        <w:tc>
          <w:tcPr>
            <w:tcW w:w="562" w:type="dxa"/>
          </w:tcPr>
          <w:p w14:paraId="2072D9F0" w14:textId="77777777" w:rsidR="00272702" w:rsidRPr="00645954" w:rsidRDefault="00272702" w:rsidP="00625356">
            <w:pPr>
              <w:numPr>
                <w:ilvl w:val="1"/>
                <w:numId w:val="6"/>
              </w:numPr>
              <w:rPr>
                <w:szCs w:val="22"/>
              </w:rPr>
            </w:pPr>
          </w:p>
        </w:tc>
        <w:tc>
          <w:tcPr>
            <w:tcW w:w="8510" w:type="dxa"/>
          </w:tcPr>
          <w:p w14:paraId="3545C040" w14:textId="59DBD687" w:rsidR="00A97B21" w:rsidRDefault="00272702" w:rsidP="00272702">
            <w:pPr>
              <w:rPr>
                <w:szCs w:val="22"/>
              </w:rPr>
            </w:pPr>
            <w:r>
              <w:t>Once in their digital tax account, information regarding penalties must be easy to locate</w:t>
            </w:r>
            <w:r w:rsidR="005E6985">
              <w:t xml:space="preserve">. </w:t>
            </w:r>
            <w:r>
              <w:t xml:space="preserve">We trust HMRC will be doing a substantial amount of user testing in this area to ensure the digital </w:t>
            </w:r>
            <w:r w:rsidRPr="00A97B21">
              <w:rPr>
                <w:szCs w:val="22"/>
              </w:rPr>
              <w:t xml:space="preserve">tax account operates successfully when it comes to </w:t>
            </w:r>
            <w:r w:rsidR="00A97B21" w:rsidRPr="00A97B21">
              <w:rPr>
                <w:szCs w:val="22"/>
              </w:rPr>
              <w:t>both:</w:t>
            </w:r>
          </w:p>
          <w:p w14:paraId="3DFB36EC" w14:textId="77777777" w:rsidR="005E6985" w:rsidRPr="00A97B21" w:rsidRDefault="005E6985" w:rsidP="00272702">
            <w:pPr>
              <w:rPr>
                <w:szCs w:val="22"/>
              </w:rPr>
            </w:pPr>
          </w:p>
          <w:p w14:paraId="3085450F" w14:textId="760760A2" w:rsidR="00A97B21" w:rsidRPr="00A97B21" w:rsidRDefault="00272702" w:rsidP="001934BC">
            <w:pPr>
              <w:pStyle w:val="ListParagraph"/>
              <w:numPr>
                <w:ilvl w:val="0"/>
                <w:numId w:val="24"/>
              </w:numPr>
            </w:pPr>
            <w:r w:rsidRPr="00A97B21">
              <w:rPr>
                <w:rFonts w:ascii="Arial" w:hAnsi="Arial" w:cs="Arial"/>
              </w:rPr>
              <w:t xml:space="preserve">messaging taxpayers and presenting information about </w:t>
            </w:r>
            <w:r w:rsidR="00A97B21" w:rsidRPr="00A97B21">
              <w:rPr>
                <w:rFonts w:ascii="Arial" w:hAnsi="Arial" w:cs="Arial"/>
              </w:rPr>
              <w:t xml:space="preserve">their </w:t>
            </w:r>
            <w:r w:rsidRPr="00A97B21">
              <w:rPr>
                <w:rFonts w:ascii="Arial" w:hAnsi="Arial" w:cs="Arial"/>
              </w:rPr>
              <w:t>penalties</w:t>
            </w:r>
            <w:r w:rsidR="00A97B21" w:rsidRPr="00A97B21">
              <w:rPr>
                <w:rFonts w:ascii="Arial" w:hAnsi="Arial" w:cs="Arial"/>
              </w:rPr>
              <w:t>; and</w:t>
            </w:r>
          </w:p>
          <w:p w14:paraId="711F8C66" w14:textId="32FEFF22" w:rsidR="00272702" w:rsidRPr="006E5320" w:rsidRDefault="00A97B21" w:rsidP="00272702">
            <w:pPr>
              <w:pStyle w:val="ListParagraph"/>
              <w:numPr>
                <w:ilvl w:val="0"/>
                <w:numId w:val="24"/>
              </w:numPr>
            </w:pPr>
            <w:r w:rsidRPr="00A97B21">
              <w:rPr>
                <w:rFonts w:ascii="Arial" w:hAnsi="Arial" w:cs="Arial"/>
              </w:rPr>
              <w:t>communicating that information through APIs to their agents, where</w:t>
            </w:r>
            <w:r>
              <w:rPr>
                <w:rFonts w:ascii="Arial" w:hAnsi="Arial" w:cs="Arial"/>
              </w:rPr>
              <w:t xml:space="preserve"> the taxpayer is</w:t>
            </w:r>
            <w:r w:rsidRPr="00A97B21">
              <w:rPr>
                <w:rFonts w:ascii="Arial" w:hAnsi="Arial" w:cs="Arial"/>
              </w:rPr>
              <w:t xml:space="preserve"> represented</w:t>
            </w:r>
            <w:r w:rsidR="00272702" w:rsidRPr="00A97B21">
              <w:rPr>
                <w:rFonts w:ascii="Arial" w:hAnsi="Arial" w:cs="Arial"/>
              </w:rPr>
              <w:t>.</w:t>
            </w:r>
          </w:p>
        </w:tc>
      </w:tr>
      <w:tr w:rsidR="00272702" w:rsidRPr="003A03F9" w14:paraId="30A330BE" w14:textId="77777777" w:rsidTr="00F819D5">
        <w:tc>
          <w:tcPr>
            <w:tcW w:w="562" w:type="dxa"/>
          </w:tcPr>
          <w:p w14:paraId="3E3A75CA" w14:textId="03B72EA3" w:rsidR="00272702" w:rsidRPr="00645954" w:rsidRDefault="00272702" w:rsidP="00625356">
            <w:pPr>
              <w:numPr>
                <w:ilvl w:val="1"/>
                <w:numId w:val="6"/>
              </w:numPr>
              <w:rPr>
                <w:szCs w:val="22"/>
              </w:rPr>
            </w:pPr>
          </w:p>
        </w:tc>
        <w:tc>
          <w:tcPr>
            <w:tcW w:w="8510" w:type="dxa"/>
          </w:tcPr>
          <w:p w14:paraId="69156333" w14:textId="77777777" w:rsidR="00272702" w:rsidRDefault="00272702" w:rsidP="00272702">
            <w:pPr>
              <w:autoSpaceDE w:val="0"/>
              <w:autoSpaceDN w:val="0"/>
              <w:adjustRightInd w:val="0"/>
              <w:rPr>
                <w:szCs w:val="22"/>
              </w:rPr>
            </w:pPr>
            <w:r>
              <w:rPr>
                <w:szCs w:val="22"/>
              </w:rPr>
              <w:t>Making taxpayers aware of their changing obligations and a new penalty regime will be essential to a successful roll-out of MTD. Providing clear, concise and timely HMRC guidance will be vital. Educating taxpayers, advisers and HMRC staff will, we believe, be crucial in preventing non-compliance and error. We are concerned about reports of widespread lack of awareness of MTD amongst taxpayers and suggest this needs to be addressed as a matter of urgency.</w:t>
            </w:r>
          </w:p>
          <w:p w14:paraId="63C5A6F7" w14:textId="77777777" w:rsidR="00272702" w:rsidRDefault="00272702" w:rsidP="00272702"/>
        </w:tc>
      </w:tr>
      <w:tr w:rsidR="00272702" w:rsidRPr="003A03F9" w14:paraId="1E3B386A" w14:textId="77777777" w:rsidTr="00F819D5">
        <w:tc>
          <w:tcPr>
            <w:tcW w:w="562" w:type="dxa"/>
          </w:tcPr>
          <w:p w14:paraId="1412DDBC" w14:textId="77777777" w:rsidR="00272702" w:rsidRPr="00645954" w:rsidRDefault="00272702" w:rsidP="00625356">
            <w:pPr>
              <w:numPr>
                <w:ilvl w:val="1"/>
                <w:numId w:val="6"/>
              </w:numPr>
              <w:rPr>
                <w:szCs w:val="22"/>
              </w:rPr>
            </w:pPr>
          </w:p>
        </w:tc>
        <w:tc>
          <w:tcPr>
            <w:tcW w:w="8510" w:type="dxa"/>
          </w:tcPr>
          <w:p w14:paraId="1CDFF296" w14:textId="2702ABC0" w:rsidR="00272702" w:rsidRDefault="00272702" w:rsidP="00272702">
            <w:pPr>
              <w:autoSpaceDE w:val="0"/>
              <w:autoSpaceDN w:val="0"/>
              <w:adjustRightInd w:val="0"/>
            </w:pPr>
            <w:r>
              <w:rPr>
                <w:szCs w:val="22"/>
              </w:rPr>
              <w:t>It is essential that existing safeguards are protected in relation to penalties</w:t>
            </w:r>
            <w:r w:rsidR="005E6985">
              <w:rPr>
                <w:szCs w:val="22"/>
              </w:rPr>
              <w:t xml:space="preserve">. </w:t>
            </w:r>
            <w:r>
              <w:rPr>
                <w:szCs w:val="22"/>
              </w:rPr>
              <w:t>The ability to claim a reasonable excuse for failing to meet a filing obligation should be maintained</w:t>
            </w:r>
            <w:r w:rsidR="005E6985">
              <w:rPr>
                <w:szCs w:val="22"/>
              </w:rPr>
              <w:t xml:space="preserve">. </w:t>
            </w:r>
            <w:r>
              <w:rPr>
                <w:szCs w:val="22"/>
              </w:rPr>
              <w:t xml:space="preserve">It may also be an opportunity to review and update the existing principles underlying ‘reasonable excuse’, particularly since filing obligations under MTD will become more frequent and the timescales </w:t>
            </w:r>
            <w:r w:rsidR="00986D49">
              <w:rPr>
                <w:szCs w:val="22"/>
              </w:rPr>
              <w:t xml:space="preserve">much </w:t>
            </w:r>
            <w:r>
              <w:rPr>
                <w:szCs w:val="22"/>
              </w:rPr>
              <w:t>shorter</w:t>
            </w:r>
            <w:r w:rsidR="00986D49">
              <w:rPr>
                <w:szCs w:val="22"/>
              </w:rPr>
              <w:t>, giving little time to right issues such as an IT downtime before a deadline</w:t>
            </w:r>
            <w:r>
              <w:rPr>
                <w:szCs w:val="22"/>
              </w:rPr>
              <w:t>. W</w:t>
            </w:r>
            <w:r>
              <w:t>e would particularly encourage HMRC to consider publishing details of what might constitu</w:t>
            </w:r>
            <w:r w:rsidR="00110C6F">
              <w:t>te a reasonable excuse around IT</w:t>
            </w:r>
            <w:r>
              <w:t>/ internet problems, considering the increasing level of electronic submissions required.</w:t>
            </w:r>
          </w:p>
          <w:p w14:paraId="32D1306B" w14:textId="4D43D9FA" w:rsidR="00A97B21" w:rsidRDefault="00A97B21" w:rsidP="00272702">
            <w:pPr>
              <w:autoSpaceDE w:val="0"/>
              <w:autoSpaceDN w:val="0"/>
              <w:adjustRightInd w:val="0"/>
              <w:rPr>
                <w:szCs w:val="22"/>
              </w:rPr>
            </w:pPr>
          </w:p>
        </w:tc>
      </w:tr>
      <w:tr w:rsidR="005446F7" w:rsidRPr="003A03F9" w14:paraId="36847C4D" w14:textId="77777777" w:rsidTr="00272702">
        <w:tc>
          <w:tcPr>
            <w:tcW w:w="562" w:type="dxa"/>
          </w:tcPr>
          <w:p w14:paraId="07812E7D" w14:textId="77777777" w:rsidR="005446F7" w:rsidRPr="00645954" w:rsidRDefault="005446F7" w:rsidP="00625356">
            <w:pPr>
              <w:numPr>
                <w:ilvl w:val="1"/>
                <w:numId w:val="6"/>
              </w:numPr>
              <w:rPr>
                <w:szCs w:val="22"/>
              </w:rPr>
            </w:pPr>
          </w:p>
        </w:tc>
        <w:tc>
          <w:tcPr>
            <w:tcW w:w="8510" w:type="dxa"/>
          </w:tcPr>
          <w:p w14:paraId="7B8E9B55" w14:textId="0D6B1399" w:rsidR="005446F7" w:rsidRDefault="005446F7" w:rsidP="00E05775">
            <w:pPr>
              <w:autoSpaceDE w:val="0"/>
              <w:autoSpaceDN w:val="0"/>
              <w:adjustRightInd w:val="0"/>
              <w:rPr>
                <w:szCs w:val="22"/>
              </w:rPr>
            </w:pPr>
            <w:r>
              <w:rPr>
                <w:szCs w:val="22"/>
              </w:rPr>
              <w:t>We think that whichever model is chosen, the facility for the taxpayer to alert HMRC BEFORE the filing deadline that they are going to fail to meet the deadline</w:t>
            </w:r>
            <w:r w:rsidR="00986D49">
              <w:rPr>
                <w:szCs w:val="22"/>
              </w:rPr>
              <w:t>, as they can do for SA,</w:t>
            </w:r>
            <w:r>
              <w:rPr>
                <w:szCs w:val="22"/>
              </w:rPr>
              <w:t xml:space="preserve"> and have a reasonable excuse for that failure</w:t>
            </w:r>
            <w:r w:rsidR="005A71D3">
              <w:rPr>
                <w:szCs w:val="22"/>
              </w:rPr>
              <w:t>, should be considered</w:t>
            </w:r>
            <w:r>
              <w:rPr>
                <w:szCs w:val="22"/>
              </w:rPr>
              <w:t>. This could avoid the need for HMRC to issue a penalty/penalty point or suspension, and for the taxpayer and HMRC to have to spend time dealing with the consequences of that</w:t>
            </w:r>
            <w:r w:rsidR="005E6985">
              <w:rPr>
                <w:szCs w:val="22"/>
              </w:rPr>
              <w:t xml:space="preserve">. </w:t>
            </w:r>
            <w:r w:rsidR="005A71D3">
              <w:rPr>
                <w:szCs w:val="22"/>
              </w:rPr>
              <w:t>However, any such option should be simple and straightforward and not create confusion over the operation of the penalty regime itself.</w:t>
            </w:r>
          </w:p>
          <w:p w14:paraId="01E12CE8" w14:textId="5092A958" w:rsidR="005E6985" w:rsidRDefault="005E6985" w:rsidP="00E05775">
            <w:pPr>
              <w:autoSpaceDE w:val="0"/>
              <w:autoSpaceDN w:val="0"/>
              <w:adjustRightInd w:val="0"/>
              <w:rPr>
                <w:szCs w:val="22"/>
              </w:rPr>
            </w:pPr>
          </w:p>
        </w:tc>
      </w:tr>
    </w:tbl>
    <w:p w14:paraId="05A8D9EB" w14:textId="77777777" w:rsidR="00E06042" w:rsidRPr="003A03F9" w:rsidRDefault="00E06042" w:rsidP="00E06042">
      <w:pPr>
        <w:rPr>
          <w:szCs w:val="22"/>
        </w:rPr>
      </w:pPr>
    </w:p>
    <w:p w14:paraId="39BCAFE3" w14:textId="77777777" w:rsidR="00E06042" w:rsidRPr="003A03F9" w:rsidRDefault="00E06042" w:rsidP="00E06042">
      <w:pPr>
        <w:pStyle w:val="Heading1"/>
        <w:rPr>
          <w:b w:val="0"/>
          <w:szCs w:val="22"/>
        </w:rPr>
      </w:pPr>
      <w:r w:rsidRPr="003A03F9">
        <w:rPr>
          <w:szCs w:val="22"/>
        </w:rPr>
        <w:t xml:space="preserve"> </w:t>
      </w:r>
    </w:p>
    <w:tbl>
      <w:tblPr>
        <w:tblW w:w="0" w:type="auto"/>
        <w:tblLook w:val="0000" w:firstRow="0" w:lastRow="0" w:firstColumn="0" w:lastColumn="0" w:noHBand="0" w:noVBand="0"/>
      </w:tblPr>
      <w:tblGrid>
        <w:gridCol w:w="562"/>
        <w:gridCol w:w="8510"/>
      </w:tblGrid>
      <w:tr w:rsidR="00E06042" w:rsidRPr="003A03F9" w14:paraId="7A1AC7A5" w14:textId="77777777" w:rsidTr="005B4988">
        <w:tc>
          <w:tcPr>
            <w:tcW w:w="562" w:type="dxa"/>
          </w:tcPr>
          <w:p w14:paraId="16B4750E" w14:textId="77777777" w:rsidR="00E06042" w:rsidRPr="003A03F9" w:rsidRDefault="00E06042" w:rsidP="00625356">
            <w:pPr>
              <w:numPr>
                <w:ilvl w:val="0"/>
                <w:numId w:val="6"/>
              </w:numPr>
              <w:rPr>
                <w:szCs w:val="22"/>
              </w:rPr>
            </w:pPr>
          </w:p>
        </w:tc>
        <w:tc>
          <w:tcPr>
            <w:tcW w:w="8510" w:type="dxa"/>
          </w:tcPr>
          <w:p w14:paraId="047445B7" w14:textId="77777777" w:rsidR="002C3F9B" w:rsidRPr="002C3F9B" w:rsidRDefault="002C3F9B" w:rsidP="002C3F9B">
            <w:pPr>
              <w:rPr>
                <w:b/>
                <w:szCs w:val="22"/>
              </w:rPr>
            </w:pPr>
            <w:r w:rsidRPr="002C3F9B">
              <w:rPr>
                <w:b/>
                <w:szCs w:val="22"/>
              </w:rPr>
              <w:t xml:space="preserve">Question 2.1 Which of the three penalty models proposed (A - Points-based, B - Regular review of compliance, or C – Suspension of penalties) do you consider to be the best and why?  </w:t>
            </w:r>
          </w:p>
          <w:p w14:paraId="23FB488B" w14:textId="614FDE9D" w:rsidR="00E06042" w:rsidRPr="003A03F9" w:rsidRDefault="002C3F9B" w:rsidP="002C3F9B">
            <w:pPr>
              <w:rPr>
                <w:szCs w:val="22"/>
              </w:rPr>
            </w:pPr>
            <w:r w:rsidRPr="002C3F9B">
              <w:rPr>
                <w:szCs w:val="22"/>
              </w:rPr>
              <w:t xml:space="preserve"> </w:t>
            </w:r>
          </w:p>
        </w:tc>
      </w:tr>
      <w:tr w:rsidR="0071117F" w:rsidRPr="003A03F9" w14:paraId="48154B1F" w14:textId="77777777" w:rsidTr="005B4988">
        <w:tc>
          <w:tcPr>
            <w:tcW w:w="562" w:type="dxa"/>
          </w:tcPr>
          <w:p w14:paraId="1A539A07" w14:textId="77777777" w:rsidR="0071117F" w:rsidRPr="003A03F9" w:rsidRDefault="0071117F" w:rsidP="00625356">
            <w:pPr>
              <w:numPr>
                <w:ilvl w:val="1"/>
                <w:numId w:val="6"/>
              </w:numPr>
              <w:rPr>
                <w:szCs w:val="22"/>
              </w:rPr>
            </w:pPr>
          </w:p>
        </w:tc>
        <w:tc>
          <w:tcPr>
            <w:tcW w:w="8510" w:type="dxa"/>
          </w:tcPr>
          <w:p w14:paraId="32FBC193" w14:textId="6260DADC" w:rsidR="0071117F" w:rsidRDefault="00B84F40" w:rsidP="0071117F">
            <w:pPr>
              <w:pStyle w:val="Heading2"/>
              <w:rPr>
                <w:b w:val="0"/>
                <w:i w:val="0"/>
                <w:szCs w:val="22"/>
              </w:rPr>
            </w:pPr>
            <w:r>
              <w:rPr>
                <w:b w:val="0"/>
                <w:i w:val="0"/>
                <w:szCs w:val="22"/>
              </w:rPr>
              <w:t>As mentioned above, o</w:t>
            </w:r>
            <w:r w:rsidR="0071117F">
              <w:rPr>
                <w:b w:val="0"/>
                <w:i w:val="0"/>
                <w:szCs w:val="22"/>
              </w:rPr>
              <w:t xml:space="preserve">n balance, we prefer Model C – </w:t>
            </w:r>
            <w:r w:rsidR="005E6985">
              <w:rPr>
                <w:b w:val="0"/>
                <w:i w:val="0"/>
                <w:szCs w:val="22"/>
              </w:rPr>
              <w:t>‘</w:t>
            </w:r>
            <w:r w:rsidR="0071117F">
              <w:rPr>
                <w:b w:val="0"/>
                <w:i w:val="0"/>
                <w:szCs w:val="22"/>
              </w:rPr>
              <w:t>Suspension of penalties</w:t>
            </w:r>
            <w:r w:rsidR="005E6985">
              <w:rPr>
                <w:b w:val="0"/>
                <w:i w:val="0"/>
                <w:szCs w:val="22"/>
              </w:rPr>
              <w:t>’</w:t>
            </w:r>
            <w:r w:rsidR="0071117F">
              <w:rPr>
                <w:b w:val="0"/>
                <w:i w:val="0"/>
                <w:szCs w:val="22"/>
              </w:rPr>
              <w:t xml:space="preserve"> because it sets conditions </w:t>
            </w:r>
            <w:r w:rsidR="00986D49">
              <w:rPr>
                <w:b w:val="0"/>
                <w:i w:val="0"/>
                <w:szCs w:val="22"/>
              </w:rPr>
              <w:t xml:space="preserve">that </w:t>
            </w:r>
            <w:r w:rsidR="0071117F">
              <w:rPr>
                <w:b w:val="0"/>
                <w:i w:val="0"/>
                <w:szCs w:val="22"/>
              </w:rPr>
              <w:t xml:space="preserve">would encourage the submission of late filings to avoid a penalty. In our view, the other models will not do this as effectively. We also think it is relatively easy to understand. </w:t>
            </w:r>
          </w:p>
          <w:p w14:paraId="1448CE0B" w14:textId="77777777" w:rsidR="0071117F" w:rsidRDefault="0071117F" w:rsidP="00645954">
            <w:pPr>
              <w:pStyle w:val="Heading2"/>
              <w:rPr>
                <w:b w:val="0"/>
                <w:i w:val="0"/>
                <w:szCs w:val="22"/>
              </w:rPr>
            </w:pPr>
          </w:p>
        </w:tc>
      </w:tr>
      <w:tr w:rsidR="00FA2EEF" w:rsidRPr="003A03F9" w14:paraId="344193D7" w14:textId="77777777" w:rsidTr="005B4988">
        <w:tc>
          <w:tcPr>
            <w:tcW w:w="562" w:type="dxa"/>
          </w:tcPr>
          <w:p w14:paraId="3D9774FB" w14:textId="77777777" w:rsidR="00FA2EEF" w:rsidRPr="003A03F9" w:rsidRDefault="00FA2EEF" w:rsidP="00625356">
            <w:pPr>
              <w:numPr>
                <w:ilvl w:val="1"/>
                <w:numId w:val="6"/>
              </w:numPr>
              <w:rPr>
                <w:szCs w:val="22"/>
              </w:rPr>
            </w:pPr>
          </w:p>
        </w:tc>
        <w:tc>
          <w:tcPr>
            <w:tcW w:w="8510" w:type="dxa"/>
          </w:tcPr>
          <w:p w14:paraId="2C83ACAF" w14:textId="77777777" w:rsidR="00FA2EEF" w:rsidRDefault="00FA2EEF" w:rsidP="00645954">
            <w:pPr>
              <w:pStyle w:val="Heading2"/>
              <w:rPr>
                <w:b w:val="0"/>
                <w:i w:val="0"/>
                <w:szCs w:val="22"/>
              </w:rPr>
            </w:pPr>
            <w:r>
              <w:rPr>
                <w:b w:val="0"/>
                <w:i w:val="0"/>
                <w:szCs w:val="22"/>
              </w:rPr>
              <w:t xml:space="preserve">We think that Model A – </w:t>
            </w:r>
            <w:r w:rsidR="005E6985">
              <w:rPr>
                <w:b w:val="0"/>
                <w:i w:val="0"/>
                <w:szCs w:val="22"/>
              </w:rPr>
              <w:t>‘</w:t>
            </w:r>
            <w:r>
              <w:rPr>
                <w:b w:val="0"/>
                <w:i w:val="0"/>
                <w:szCs w:val="22"/>
              </w:rPr>
              <w:t>Points based</w:t>
            </w:r>
            <w:r w:rsidR="005E6985">
              <w:rPr>
                <w:b w:val="0"/>
                <w:i w:val="0"/>
                <w:szCs w:val="22"/>
              </w:rPr>
              <w:t>’</w:t>
            </w:r>
            <w:r>
              <w:rPr>
                <w:b w:val="0"/>
                <w:i w:val="0"/>
                <w:szCs w:val="22"/>
              </w:rPr>
              <w:t xml:space="preserve"> </w:t>
            </w:r>
            <w:r w:rsidRPr="00BD3123">
              <w:rPr>
                <w:b w:val="0"/>
                <w:i w:val="0"/>
                <w:szCs w:val="22"/>
              </w:rPr>
              <w:t xml:space="preserve">also has </w:t>
            </w:r>
            <w:r w:rsidR="007D1EB4" w:rsidRPr="00BD3123">
              <w:rPr>
                <w:b w:val="0"/>
                <w:i w:val="0"/>
                <w:szCs w:val="22"/>
              </w:rPr>
              <w:t xml:space="preserve">some </w:t>
            </w:r>
            <w:r w:rsidRPr="00BD3123">
              <w:rPr>
                <w:b w:val="0"/>
                <w:i w:val="0"/>
                <w:szCs w:val="22"/>
              </w:rPr>
              <w:t>attractions</w:t>
            </w:r>
            <w:r>
              <w:rPr>
                <w:b w:val="0"/>
                <w:i w:val="0"/>
                <w:szCs w:val="22"/>
              </w:rPr>
              <w:t>.</w:t>
            </w:r>
            <w:r w:rsidR="00BD3123">
              <w:rPr>
                <w:b w:val="0"/>
                <w:i w:val="0"/>
                <w:szCs w:val="22"/>
              </w:rPr>
              <w:t xml:space="preserve"> It will provide the taxpayer with a ‘warning’ that they need to work at improving their compliance in order to avoid a monetary penalty, but there is a risk that</w:t>
            </w:r>
            <w:r w:rsidR="00401231">
              <w:rPr>
                <w:b w:val="0"/>
                <w:i w:val="0"/>
                <w:szCs w:val="22"/>
              </w:rPr>
              <w:t>, without penalties having a 'shelf life'</w:t>
            </w:r>
            <w:r w:rsidR="00BD3123">
              <w:rPr>
                <w:b w:val="0"/>
                <w:i w:val="0"/>
                <w:szCs w:val="22"/>
              </w:rPr>
              <w:t xml:space="preserve"> </w:t>
            </w:r>
            <w:r w:rsidR="00401231">
              <w:rPr>
                <w:b w:val="0"/>
                <w:i w:val="0"/>
                <w:szCs w:val="22"/>
              </w:rPr>
              <w:t>there could be a significant length of time between getting a point and getting a penalty</w:t>
            </w:r>
            <w:r w:rsidR="005E6985">
              <w:rPr>
                <w:b w:val="0"/>
                <w:i w:val="0"/>
                <w:szCs w:val="22"/>
              </w:rPr>
              <w:t xml:space="preserve">. </w:t>
            </w:r>
            <w:r w:rsidR="00401231">
              <w:rPr>
                <w:b w:val="0"/>
                <w:i w:val="0"/>
                <w:szCs w:val="22"/>
              </w:rPr>
              <w:t>This</w:t>
            </w:r>
            <w:r w:rsidR="00BD3123">
              <w:rPr>
                <w:b w:val="0"/>
                <w:i w:val="0"/>
                <w:szCs w:val="22"/>
              </w:rPr>
              <w:t xml:space="preserve"> could </w:t>
            </w:r>
            <w:r w:rsidR="00986D49">
              <w:rPr>
                <w:b w:val="0"/>
                <w:i w:val="0"/>
                <w:szCs w:val="22"/>
              </w:rPr>
              <w:t xml:space="preserve">make it more difficult for a taxpayer to understand and keep track of their position and therefore </w:t>
            </w:r>
            <w:r w:rsidR="00401231">
              <w:rPr>
                <w:b w:val="0"/>
                <w:i w:val="0"/>
                <w:szCs w:val="22"/>
              </w:rPr>
              <w:t>reduce the effectiveness of the model (principle 4)</w:t>
            </w:r>
            <w:r w:rsidR="00915A3F">
              <w:rPr>
                <w:b w:val="0"/>
                <w:i w:val="0"/>
                <w:szCs w:val="22"/>
              </w:rPr>
              <w:t>.</w:t>
            </w:r>
          </w:p>
          <w:p w14:paraId="766FA609" w14:textId="0538CB07" w:rsidR="00110C6F" w:rsidRPr="00110C6F" w:rsidRDefault="00110C6F" w:rsidP="00110C6F"/>
        </w:tc>
      </w:tr>
      <w:tr w:rsidR="00EB0A6C" w:rsidRPr="003A03F9" w14:paraId="322A0C5A" w14:textId="77777777" w:rsidTr="005B4988">
        <w:tc>
          <w:tcPr>
            <w:tcW w:w="562" w:type="dxa"/>
          </w:tcPr>
          <w:p w14:paraId="274300CC" w14:textId="290C61AA" w:rsidR="00EB0A6C" w:rsidRPr="003A03F9" w:rsidRDefault="00EB0A6C" w:rsidP="00625356">
            <w:pPr>
              <w:numPr>
                <w:ilvl w:val="1"/>
                <w:numId w:val="6"/>
              </w:numPr>
              <w:rPr>
                <w:szCs w:val="22"/>
              </w:rPr>
            </w:pPr>
          </w:p>
        </w:tc>
        <w:tc>
          <w:tcPr>
            <w:tcW w:w="8510" w:type="dxa"/>
          </w:tcPr>
          <w:p w14:paraId="30F1A12F" w14:textId="152D9031" w:rsidR="00EB0A6C" w:rsidRDefault="00A633F9" w:rsidP="00047ED3">
            <w:pPr>
              <w:rPr>
                <w:szCs w:val="22"/>
              </w:rPr>
            </w:pPr>
            <w:r>
              <w:rPr>
                <w:szCs w:val="22"/>
              </w:rPr>
              <w:t xml:space="preserve">We do not favour Model B – </w:t>
            </w:r>
            <w:r w:rsidR="005E6985">
              <w:rPr>
                <w:szCs w:val="22"/>
              </w:rPr>
              <w:t>‘</w:t>
            </w:r>
            <w:r>
              <w:rPr>
                <w:szCs w:val="22"/>
              </w:rPr>
              <w:t>Regular review of compliance</w:t>
            </w:r>
            <w:r w:rsidR="005E6985">
              <w:rPr>
                <w:szCs w:val="22"/>
              </w:rPr>
              <w:t xml:space="preserve">’. </w:t>
            </w:r>
            <w:r>
              <w:rPr>
                <w:szCs w:val="22"/>
              </w:rPr>
              <w:t xml:space="preserve">The taxpayer will not know until sometime after their initial failure what the consequences will be of that </w:t>
            </w:r>
            <w:r w:rsidR="00EB4E8A">
              <w:rPr>
                <w:szCs w:val="22"/>
              </w:rPr>
              <w:lastRenderedPageBreak/>
              <w:t xml:space="preserve">and other </w:t>
            </w:r>
            <w:r>
              <w:rPr>
                <w:szCs w:val="22"/>
              </w:rPr>
              <w:t>failure</w:t>
            </w:r>
            <w:r w:rsidR="00EB4E8A">
              <w:rPr>
                <w:szCs w:val="22"/>
              </w:rPr>
              <w:t>s</w:t>
            </w:r>
            <w:r w:rsidR="00361341">
              <w:rPr>
                <w:szCs w:val="22"/>
              </w:rPr>
              <w:t xml:space="preserve"> </w:t>
            </w:r>
            <w:r>
              <w:rPr>
                <w:szCs w:val="22"/>
              </w:rPr>
              <w:t>as the review is not being done in real time</w:t>
            </w:r>
            <w:r w:rsidR="005E6985">
              <w:rPr>
                <w:szCs w:val="22"/>
              </w:rPr>
              <w:t xml:space="preserve">. </w:t>
            </w:r>
            <w:r>
              <w:rPr>
                <w:szCs w:val="22"/>
              </w:rPr>
              <w:t>This seems like a missed opportunity</w:t>
            </w:r>
            <w:r w:rsidR="005B4988">
              <w:rPr>
                <w:szCs w:val="22"/>
              </w:rPr>
              <w:t xml:space="preserve"> to make the best use of information at or near the time that HMRC become aware of it</w:t>
            </w:r>
            <w:r w:rsidR="005E6985">
              <w:rPr>
                <w:szCs w:val="22"/>
              </w:rPr>
              <w:t xml:space="preserve">. </w:t>
            </w:r>
            <w:r w:rsidR="00361341">
              <w:rPr>
                <w:szCs w:val="22"/>
              </w:rPr>
              <w:t>The delay in using the information will lead to uncertainty for taxpayers</w:t>
            </w:r>
            <w:r w:rsidR="00047ED3">
              <w:rPr>
                <w:szCs w:val="22"/>
              </w:rPr>
              <w:t>, and is less likely to encourage a change in behaviour (principle 1)</w:t>
            </w:r>
            <w:r w:rsidR="005E6985">
              <w:rPr>
                <w:szCs w:val="22"/>
              </w:rPr>
              <w:t xml:space="preserve">. </w:t>
            </w:r>
          </w:p>
          <w:p w14:paraId="50824F53" w14:textId="5DA4B017" w:rsidR="00155C3C" w:rsidRPr="003A03F9" w:rsidRDefault="00155C3C" w:rsidP="00047ED3">
            <w:pPr>
              <w:rPr>
                <w:szCs w:val="22"/>
              </w:rPr>
            </w:pPr>
          </w:p>
        </w:tc>
      </w:tr>
    </w:tbl>
    <w:p w14:paraId="7CA3AA4C" w14:textId="1940EA0F" w:rsidR="00262553" w:rsidRDefault="00262553" w:rsidP="00262553">
      <w:pPr>
        <w:pStyle w:val="Heading1"/>
        <w:rPr>
          <w:b w:val="0"/>
          <w:szCs w:val="22"/>
        </w:rPr>
      </w:pPr>
    </w:p>
    <w:p w14:paraId="3409C862" w14:textId="77777777" w:rsidR="005E6985" w:rsidRPr="005E6985" w:rsidRDefault="005E6985" w:rsidP="005E6985"/>
    <w:tbl>
      <w:tblPr>
        <w:tblW w:w="0" w:type="auto"/>
        <w:tblLook w:val="0000" w:firstRow="0" w:lastRow="0" w:firstColumn="0" w:lastColumn="0" w:noHBand="0" w:noVBand="0"/>
      </w:tblPr>
      <w:tblGrid>
        <w:gridCol w:w="562"/>
        <w:gridCol w:w="8510"/>
      </w:tblGrid>
      <w:tr w:rsidR="00262553" w:rsidRPr="003A03F9" w14:paraId="5EDF0A2D" w14:textId="77777777" w:rsidTr="00D86C89">
        <w:tc>
          <w:tcPr>
            <w:tcW w:w="562" w:type="dxa"/>
          </w:tcPr>
          <w:p w14:paraId="2DC91CD2" w14:textId="77777777" w:rsidR="00262553" w:rsidRPr="003A03F9" w:rsidRDefault="00262553" w:rsidP="00625356">
            <w:pPr>
              <w:numPr>
                <w:ilvl w:val="0"/>
                <w:numId w:val="6"/>
              </w:numPr>
              <w:rPr>
                <w:szCs w:val="22"/>
              </w:rPr>
            </w:pPr>
          </w:p>
        </w:tc>
        <w:tc>
          <w:tcPr>
            <w:tcW w:w="8510" w:type="dxa"/>
          </w:tcPr>
          <w:p w14:paraId="501C23DF" w14:textId="77777777" w:rsidR="002C3F9B" w:rsidRPr="002C3F9B" w:rsidRDefault="002C3F9B" w:rsidP="002C3F9B">
            <w:pPr>
              <w:rPr>
                <w:b/>
                <w:szCs w:val="22"/>
              </w:rPr>
            </w:pPr>
            <w:r w:rsidRPr="002C3F9B">
              <w:rPr>
                <w:b/>
                <w:szCs w:val="22"/>
              </w:rPr>
              <w:t xml:space="preserve">Question 2.2 What are your views on the relative importance of the competing demands of fairness, simplicity and effectiveness?  </w:t>
            </w:r>
          </w:p>
          <w:p w14:paraId="17637DD5" w14:textId="0457890E" w:rsidR="00262553" w:rsidRPr="003A03F9" w:rsidRDefault="002C3F9B" w:rsidP="002C3F9B">
            <w:pPr>
              <w:rPr>
                <w:szCs w:val="22"/>
              </w:rPr>
            </w:pPr>
            <w:r w:rsidRPr="002C3F9B">
              <w:rPr>
                <w:szCs w:val="22"/>
              </w:rPr>
              <w:t xml:space="preserve"> </w:t>
            </w:r>
          </w:p>
        </w:tc>
      </w:tr>
      <w:tr w:rsidR="00625356" w:rsidRPr="003A03F9" w14:paraId="126A312B" w14:textId="77777777" w:rsidTr="00D86C89">
        <w:tc>
          <w:tcPr>
            <w:tcW w:w="562" w:type="dxa"/>
          </w:tcPr>
          <w:p w14:paraId="2D964A39" w14:textId="77777777" w:rsidR="00625356" w:rsidRPr="003A03F9" w:rsidRDefault="00625356" w:rsidP="00625356">
            <w:pPr>
              <w:numPr>
                <w:ilvl w:val="1"/>
                <w:numId w:val="6"/>
              </w:numPr>
              <w:rPr>
                <w:szCs w:val="22"/>
              </w:rPr>
            </w:pPr>
          </w:p>
        </w:tc>
        <w:tc>
          <w:tcPr>
            <w:tcW w:w="8510" w:type="dxa"/>
          </w:tcPr>
          <w:p w14:paraId="35EB94C3" w14:textId="20BE1175" w:rsidR="00625356" w:rsidRDefault="00F92A32" w:rsidP="005B4988">
            <w:pPr>
              <w:rPr>
                <w:szCs w:val="22"/>
              </w:rPr>
            </w:pPr>
            <w:r>
              <w:rPr>
                <w:szCs w:val="22"/>
              </w:rPr>
              <w:t xml:space="preserve">Fairness, simplicity and effectiveness are all desirable objectives for a penalty system. </w:t>
            </w:r>
            <w:r w:rsidR="001F7D70">
              <w:rPr>
                <w:szCs w:val="22"/>
              </w:rPr>
              <w:t xml:space="preserve">However, </w:t>
            </w:r>
            <w:r w:rsidR="00F819D5">
              <w:rPr>
                <w:szCs w:val="22"/>
              </w:rPr>
              <w:t xml:space="preserve">we recognise that </w:t>
            </w:r>
            <w:r w:rsidR="001F7D70">
              <w:rPr>
                <w:szCs w:val="22"/>
              </w:rPr>
              <w:t xml:space="preserve">the competing demands of fairness, simplicity and effectiveness will </w:t>
            </w:r>
            <w:r w:rsidR="00F819D5">
              <w:rPr>
                <w:szCs w:val="22"/>
              </w:rPr>
              <w:t xml:space="preserve">often </w:t>
            </w:r>
            <w:r w:rsidR="00986D49">
              <w:rPr>
                <w:szCs w:val="22"/>
              </w:rPr>
              <w:t xml:space="preserve">be in tension, </w:t>
            </w:r>
            <w:r w:rsidR="001F7D70">
              <w:rPr>
                <w:szCs w:val="22"/>
              </w:rPr>
              <w:t>weigh</w:t>
            </w:r>
            <w:r w:rsidR="00986D49">
              <w:rPr>
                <w:szCs w:val="22"/>
              </w:rPr>
              <w:t>ing</w:t>
            </w:r>
            <w:r w:rsidR="001F7D70">
              <w:rPr>
                <w:szCs w:val="22"/>
              </w:rPr>
              <w:t xml:space="preserve"> against each other.</w:t>
            </w:r>
            <w:r w:rsidR="005B4988">
              <w:rPr>
                <w:szCs w:val="22"/>
              </w:rPr>
              <w:t xml:space="preserve"> </w:t>
            </w:r>
            <w:r>
              <w:rPr>
                <w:szCs w:val="22"/>
              </w:rPr>
              <w:t xml:space="preserve">In our view, the objective must be to create a </w:t>
            </w:r>
            <w:r w:rsidR="00ED1A19">
              <w:rPr>
                <w:szCs w:val="22"/>
              </w:rPr>
              <w:t xml:space="preserve">primarily </w:t>
            </w:r>
            <w:r>
              <w:rPr>
                <w:szCs w:val="22"/>
              </w:rPr>
              <w:t>simple</w:t>
            </w:r>
            <w:r w:rsidR="00ED1A19">
              <w:rPr>
                <w:szCs w:val="22"/>
              </w:rPr>
              <w:t xml:space="preserve"> system that is also</w:t>
            </w:r>
            <w:r>
              <w:rPr>
                <w:szCs w:val="22"/>
              </w:rPr>
              <w:t xml:space="preserve"> fair</w:t>
            </w:r>
            <w:r w:rsidR="00ED1A19">
              <w:rPr>
                <w:szCs w:val="22"/>
              </w:rPr>
              <w:t>,</w:t>
            </w:r>
            <w:r>
              <w:rPr>
                <w:szCs w:val="22"/>
              </w:rPr>
              <w:t xml:space="preserve"> </w:t>
            </w:r>
            <w:r w:rsidR="00ED1A19">
              <w:rPr>
                <w:szCs w:val="22"/>
              </w:rPr>
              <w:t xml:space="preserve">and finally effective, </w:t>
            </w:r>
            <w:r>
              <w:rPr>
                <w:szCs w:val="22"/>
              </w:rPr>
              <w:t>that encourages and drives taxpayer compliance (principle 1) in order that MTD submissions are delivered on time with minimal intervention from HMRC</w:t>
            </w:r>
            <w:r w:rsidR="005E6985">
              <w:rPr>
                <w:szCs w:val="22"/>
              </w:rPr>
              <w:t xml:space="preserve">. </w:t>
            </w:r>
          </w:p>
          <w:p w14:paraId="79AA396E" w14:textId="3E1E929E" w:rsidR="005B4988" w:rsidRPr="003A03F9" w:rsidRDefault="005B4988" w:rsidP="005B4988">
            <w:pPr>
              <w:rPr>
                <w:szCs w:val="22"/>
              </w:rPr>
            </w:pPr>
          </w:p>
        </w:tc>
      </w:tr>
      <w:tr w:rsidR="00625356" w:rsidRPr="003A03F9" w14:paraId="105AA831" w14:textId="77777777" w:rsidTr="00D86C89">
        <w:tc>
          <w:tcPr>
            <w:tcW w:w="562" w:type="dxa"/>
          </w:tcPr>
          <w:p w14:paraId="0EECEA02" w14:textId="29B6BCC1" w:rsidR="00625356" w:rsidRPr="003A03F9" w:rsidRDefault="00625356" w:rsidP="00625356">
            <w:pPr>
              <w:numPr>
                <w:ilvl w:val="1"/>
                <w:numId w:val="6"/>
              </w:numPr>
              <w:rPr>
                <w:szCs w:val="22"/>
              </w:rPr>
            </w:pPr>
          </w:p>
        </w:tc>
        <w:tc>
          <w:tcPr>
            <w:tcW w:w="8510" w:type="dxa"/>
          </w:tcPr>
          <w:p w14:paraId="76591E2E" w14:textId="51A004FB" w:rsidR="00915A3F" w:rsidRDefault="007B26BF" w:rsidP="00915A3F">
            <w:pPr>
              <w:rPr>
                <w:szCs w:val="22"/>
              </w:rPr>
            </w:pPr>
            <w:r>
              <w:rPr>
                <w:szCs w:val="22"/>
              </w:rPr>
              <w:t>The system must be</w:t>
            </w:r>
            <w:r w:rsidR="001F7D70">
              <w:rPr>
                <w:szCs w:val="22"/>
              </w:rPr>
              <w:t xml:space="preserve"> simple enough for taxpayers to understand what they need to do to comply and </w:t>
            </w:r>
            <w:r w:rsidR="00CD76A9">
              <w:rPr>
                <w:szCs w:val="22"/>
              </w:rPr>
              <w:t xml:space="preserve">hence </w:t>
            </w:r>
            <w:r w:rsidR="001F7D70">
              <w:rPr>
                <w:szCs w:val="22"/>
              </w:rPr>
              <w:t>what they need to do to avoid being pe</w:t>
            </w:r>
            <w:r>
              <w:rPr>
                <w:szCs w:val="22"/>
              </w:rPr>
              <w:t>nalised</w:t>
            </w:r>
            <w:r w:rsidR="005E6985">
              <w:rPr>
                <w:szCs w:val="22"/>
              </w:rPr>
              <w:t xml:space="preserve">. </w:t>
            </w:r>
            <w:r>
              <w:rPr>
                <w:szCs w:val="22"/>
              </w:rPr>
              <w:t>A simple system has the potential to be</w:t>
            </w:r>
            <w:r w:rsidR="001F7D70">
              <w:rPr>
                <w:szCs w:val="22"/>
              </w:rPr>
              <w:t xml:space="preserve"> a</w:t>
            </w:r>
            <w:r>
              <w:rPr>
                <w:szCs w:val="22"/>
              </w:rPr>
              <w:t xml:space="preserve"> very</w:t>
            </w:r>
            <w:r w:rsidR="001F7D70">
              <w:rPr>
                <w:szCs w:val="22"/>
              </w:rPr>
              <w:t xml:space="preserve"> effective system</w:t>
            </w:r>
            <w:r>
              <w:rPr>
                <w:szCs w:val="22"/>
              </w:rPr>
              <w:t xml:space="preserve"> for this reason</w:t>
            </w:r>
            <w:r w:rsidR="001F7D70">
              <w:rPr>
                <w:szCs w:val="22"/>
              </w:rPr>
              <w:t xml:space="preserve">. </w:t>
            </w:r>
            <w:r>
              <w:rPr>
                <w:szCs w:val="22"/>
              </w:rPr>
              <w:t xml:space="preserve">It </w:t>
            </w:r>
            <w:r w:rsidR="001F7D70">
              <w:rPr>
                <w:szCs w:val="22"/>
              </w:rPr>
              <w:t xml:space="preserve">should </w:t>
            </w:r>
            <w:r>
              <w:rPr>
                <w:szCs w:val="22"/>
              </w:rPr>
              <w:t>be as</w:t>
            </w:r>
            <w:r w:rsidR="001F7D70">
              <w:rPr>
                <w:szCs w:val="22"/>
              </w:rPr>
              <w:t xml:space="preserve"> fair</w:t>
            </w:r>
            <w:r w:rsidR="00F819D5">
              <w:rPr>
                <w:szCs w:val="22"/>
              </w:rPr>
              <w:t xml:space="preserve"> as</w:t>
            </w:r>
            <w:r>
              <w:rPr>
                <w:szCs w:val="22"/>
              </w:rPr>
              <w:t xml:space="preserve"> is</w:t>
            </w:r>
            <w:r w:rsidR="00F819D5">
              <w:rPr>
                <w:szCs w:val="22"/>
              </w:rPr>
              <w:t xml:space="preserve"> possible</w:t>
            </w:r>
            <w:r w:rsidR="001F7D70">
              <w:rPr>
                <w:szCs w:val="22"/>
              </w:rPr>
              <w:t>, and</w:t>
            </w:r>
            <w:r w:rsidR="005B4988">
              <w:rPr>
                <w:szCs w:val="22"/>
              </w:rPr>
              <w:t xml:space="preserve"> be seen to be fair</w:t>
            </w:r>
            <w:r w:rsidR="001F7D70">
              <w:rPr>
                <w:szCs w:val="22"/>
              </w:rPr>
              <w:t>, but</w:t>
            </w:r>
            <w:r w:rsidR="005B4988">
              <w:rPr>
                <w:szCs w:val="22"/>
              </w:rPr>
              <w:t xml:space="preserve"> there is little point in creating </w:t>
            </w:r>
            <w:r w:rsidR="00D86C89">
              <w:rPr>
                <w:szCs w:val="22"/>
              </w:rPr>
              <w:t xml:space="preserve">a </w:t>
            </w:r>
            <w:r w:rsidR="001F7D70">
              <w:rPr>
                <w:szCs w:val="22"/>
              </w:rPr>
              <w:t>system</w:t>
            </w:r>
            <w:r w:rsidR="00D86C89">
              <w:rPr>
                <w:szCs w:val="22"/>
              </w:rPr>
              <w:t xml:space="preserve"> that is fair</w:t>
            </w:r>
            <w:r w:rsidR="001F7D70">
              <w:rPr>
                <w:szCs w:val="22"/>
              </w:rPr>
              <w:t xml:space="preserve"> but which</w:t>
            </w:r>
            <w:r w:rsidR="005B4988">
              <w:rPr>
                <w:szCs w:val="22"/>
              </w:rPr>
              <w:t xml:space="preserve"> is so complex that </w:t>
            </w:r>
            <w:r w:rsidR="00CD4317">
              <w:rPr>
                <w:szCs w:val="22"/>
              </w:rPr>
              <w:t xml:space="preserve">it becomes ineffective because </w:t>
            </w:r>
            <w:r w:rsidR="005B4988">
              <w:rPr>
                <w:szCs w:val="22"/>
              </w:rPr>
              <w:t>no one understands it.</w:t>
            </w:r>
            <w:r w:rsidR="00ED1A19">
              <w:rPr>
                <w:szCs w:val="22"/>
              </w:rPr>
              <w:t xml:space="preserve"> A balance is required</w:t>
            </w:r>
            <w:r w:rsidR="005E6985">
              <w:rPr>
                <w:szCs w:val="22"/>
              </w:rPr>
              <w:t xml:space="preserve">. </w:t>
            </w:r>
          </w:p>
          <w:p w14:paraId="148D6B50" w14:textId="3E0EA3DB" w:rsidR="005E6985" w:rsidRPr="003A03F9" w:rsidRDefault="005E6985" w:rsidP="00915A3F">
            <w:pPr>
              <w:rPr>
                <w:szCs w:val="22"/>
              </w:rPr>
            </w:pPr>
          </w:p>
        </w:tc>
      </w:tr>
    </w:tbl>
    <w:p w14:paraId="1FB2B310" w14:textId="77777777" w:rsidR="00E06042" w:rsidRPr="003A03F9" w:rsidRDefault="00E06042">
      <w:pPr>
        <w:rPr>
          <w:szCs w:val="22"/>
        </w:rPr>
      </w:pPr>
    </w:p>
    <w:p w14:paraId="258C3A37" w14:textId="77777777" w:rsidR="00262553" w:rsidRPr="003A03F9" w:rsidRDefault="00262553" w:rsidP="00262553">
      <w:pPr>
        <w:rPr>
          <w:b/>
          <w:bCs/>
          <w:szCs w:val="22"/>
        </w:rPr>
      </w:pPr>
    </w:p>
    <w:tbl>
      <w:tblPr>
        <w:tblW w:w="0" w:type="auto"/>
        <w:tblLook w:val="0000" w:firstRow="0" w:lastRow="0" w:firstColumn="0" w:lastColumn="0" w:noHBand="0" w:noVBand="0"/>
      </w:tblPr>
      <w:tblGrid>
        <w:gridCol w:w="562"/>
        <w:gridCol w:w="8510"/>
      </w:tblGrid>
      <w:tr w:rsidR="00262553" w:rsidRPr="003A03F9" w14:paraId="15461335" w14:textId="77777777" w:rsidTr="00D86C89">
        <w:tc>
          <w:tcPr>
            <w:tcW w:w="562" w:type="dxa"/>
          </w:tcPr>
          <w:p w14:paraId="0FA21BD0" w14:textId="77777777" w:rsidR="00262553" w:rsidRPr="003A03F9" w:rsidRDefault="00262553" w:rsidP="00625356">
            <w:pPr>
              <w:numPr>
                <w:ilvl w:val="0"/>
                <w:numId w:val="6"/>
              </w:numPr>
              <w:rPr>
                <w:szCs w:val="22"/>
              </w:rPr>
            </w:pPr>
          </w:p>
        </w:tc>
        <w:tc>
          <w:tcPr>
            <w:tcW w:w="8510" w:type="dxa"/>
          </w:tcPr>
          <w:p w14:paraId="2D3192FD" w14:textId="77777777" w:rsidR="002C3F9B" w:rsidRPr="002C3F9B" w:rsidRDefault="002C3F9B" w:rsidP="002C3F9B">
            <w:pPr>
              <w:rPr>
                <w:b/>
                <w:szCs w:val="22"/>
              </w:rPr>
            </w:pPr>
            <w:r w:rsidRPr="002C3F9B">
              <w:rPr>
                <w:b/>
                <w:szCs w:val="22"/>
              </w:rPr>
              <w:t xml:space="preserve">Question 2.3 To what extent does each of the three penalty models strike an appropriate balance between fairness, simplicity and effectiveness?  </w:t>
            </w:r>
          </w:p>
          <w:p w14:paraId="5911A725" w14:textId="0C4FD286" w:rsidR="00262553" w:rsidRPr="003A03F9" w:rsidRDefault="002C3F9B" w:rsidP="002C3F9B">
            <w:pPr>
              <w:rPr>
                <w:szCs w:val="22"/>
              </w:rPr>
            </w:pPr>
            <w:r w:rsidRPr="002C3F9B">
              <w:rPr>
                <w:szCs w:val="22"/>
              </w:rPr>
              <w:t xml:space="preserve"> </w:t>
            </w:r>
          </w:p>
        </w:tc>
      </w:tr>
      <w:tr w:rsidR="00262553" w:rsidRPr="003A03F9" w14:paraId="493C04EA" w14:textId="77777777" w:rsidTr="00D86C89">
        <w:tc>
          <w:tcPr>
            <w:tcW w:w="562" w:type="dxa"/>
          </w:tcPr>
          <w:p w14:paraId="3C5B86C9" w14:textId="77777777" w:rsidR="00262553" w:rsidRPr="003A03F9" w:rsidRDefault="00262553" w:rsidP="00625356">
            <w:pPr>
              <w:numPr>
                <w:ilvl w:val="1"/>
                <w:numId w:val="6"/>
              </w:numPr>
              <w:rPr>
                <w:szCs w:val="22"/>
              </w:rPr>
            </w:pPr>
          </w:p>
        </w:tc>
        <w:tc>
          <w:tcPr>
            <w:tcW w:w="8510" w:type="dxa"/>
          </w:tcPr>
          <w:p w14:paraId="1E401779" w14:textId="31B7DEED" w:rsidR="00262553" w:rsidRDefault="00D86C89" w:rsidP="00D86C89">
            <w:pPr>
              <w:rPr>
                <w:szCs w:val="22"/>
              </w:rPr>
            </w:pPr>
            <w:r>
              <w:rPr>
                <w:szCs w:val="22"/>
              </w:rPr>
              <w:t>We agree with the proposal that the model chosen will operate for each tax regime separately, at least at first</w:t>
            </w:r>
            <w:r w:rsidR="005E6985">
              <w:rPr>
                <w:szCs w:val="22"/>
              </w:rPr>
              <w:t xml:space="preserve">. </w:t>
            </w:r>
            <w:r>
              <w:rPr>
                <w:szCs w:val="22"/>
              </w:rPr>
              <w:t>This strikes us as being the simplest option.</w:t>
            </w:r>
          </w:p>
          <w:p w14:paraId="1E4E9F25" w14:textId="07C150A9" w:rsidR="00D86C89" w:rsidRPr="003A03F9" w:rsidRDefault="00D86C89" w:rsidP="00D86C89">
            <w:pPr>
              <w:rPr>
                <w:szCs w:val="22"/>
              </w:rPr>
            </w:pPr>
          </w:p>
        </w:tc>
      </w:tr>
      <w:tr w:rsidR="00513975" w:rsidRPr="003A03F9" w14:paraId="0128BD31" w14:textId="77777777" w:rsidTr="00D86C89">
        <w:tc>
          <w:tcPr>
            <w:tcW w:w="562" w:type="dxa"/>
          </w:tcPr>
          <w:p w14:paraId="70592B87" w14:textId="77777777" w:rsidR="00513975" w:rsidRPr="003A03F9" w:rsidRDefault="00513975" w:rsidP="00625356">
            <w:pPr>
              <w:numPr>
                <w:ilvl w:val="1"/>
                <w:numId w:val="6"/>
              </w:numPr>
              <w:rPr>
                <w:szCs w:val="22"/>
              </w:rPr>
            </w:pPr>
          </w:p>
        </w:tc>
        <w:tc>
          <w:tcPr>
            <w:tcW w:w="8510" w:type="dxa"/>
          </w:tcPr>
          <w:p w14:paraId="1E9EA5E5" w14:textId="6656D9F9" w:rsidR="00513975" w:rsidRDefault="00513975" w:rsidP="00D86C89">
            <w:pPr>
              <w:rPr>
                <w:szCs w:val="22"/>
              </w:rPr>
            </w:pPr>
            <w:r w:rsidRPr="00513975">
              <w:rPr>
                <w:szCs w:val="22"/>
              </w:rPr>
              <w:t>Whichever model is chosen, we think that there will have to be some kind of penalty ‘cap’ together with additional means of tackling persistent non-compliance</w:t>
            </w:r>
            <w:r w:rsidR="005E6985">
              <w:rPr>
                <w:szCs w:val="22"/>
              </w:rPr>
              <w:t xml:space="preserve">. </w:t>
            </w:r>
            <w:r w:rsidRPr="00513975">
              <w:rPr>
                <w:szCs w:val="22"/>
              </w:rPr>
              <w:t>Just continuing to issue penalties will clearly not be the answer where there is continual and persistent failures to submit information on time/at all</w:t>
            </w:r>
            <w:r w:rsidR="00D30DF5">
              <w:rPr>
                <w:szCs w:val="22"/>
              </w:rPr>
              <w:t>, especially if the reason for failure is common across the taxes</w:t>
            </w:r>
            <w:r w:rsidR="005E6985">
              <w:rPr>
                <w:szCs w:val="22"/>
              </w:rPr>
              <w:t xml:space="preserve">. </w:t>
            </w:r>
            <w:r w:rsidRPr="00513975">
              <w:rPr>
                <w:szCs w:val="22"/>
              </w:rPr>
              <w:t>The consultation document does not address this point and concentrates only on initial penalties</w:t>
            </w:r>
            <w:r w:rsidR="005E6985">
              <w:rPr>
                <w:szCs w:val="22"/>
              </w:rPr>
              <w:t xml:space="preserve">. </w:t>
            </w:r>
            <w:r w:rsidRPr="00513975">
              <w:rPr>
                <w:szCs w:val="22"/>
              </w:rPr>
              <w:t>We note that the current penalty legislation may not provide the most suitable model for subsequent penalties as it is not always fair, for example, it allows for a minimum penalty of £1,600 for filing a return more than one year late, even if there is no tax liability at all</w:t>
            </w:r>
            <w:r w:rsidR="005E6985">
              <w:rPr>
                <w:szCs w:val="22"/>
              </w:rPr>
              <w:t xml:space="preserve">. </w:t>
            </w:r>
          </w:p>
          <w:p w14:paraId="27E7C2CB" w14:textId="474EFD3C" w:rsidR="00513975" w:rsidRDefault="00513975" w:rsidP="00D86C89">
            <w:pPr>
              <w:rPr>
                <w:szCs w:val="22"/>
              </w:rPr>
            </w:pPr>
          </w:p>
        </w:tc>
      </w:tr>
      <w:tr w:rsidR="00E77B35" w:rsidRPr="003A03F9" w14:paraId="1DC6A98D" w14:textId="77777777" w:rsidTr="00D86C89">
        <w:tc>
          <w:tcPr>
            <w:tcW w:w="562" w:type="dxa"/>
          </w:tcPr>
          <w:p w14:paraId="3A9C9AD3" w14:textId="77777777" w:rsidR="00E77B35" w:rsidRPr="003A03F9" w:rsidRDefault="00E77B35" w:rsidP="00625356">
            <w:pPr>
              <w:numPr>
                <w:ilvl w:val="1"/>
                <w:numId w:val="6"/>
              </w:numPr>
              <w:rPr>
                <w:szCs w:val="22"/>
              </w:rPr>
            </w:pPr>
          </w:p>
        </w:tc>
        <w:tc>
          <w:tcPr>
            <w:tcW w:w="8510" w:type="dxa"/>
          </w:tcPr>
          <w:p w14:paraId="63935DE3" w14:textId="21BB6FA5" w:rsidR="00E77B35" w:rsidRDefault="00E77B35" w:rsidP="00D86C89">
            <w:pPr>
              <w:rPr>
                <w:szCs w:val="22"/>
              </w:rPr>
            </w:pPr>
            <w:r>
              <w:rPr>
                <w:szCs w:val="22"/>
              </w:rPr>
              <w:t>We think the suspension model will be simpler for taxpayers to understand than the other models</w:t>
            </w:r>
            <w:r w:rsidR="005E6985">
              <w:rPr>
                <w:szCs w:val="22"/>
              </w:rPr>
              <w:t xml:space="preserve">. </w:t>
            </w:r>
            <w:r>
              <w:rPr>
                <w:szCs w:val="22"/>
              </w:rPr>
              <w:t>It has the advantage of directly linking the late submission to the conditions, which, if met, will avoid the penalty</w:t>
            </w:r>
            <w:r w:rsidR="005E6985">
              <w:rPr>
                <w:szCs w:val="22"/>
              </w:rPr>
              <w:t xml:space="preserve">. </w:t>
            </w:r>
            <w:r w:rsidR="00EF12D7">
              <w:rPr>
                <w:szCs w:val="22"/>
              </w:rPr>
              <w:t xml:space="preserve">The cumulative version proposed </w:t>
            </w:r>
            <w:r>
              <w:rPr>
                <w:szCs w:val="22"/>
              </w:rPr>
              <w:t>also has similarities to the VAT Default Surcharge regime, which, while criticised by some in relation to the amount of the penalty, is a logical and well-understood regime. In our view this is more likely to encourage compliance, and at the same time penalise non-compliance (principle 1), and be a proportionate response to the offence of late filing (principle 2).</w:t>
            </w:r>
          </w:p>
          <w:p w14:paraId="24EC7163" w14:textId="6D5B0F71" w:rsidR="00E77B35" w:rsidRPr="00513975" w:rsidRDefault="00E77B35" w:rsidP="00D86C89">
            <w:pPr>
              <w:rPr>
                <w:szCs w:val="22"/>
              </w:rPr>
            </w:pPr>
          </w:p>
        </w:tc>
      </w:tr>
      <w:tr w:rsidR="004C1BDD" w:rsidRPr="003A03F9" w14:paraId="2545920A" w14:textId="77777777" w:rsidTr="00D86C89">
        <w:tc>
          <w:tcPr>
            <w:tcW w:w="562" w:type="dxa"/>
          </w:tcPr>
          <w:p w14:paraId="0BC8549C" w14:textId="77777777" w:rsidR="004C1BDD" w:rsidRPr="003A03F9" w:rsidRDefault="004C1BDD" w:rsidP="00625356">
            <w:pPr>
              <w:numPr>
                <w:ilvl w:val="1"/>
                <w:numId w:val="6"/>
              </w:numPr>
              <w:rPr>
                <w:szCs w:val="22"/>
              </w:rPr>
            </w:pPr>
          </w:p>
        </w:tc>
        <w:tc>
          <w:tcPr>
            <w:tcW w:w="8510" w:type="dxa"/>
          </w:tcPr>
          <w:p w14:paraId="29CEC0EB" w14:textId="48E1801D" w:rsidR="004C1BDD" w:rsidRDefault="00E77B35" w:rsidP="004C1BDD">
            <w:pPr>
              <w:rPr>
                <w:szCs w:val="22"/>
              </w:rPr>
            </w:pPr>
            <w:r>
              <w:rPr>
                <w:szCs w:val="22"/>
              </w:rPr>
              <w:t>We think the points based model is theoretically a good idea but that it could in practice be complicated for taxpayers to understand, and keep track of</w:t>
            </w:r>
            <w:r w:rsidR="005E6985">
              <w:rPr>
                <w:szCs w:val="22"/>
              </w:rPr>
              <w:t xml:space="preserve">. </w:t>
            </w:r>
            <w:r>
              <w:rPr>
                <w:szCs w:val="22"/>
              </w:rPr>
              <w:t>There are also difficulties in devising an appropriate mechanism for resetting points to zero, so as positively to encourage compliance without being seen as rewarding non-</w:t>
            </w:r>
            <w:r>
              <w:rPr>
                <w:szCs w:val="22"/>
              </w:rPr>
              <w:lastRenderedPageBreak/>
              <w:t>compliance. In this regard we do not understand why the ‘shelf life’ option has been dropped. If this model is left on the table we think that the decision on shelf life should be reconsidered because it is already a familiar concept (in driving licences for example) and would therefore aid its understanding.</w:t>
            </w:r>
          </w:p>
          <w:p w14:paraId="1F629D9F" w14:textId="77777777" w:rsidR="004C1BDD" w:rsidRPr="00513975" w:rsidRDefault="004C1BDD" w:rsidP="00D86C89">
            <w:pPr>
              <w:rPr>
                <w:szCs w:val="22"/>
              </w:rPr>
            </w:pPr>
          </w:p>
        </w:tc>
      </w:tr>
      <w:tr w:rsidR="00513975" w:rsidRPr="003A03F9" w14:paraId="1B1DFB39" w14:textId="77777777" w:rsidTr="00D86C89">
        <w:tc>
          <w:tcPr>
            <w:tcW w:w="562" w:type="dxa"/>
          </w:tcPr>
          <w:p w14:paraId="06958464" w14:textId="77777777" w:rsidR="00513975" w:rsidRPr="003A03F9" w:rsidRDefault="00513975" w:rsidP="00625356">
            <w:pPr>
              <w:numPr>
                <w:ilvl w:val="1"/>
                <w:numId w:val="6"/>
              </w:numPr>
              <w:rPr>
                <w:szCs w:val="22"/>
              </w:rPr>
            </w:pPr>
          </w:p>
        </w:tc>
        <w:tc>
          <w:tcPr>
            <w:tcW w:w="8510" w:type="dxa"/>
          </w:tcPr>
          <w:p w14:paraId="2975D7EF" w14:textId="1B42DFC6" w:rsidR="00513975" w:rsidRPr="0079521C" w:rsidRDefault="00513975" w:rsidP="00D86C89">
            <w:pPr>
              <w:rPr>
                <w:szCs w:val="22"/>
                <w:u w:val="single"/>
              </w:rPr>
            </w:pPr>
            <w:r w:rsidRPr="0079521C">
              <w:rPr>
                <w:szCs w:val="22"/>
                <w:u w:val="single"/>
              </w:rPr>
              <w:t xml:space="preserve">Points based </w:t>
            </w:r>
            <w:r>
              <w:rPr>
                <w:szCs w:val="22"/>
                <w:u w:val="single"/>
              </w:rPr>
              <w:t>model</w:t>
            </w:r>
          </w:p>
          <w:p w14:paraId="3104AAEC" w14:textId="77777777" w:rsidR="00513975" w:rsidRDefault="00513975" w:rsidP="00D86C89">
            <w:pPr>
              <w:rPr>
                <w:szCs w:val="22"/>
              </w:rPr>
            </w:pPr>
          </w:p>
        </w:tc>
      </w:tr>
      <w:tr w:rsidR="0063310C" w:rsidRPr="003A03F9" w14:paraId="1021D9EC" w14:textId="77777777" w:rsidTr="00D86C89">
        <w:tc>
          <w:tcPr>
            <w:tcW w:w="562" w:type="dxa"/>
          </w:tcPr>
          <w:p w14:paraId="57AD0555" w14:textId="77777777" w:rsidR="0063310C" w:rsidRPr="003A03F9" w:rsidRDefault="0063310C" w:rsidP="00625356">
            <w:pPr>
              <w:numPr>
                <w:ilvl w:val="1"/>
                <w:numId w:val="6"/>
              </w:numPr>
              <w:rPr>
                <w:szCs w:val="22"/>
              </w:rPr>
            </w:pPr>
          </w:p>
        </w:tc>
        <w:tc>
          <w:tcPr>
            <w:tcW w:w="8510" w:type="dxa"/>
          </w:tcPr>
          <w:p w14:paraId="6814BA8F" w14:textId="68A57CDC" w:rsidR="0063310C" w:rsidRDefault="0063310C" w:rsidP="0063310C">
            <w:pPr>
              <w:rPr>
                <w:szCs w:val="22"/>
              </w:rPr>
            </w:pPr>
            <w:r>
              <w:rPr>
                <w:szCs w:val="22"/>
              </w:rPr>
              <w:t>Our spreadsheet</w:t>
            </w:r>
            <w:r w:rsidR="008F5218">
              <w:rPr>
                <w:szCs w:val="22"/>
              </w:rPr>
              <w:t>s</w:t>
            </w:r>
            <w:r>
              <w:rPr>
                <w:szCs w:val="22"/>
              </w:rPr>
              <w:t xml:space="preserve"> show how </w:t>
            </w:r>
            <w:r w:rsidR="0079521C">
              <w:rPr>
                <w:szCs w:val="22"/>
              </w:rPr>
              <w:t>HMRC’s</w:t>
            </w:r>
            <w:r>
              <w:rPr>
                <w:szCs w:val="22"/>
              </w:rPr>
              <w:t xml:space="preserve"> points based model might work for both quarterly and annual submissions</w:t>
            </w:r>
            <w:r w:rsidR="005E6985">
              <w:rPr>
                <w:szCs w:val="22"/>
              </w:rPr>
              <w:t xml:space="preserve">. </w:t>
            </w:r>
            <w:r w:rsidR="008F5218">
              <w:rPr>
                <w:szCs w:val="22"/>
              </w:rPr>
              <w:t>We</w:t>
            </w:r>
            <w:r w:rsidR="00042C7A">
              <w:rPr>
                <w:szCs w:val="22"/>
              </w:rPr>
              <w:t xml:space="preserve"> have used </w:t>
            </w:r>
            <w:r w:rsidR="008F5218">
              <w:rPr>
                <w:szCs w:val="22"/>
              </w:rPr>
              <w:t>a cumulative approach</w:t>
            </w:r>
            <w:r w:rsidR="00042C7A">
              <w:rPr>
                <w:szCs w:val="22"/>
              </w:rPr>
              <w:t xml:space="preserve"> because it can</w:t>
            </w:r>
            <w:r w:rsidR="008F5218">
              <w:rPr>
                <w:szCs w:val="22"/>
              </w:rPr>
              <w:t xml:space="preserve"> track</w:t>
            </w:r>
            <w:r w:rsidR="00042C7A">
              <w:rPr>
                <w:szCs w:val="22"/>
              </w:rPr>
              <w:t xml:space="preserve"> </w:t>
            </w:r>
            <w:r w:rsidR="008F5218">
              <w:rPr>
                <w:szCs w:val="22"/>
              </w:rPr>
              <w:t>current behaviour and make sure the compliant taxpayer is in a better position than a non-compliant taxpayer</w:t>
            </w:r>
            <w:r w:rsidR="00C54777">
              <w:rPr>
                <w:szCs w:val="22"/>
              </w:rPr>
              <w:t xml:space="preserve"> (principle 3)</w:t>
            </w:r>
            <w:r w:rsidR="005E6985">
              <w:rPr>
                <w:szCs w:val="22"/>
              </w:rPr>
              <w:t xml:space="preserve">. </w:t>
            </w:r>
            <w:r w:rsidR="008F5218">
              <w:rPr>
                <w:szCs w:val="22"/>
              </w:rPr>
              <w:t xml:space="preserve">However, </w:t>
            </w:r>
            <w:r w:rsidR="00C54777">
              <w:rPr>
                <w:szCs w:val="22"/>
              </w:rPr>
              <w:t xml:space="preserve">as the spreadsheet illustrates, </w:t>
            </w:r>
            <w:r w:rsidR="008F5218">
              <w:rPr>
                <w:szCs w:val="22"/>
              </w:rPr>
              <w:t>the lack of a ‘shelf life’ for points is a serious limitation in the model being proposed by HMR</w:t>
            </w:r>
            <w:r w:rsidR="00C54777">
              <w:rPr>
                <w:szCs w:val="22"/>
              </w:rPr>
              <w:t>C</w:t>
            </w:r>
            <w:r w:rsidR="008F5218">
              <w:rPr>
                <w:szCs w:val="22"/>
              </w:rPr>
              <w:t xml:space="preserve"> and should be reconsidered</w:t>
            </w:r>
            <w:r w:rsidR="00C54777">
              <w:rPr>
                <w:szCs w:val="22"/>
              </w:rPr>
              <w:t xml:space="preserve"> – </w:t>
            </w:r>
            <w:r w:rsidR="006040EF">
              <w:rPr>
                <w:szCs w:val="22"/>
              </w:rPr>
              <w:t>see below</w:t>
            </w:r>
            <w:r w:rsidR="008F5218">
              <w:rPr>
                <w:szCs w:val="22"/>
              </w:rPr>
              <w:t>.</w:t>
            </w:r>
          </w:p>
          <w:p w14:paraId="7E45DC08" w14:textId="77777777" w:rsidR="0063310C" w:rsidRDefault="0063310C" w:rsidP="0063310C">
            <w:pPr>
              <w:rPr>
                <w:szCs w:val="22"/>
              </w:rPr>
            </w:pPr>
          </w:p>
          <w:p w14:paraId="5917282C" w14:textId="0C763019" w:rsidR="0063310C" w:rsidRDefault="0063310C" w:rsidP="0063310C">
            <w:pPr>
              <w:rPr>
                <w:szCs w:val="22"/>
              </w:rPr>
            </w:pPr>
            <w:r w:rsidRPr="004B782D">
              <w:rPr>
                <w:szCs w:val="22"/>
                <w:u w:val="single"/>
              </w:rPr>
              <w:t>Quarterly submissions</w:t>
            </w:r>
            <w:r>
              <w:rPr>
                <w:szCs w:val="22"/>
              </w:rPr>
              <w:t xml:space="preserve"> – a missed deadline attracts a penalty point, but the fourth point attracts an actual penalty</w:t>
            </w:r>
            <w:r w:rsidR="005E6985">
              <w:rPr>
                <w:szCs w:val="22"/>
              </w:rPr>
              <w:t xml:space="preserve">. </w:t>
            </w:r>
            <w:r>
              <w:rPr>
                <w:szCs w:val="22"/>
              </w:rPr>
              <w:t>The taxpayer needs to then file the next four submissions on time to re-set the clock</w:t>
            </w:r>
            <w:r w:rsidR="005E6985">
              <w:rPr>
                <w:szCs w:val="22"/>
              </w:rPr>
              <w:t xml:space="preserve">. </w:t>
            </w:r>
            <w:r>
              <w:rPr>
                <w:szCs w:val="22"/>
              </w:rPr>
              <w:t>If the taxpayer fails to file the next four submissions on time they will receive an automatic penalty for each failure.</w:t>
            </w:r>
          </w:p>
          <w:p w14:paraId="686D1731" w14:textId="77777777" w:rsidR="0063310C" w:rsidRDefault="0063310C" w:rsidP="0063310C">
            <w:pPr>
              <w:rPr>
                <w:szCs w:val="22"/>
              </w:rPr>
            </w:pPr>
          </w:p>
          <w:p w14:paraId="3C1FB2A1" w14:textId="6F8305B3" w:rsidR="0063310C" w:rsidRDefault="0063310C" w:rsidP="0063310C">
            <w:pPr>
              <w:rPr>
                <w:szCs w:val="22"/>
              </w:rPr>
            </w:pPr>
            <w:r w:rsidRPr="004B782D">
              <w:rPr>
                <w:szCs w:val="22"/>
                <w:u w:val="single"/>
              </w:rPr>
              <w:t>Annual submissions</w:t>
            </w:r>
            <w:r>
              <w:rPr>
                <w:szCs w:val="22"/>
              </w:rPr>
              <w:t xml:space="preserve"> </w:t>
            </w:r>
            <w:r w:rsidR="004B782D">
              <w:rPr>
                <w:szCs w:val="22"/>
              </w:rPr>
              <w:t>–</w:t>
            </w:r>
            <w:r>
              <w:rPr>
                <w:szCs w:val="22"/>
              </w:rPr>
              <w:t xml:space="preserve"> </w:t>
            </w:r>
            <w:r w:rsidR="004B782D">
              <w:rPr>
                <w:szCs w:val="22"/>
              </w:rPr>
              <w:t>a missed deadline attracts a penalty point but a second failure attracts an actual penalty</w:t>
            </w:r>
            <w:r w:rsidR="005E6985">
              <w:rPr>
                <w:szCs w:val="22"/>
              </w:rPr>
              <w:t xml:space="preserve">. </w:t>
            </w:r>
            <w:r w:rsidR="004B782D">
              <w:rPr>
                <w:szCs w:val="22"/>
              </w:rPr>
              <w:t>The taxpayer needs to file the next two submissions on time to re-set the clock</w:t>
            </w:r>
            <w:r w:rsidR="005E6985">
              <w:rPr>
                <w:szCs w:val="22"/>
              </w:rPr>
              <w:t xml:space="preserve">. </w:t>
            </w:r>
            <w:r w:rsidR="004B782D">
              <w:rPr>
                <w:szCs w:val="22"/>
              </w:rPr>
              <w:t>If the taxpayer fails to file the next two submissions on time they will receive an automatic penalty for each failure.</w:t>
            </w:r>
          </w:p>
          <w:p w14:paraId="23B2743C" w14:textId="77777777" w:rsidR="0063310C" w:rsidRDefault="0063310C" w:rsidP="00D86C89">
            <w:pPr>
              <w:rPr>
                <w:szCs w:val="22"/>
              </w:rPr>
            </w:pPr>
          </w:p>
        </w:tc>
      </w:tr>
      <w:tr w:rsidR="00625356" w:rsidRPr="003A03F9" w14:paraId="4276654D" w14:textId="77777777" w:rsidTr="00D86C89">
        <w:tc>
          <w:tcPr>
            <w:tcW w:w="562" w:type="dxa"/>
          </w:tcPr>
          <w:p w14:paraId="1E9560DF" w14:textId="1BD139A7" w:rsidR="00625356" w:rsidRPr="003A03F9" w:rsidRDefault="00625356" w:rsidP="00625356">
            <w:pPr>
              <w:numPr>
                <w:ilvl w:val="1"/>
                <w:numId w:val="6"/>
              </w:numPr>
              <w:rPr>
                <w:szCs w:val="22"/>
              </w:rPr>
            </w:pPr>
          </w:p>
        </w:tc>
        <w:tc>
          <w:tcPr>
            <w:tcW w:w="8510" w:type="dxa"/>
          </w:tcPr>
          <w:p w14:paraId="42875606" w14:textId="61189F92" w:rsidR="00B051A4" w:rsidRDefault="004F117C" w:rsidP="004F117C">
            <w:pPr>
              <w:rPr>
                <w:szCs w:val="22"/>
              </w:rPr>
            </w:pPr>
            <w:r>
              <w:rPr>
                <w:szCs w:val="22"/>
              </w:rPr>
              <w:t>Further specific concerns we have with the points model are:</w:t>
            </w:r>
          </w:p>
          <w:p w14:paraId="64DF608E" w14:textId="77777777" w:rsidR="004F117C" w:rsidRDefault="004F117C" w:rsidP="004F117C">
            <w:pPr>
              <w:rPr>
                <w:szCs w:val="22"/>
              </w:rPr>
            </w:pPr>
          </w:p>
          <w:p w14:paraId="0BA42DAD" w14:textId="049AFB37" w:rsidR="00155C3C" w:rsidRPr="00155C3C" w:rsidRDefault="00CC6586" w:rsidP="00155C3C">
            <w:pPr>
              <w:pStyle w:val="ListParagraph"/>
              <w:numPr>
                <w:ilvl w:val="0"/>
                <w:numId w:val="13"/>
              </w:numPr>
              <w:autoSpaceDE w:val="0"/>
              <w:autoSpaceDN w:val="0"/>
              <w:adjustRightInd w:val="0"/>
            </w:pPr>
            <w:r w:rsidRPr="00C76FE6">
              <w:rPr>
                <w:rFonts w:ascii="Arial" w:hAnsi="Arial" w:cs="Arial"/>
              </w:rPr>
              <w:t xml:space="preserve">The version proposed is awarding one point for every failure. </w:t>
            </w:r>
            <w:r w:rsidR="004F117C" w:rsidRPr="00C76FE6">
              <w:rPr>
                <w:rFonts w:ascii="Arial" w:hAnsi="Arial" w:cs="Arial"/>
              </w:rPr>
              <w:t>It is unclear how the model will work with taxpayers who have multiple filing obligations</w:t>
            </w:r>
            <w:r w:rsidR="00F277DC">
              <w:rPr>
                <w:rFonts w:ascii="Arial" w:hAnsi="Arial" w:cs="Arial"/>
              </w:rPr>
              <w:t>, such as for a sole trade and a rental business,</w:t>
            </w:r>
            <w:r w:rsidR="004F117C" w:rsidRPr="00C76FE6">
              <w:rPr>
                <w:rFonts w:ascii="Arial" w:hAnsi="Arial" w:cs="Arial"/>
              </w:rPr>
              <w:t xml:space="preserve"> per tax, </w:t>
            </w:r>
            <w:r w:rsidRPr="00C76FE6">
              <w:rPr>
                <w:rFonts w:ascii="Arial" w:hAnsi="Arial" w:cs="Arial"/>
              </w:rPr>
              <w:t xml:space="preserve">and </w:t>
            </w:r>
            <w:r w:rsidR="004F117C" w:rsidRPr="00C76FE6">
              <w:rPr>
                <w:rFonts w:ascii="Arial" w:hAnsi="Arial" w:cs="Arial"/>
              </w:rPr>
              <w:t>who will be exposed to a higher number of penalties than a taxpayer with fewer filing obligations.</w:t>
            </w:r>
            <w:r w:rsidR="00C76FE6" w:rsidRPr="00C76FE6">
              <w:rPr>
                <w:rFonts w:ascii="Arial" w:hAnsi="Arial" w:cs="Arial"/>
              </w:rPr>
              <w:t xml:space="preserve"> We are of the view that four penalty points leading to a penalty is</w:t>
            </w:r>
            <w:r w:rsidR="00C76FE6">
              <w:rPr>
                <w:rFonts w:ascii="Arial" w:hAnsi="Arial" w:cs="Arial"/>
              </w:rPr>
              <w:t xml:space="preserve"> </w:t>
            </w:r>
            <w:r w:rsidR="00C76FE6" w:rsidRPr="00C76FE6">
              <w:rPr>
                <w:rFonts w:ascii="Arial" w:hAnsi="Arial" w:cs="Arial"/>
              </w:rPr>
              <w:t xml:space="preserve">too few, given the frequency with which penalties could arise </w:t>
            </w:r>
            <w:r w:rsidR="00C76FE6">
              <w:rPr>
                <w:rFonts w:ascii="Arial" w:hAnsi="Arial" w:cs="Arial"/>
              </w:rPr>
              <w:t>if this</w:t>
            </w:r>
            <w:r w:rsidR="00C76FE6" w:rsidRPr="00C76FE6">
              <w:rPr>
                <w:rFonts w:ascii="Arial" w:hAnsi="Arial" w:cs="Arial"/>
              </w:rPr>
              <w:t xml:space="preserve"> model</w:t>
            </w:r>
            <w:r w:rsidR="00C76FE6">
              <w:rPr>
                <w:rFonts w:ascii="Arial" w:hAnsi="Arial" w:cs="Arial"/>
              </w:rPr>
              <w:t xml:space="preserve"> does not take into account that some taxpayers will have multiple filing obligations per tax</w:t>
            </w:r>
            <w:r w:rsidR="00F277DC">
              <w:rPr>
                <w:rFonts w:ascii="Arial" w:hAnsi="Arial" w:cs="Arial"/>
              </w:rPr>
              <w:t xml:space="preserve"> and that these are cumulative over the years</w:t>
            </w:r>
            <w:r w:rsidR="00F1597D">
              <w:rPr>
                <w:rFonts w:ascii="Arial" w:hAnsi="Arial" w:cs="Arial"/>
              </w:rPr>
              <w:t xml:space="preserve"> (thus undermining principles 2, 3 &amp; 4)</w:t>
            </w:r>
            <w:r w:rsidR="00C76FE6" w:rsidRPr="00C76FE6">
              <w:rPr>
                <w:rFonts w:ascii="Arial" w:hAnsi="Arial" w:cs="Arial"/>
              </w:rPr>
              <w:t>.</w:t>
            </w:r>
          </w:p>
          <w:p w14:paraId="2BD9EC60" w14:textId="43457030" w:rsidR="004E0C80" w:rsidRPr="004E0C80" w:rsidRDefault="00155C3C" w:rsidP="004E0C80">
            <w:pPr>
              <w:pStyle w:val="ListParagraph"/>
              <w:numPr>
                <w:ilvl w:val="0"/>
                <w:numId w:val="13"/>
              </w:numPr>
              <w:autoSpaceDE w:val="0"/>
              <w:autoSpaceDN w:val="0"/>
              <w:adjustRightInd w:val="0"/>
              <w:rPr>
                <w:rFonts w:ascii="Arial" w:hAnsi="Arial" w:cs="Arial"/>
              </w:rPr>
            </w:pPr>
            <w:r w:rsidRPr="004E0C80">
              <w:rPr>
                <w:rFonts w:ascii="Arial" w:hAnsi="Arial" w:cs="Arial"/>
              </w:rPr>
              <w:t>We would suggest, therefore, that HMRC apply penalties per obligation (</w:t>
            </w:r>
            <w:proofErr w:type="spellStart"/>
            <w:r w:rsidRPr="004E0C80">
              <w:rPr>
                <w:rFonts w:ascii="Arial" w:hAnsi="Arial" w:cs="Arial"/>
              </w:rPr>
              <w:t>eg</w:t>
            </w:r>
            <w:proofErr w:type="spellEnd"/>
            <w:r w:rsidRPr="004E0C80">
              <w:rPr>
                <w:rFonts w:ascii="Arial" w:hAnsi="Arial" w:cs="Arial"/>
              </w:rPr>
              <w:t xml:space="preserve"> one set of points for </w:t>
            </w:r>
            <w:r w:rsidR="006040EF">
              <w:rPr>
                <w:rFonts w:ascii="Arial" w:hAnsi="Arial" w:cs="Arial"/>
              </w:rPr>
              <w:t>each</w:t>
            </w:r>
            <w:r w:rsidRPr="004E0C80">
              <w:rPr>
                <w:rFonts w:ascii="Arial" w:hAnsi="Arial" w:cs="Arial"/>
              </w:rPr>
              <w:t xml:space="preserve"> trading business, and another set of </w:t>
            </w:r>
            <w:r w:rsidR="004E0C80" w:rsidRPr="004E0C80">
              <w:rPr>
                <w:rFonts w:ascii="Arial" w:hAnsi="Arial" w:cs="Arial"/>
              </w:rPr>
              <w:t xml:space="preserve">points for </w:t>
            </w:r>
            <w:r w:rsidR="006040EF">
              <w:rPr>
                <w:rFonts w:ascii="Arial" w:hAnsi="Arial" w:cs="Arial"/>
              </w:rPr>
              <w:t>each</w:t>
            </w:r>
            <w:r w:rsidR="004E0C80" w:rsidRPr="004E0C80">
              <w:rPr>
                <w:rFonts w:ascii="Arial" w:hAnsi="Arial" w:cs="Arial"/>
              </w:rPr>
              <w:t xml:space="preserve"> property business). It seems inevitable that a taxpayer will be exposed to more penalties the more filings they have to do, but by keeping them separate at least this might give them more chance to </w:t>
            </w:r>
            <w:r w:rsidR="00406AB0">
              <w:rPr>
                <w:rFonts w:ascii="Arial" w:hAnsi="Arial" w:cs="Arial"/>
              </w:rPr>
              <w:t xml:space="preserve">become compliant and hence </w:t>
            </w:r>
            <w:r w:rsidR="004E0C80" w:rsidRPr="004E0C80">
              <w:rPr>
                <w:rFonts w:ascii="Arial" w:hAnsi="Arial" w:cs="Arial"/>
              </w:rPr>
              <w:t xml:space="preserve">avoid penalties, for example </w:t>
            </w:r>
            <w:r w:rsidR="004E0C80">
              <w:rPr>
                <w:rFonts w:ascii="Arial" w:hAnsi="Arial" w:cs="Arial"/>
              </w:rPr>
              <w:t xml:space="preserve">in </w:t>
            </w:r>
            <w:r w:rsidR="004E0C80" w:rsidRPr="004E0C80">
              <w:rPr>
                <w:rFonts w:ascii="Arial" w:hAnsi="Arial" w:cs="Arial"/>
              </w:rPr>
              <w:t>a situation where someone has a business and a rental property for which they use an agent</w:t>
            </w:r>
            <w:r w:rsidR="004E0C80">
              <w:rPr>
                <w:rFonts w:ascii="Arial" w:hAnsi="Arial" w:cs="Arial"/>
              </w:rPr>
              <w:t>, t</w:t>
            </w:r>
            <w:r w:rsidR="004E0C80" w:rsidRPr="004E0C80">
              <w:rPr>
                <w:rFonts w:ascii="Arial" w:hAnsi="Arial" w:cs="Arial"/>
              </w:rPr>
              <w:t>hey might be at risk of missing a deadline if the rental agent is slow in producing the in</w:t>
            </w:r>
            <w:r w:rsidR="004E0C80">
              <w:rPr>
                <w:rFonts w:ascii="Arial" w:hAnsi="Arial" w:cs="Arial"/>
              </w:rPr>
              <w:t>formation they need</w:t>
            </w:r>
            <w:r w:rsidR="004E0C80" w:rsidRPr="004E0C80">
              <w:rPr>
                <w:rFonts w:ascii="Arial" w:hAnsi="Arial" w:cs="Arial"/>
              </w:rPr>
              <w:t xml:space="preserve">, but be in full control themselves of their self-employed submissions. </w:t>
            </w:r>
          </w:p>
          <w:p w14:paraId="0CB65666" w14:textId="59EDBFB2" w:rsidR="00155C3C" w:rsidRPr="004E0C80" w:rsidRDefault="004E0C80" w:rsidP="004E0C80">
            <w:pPr>
              <w:pStyle w:val="ListParagraph"/>
              <w:numPr>
                <w:ilvl w:val="0"/>
                <w:numId w:val="13"/>
              </w:numPr>
              <w:autoSpaceDE w:val="0"/>
              <w:autoSpaceDN w:val="0"/>
              <w:adjustRightInd w:val="0"/>
              <w:rPr>
                <w:rFonts w:ascii="Arial" w:hAnsi="Arial" w:cs="Arial"/>
              </w:rPr>
            </w:pPr>
            <w:r w:rsidRPr="004E0C80">
              <w:rPr>
                <w:rFonts w:ascii="Arial" w:hAnsi="Arial" w:cs="Arial"/>
              </w:rPr>
              <w:t>Devising a model that does not keep different filings separate could be much harder as well because it would have to be flexible enough to work for taxpayers with various numbers of sole trades and let property businesses, as well as those with just one sole trade or one let property</w:t>
            </w:r>
            <w:r w:rsidR="00406AB0">
              <w:rPr>
                <w:rFonts w:ascii="Arial" w:hAnsi="Arial" w:cs="Arial"/>
              </w:rPr>
              <w:t>.</w:t>
            </w:r>
          </w:p>
          <w:p w14:paraId="2D82C6AB" w14:textId="10DFFCD6" w:rsidR="007A46C0" w:rsidRPr="0063310C" w:rsidRDefault="004F117C" w:rsidP="007A46C0">
            <w:pPr>
              <w:pStyle w:val="ListParagraph"/>
              <w:numPr>
                <w:ilvl w:val="0"/>
                <w:numId w:val="13"/>
              </w:numPr>
              <w:rPr>
                <w:rFonts w:ascii="Calibri" w:hAnsi="Calibri" w:cs="Times New Roman"/>
              </w:rPr>
            </w:pPr>
            <w:r w:rsidRPr="004F117C">
              <w:rPr>
                <w:rFonts w:ascii="Arial" w:hAnsi="Arial" w:cs="Arial"/>
              </w:rPr>
              <w:t xml:space="preserve">It is </w:t>
            </w:r>
            <w:r w:rsidR="006040EF">
              <w:rPr>
                <w:rFonts w:ascii="Arial" w:hAnsi="Arial" w:cs="Arial"/>
              </w:rPr>
              <w:t xml:space="preserve">also </w:t>
            </w:r>
            <w:r w:rsidRPr="004F117C">
              <w:rPr>
                <w:rFonts w:ascii="Arial" w:hAnsi="Arial" w:cs="Arial"/>
              </w:rPr>
              <w:t xml:space="preserve">unclear how </w:t>
            </w:r>
            <w:r w:rsidR="006040EF">
              <w:rPr>
                <w:rFonts w:ascii="Arial" w:hAnsi="Arial" w:cs="Arial"/>
              </w:rPr>
              <w:t>the points</w:t>
            </w:r>
            <w:r w:rsidR="006B794C">
              <w:rPr>
                <w:rFonts w:ascii="Arial" w:hAnsi="Arial" w:cs="Arial"/>
              </w:rPr>
              <w:t xml:space="preserve"> based</w:t>
            </w:r>
            <w:r w:rsidRPr="004F117C">
              <w:rPr>
                <w:rFonts w:ascii="Arial" w:hAnsi="Arial" w:cs="Arial"/>
              </w:rPr>
              <w:t xml:space="preserve"> model will encourage submission of each individual update within a certain time period</w:t>
            </w:r>
            <w:r w:rsidR="00F1597D">
              <w:rPr>
                <w:rFonts w:ascii="Arial" w:hAnsi="Arial" w:cs="Arial"/>
              </w:rPr>
              <w:t xml:space="preserve"> (principle 1)</w:t>
            </w:r>
            <w:r w:rsidRPr="004F117C">
              <w:rPr>
                <w:rFonts w:ascii="Arial" w:hAnsi="Arial" w:cs="Arial"/>
              </w:rPr>
              <w:t>.</w:t>
            </w:r>
            <w:r w:rsidR="00E30BF0">
              <w:rPr>
                <w:rFonts w:ascii="Arial" w:hAnsi="Arial" w:cs="Arial"/>
              </w:rPr>
              <w:t xml:space="preserve"> Indeed, once a submission is late and has accrued a penalty point, there is no stimulus to file that submission</w:t>
            </w:r>
            <w:r w:rsidR="00406AB0">
              <w:rPr>
                <w:rFonts w:ascii="Arial" w:hAnsi="Arial" w:cs="Arial"/>
              </w:rPr>
              <w:t>, unlike under the suspended penalties approach</w:t>
            </w:r>
            <w:r w:rsidR="00E30BF0">
              <w:rPr>
                <w:rFonts w:ascii="Arial" w:hAnsi="Arial" w:cs="Arial"/>
              </w:rPr>
              <w:t>.</w:t>
            </w:r>
          </w:p>
          <w:p w14:paraId="4F496036" w14:textId="768AD975" w:rsidR="00801FFA" w:rsidRPr="007A46C0" w:rsidRDefault="0063310C" w:rsidP="007A46C0">
            <w:pPr>
              <w:pStyle w:val="ListParagraph"/>
              <w:numPr>
                <w:ilvl w:val="0"/>
                <w:numId w:val="13"/>
              </w:numPr>
              <w:rPr>
                <w:rFonts w:ascii="Calibri" w:hAnsi="Calibri" w:cs="Times New Roman"/>
              </w:rPr>
            </w:pPr>
            <w:r>
              <w:rPr>
                <w:rFonts w:ascii="Arial" w:hAnsi="Arial" w:cs="Arial"/>
              </w:rPr>
              <w:lastRenderedPageBreak/>
              <w:t>We think there</w:t>
            </w:r>
            <w:r w:rsidR="004B782D">
              <w:rPr>
                <w:rFonts w:ascii="Arial" w:hAnsi="Arial" w:cs="Arial"/>
              </w:rPr>
              <w:t>fore there</w:t>
            </w:r>
            <w:r>
              <w:rPr>
                <w:rFonts w:ascii="Arial" w:hAnsi="Arial" w:cs="Arial"/>
              </w:rPr>
              <w:t xml:space="preserve"> will have to be some kind of ‘escalation’ or repeat penalty built into the model to encourage compliance, particularly within the annual submission model.</w:t>
            </w:r>
          </w:p>
          <w:p w14:paraId="34862597" w14:textId="748297E0" w:rsidR="006B794C" w:rsidRPr="006B794C" w:rsidRDefault="00EC1097" w:rsidP="0065745C">
            <w:pPr>
              <w:pStyle w:val="ListParagraph"/>
              <w:numPr>
                <w:ilvl w:val="0"/>
                <w:numId w:val="13"/>
              </w:numPr>
              <w:shd w:val="clear" w:color="auto" w:fill="FFFFFF"/>
              <w:spacing w:after="0" w:line="240" w:lineRule="auto"/>
              <w:rPr>
                <w:rFonts w:ascii="Calibri" w:hAnsi="Calibri" w:cs="Times New Roman"/>
              </w:rPr>
            </w:pPr>
            <w:r w:rsidRPr="00EC1097">
              <w:rPr>
                <w:rFonts w:ascii="Arial" w:hAnsi="Arial" w:cs="Arial"/>
                <w:bCs/>
              </w:rPr>
              <w:t>In the last consultation</w:t>
            </w:r>
            <w:r w:rsidR="00406AB0">
              <w:rPr>
                <w:rFonts w:ascii="Arial" w:hAnsi="Arial" w:cs="Arial"/>
                <w:bCs/>
              </w:rPr>
              <w:t>,</w:t>
            </w:r>
            <w:r w:rsidRPr="00EC1097">
              <w:rPr>
                <w:rFonts w:ascii="Arial" w:hAnsi="Arial" w:cs="Arial"/>
                <w:bCs/>
              </w:rPr>
              <w:t xml:space="preserve"> which explored the expiration of penalty points, we said that we</w:t>
            </w:r>
            <w:r w:rsidRPr="00EC1097">
              <w:rPr>
                <w:rFonts w:ascii="Arial" w:hAnsi="Arial" w:cs="Arial"/>
              </w:rPr>
              <w:t xml:space="preserve"> agreed that a sustained period of compliance should result in penalty points being nullified but that we favoured penalty points having an expiry date (like </w:t>
            </w:r>
            <w:r w:rsidR="006E3775">
              <w:rPr>
                <w:rFonts w:ascii="Arial" w:hAnsi="Arial" w:cs="Arial"/>
              </w:rPr>
              <w:t xml:space="preserve">points on </w:t>
            </w:r>
            <w:r w:rsidRPr="00EC1097">
              <w:rPr>
                <w:rFonts w:ascii="Arial" w:hAnsi="Arial" w:cs="Arial"/>
              </w:rPr>
              <w:t>a driving licence).</w:t>
            </w:r>
            <w:r w:rsidRPr="00EC1097">
              <w:t xml:space="preserve"> </w:t>
            </w:r>
            <w:r w:rsidR="007A46C0" w:rsidRPr="007A46C0">
              <w:rPr>
                <w:rFonts w:ascii="Arial" w:hAnsi="Arial" w:cs="Arial"/>
              </w:rPr>
              <w:t>W</w:t>
            </w:r>
            <w:r>
              <w:rPr>
                <w:rFonts w:ascii="Arial" w:hAnsi="Arial" w:cs="Arial"/>
              </w:rPr>
              <w:t>e do not understand why this ‘</w:t>
            </w:r>
            <w:r w:rsidR="007A46C0" w:rsidRPr="007A46C0">
              <w:rPr>
                <w:rFonts w:ascii="Arial" w:hAnsi="Arial" w:cs="Arial"/>
              </w:rPr>
              <w:t>shelf lif</w:t>
            </w:r>
            <w:r>
              <w:rPr>
                <w:rFonts w:ascii="Arial" w:hAnsi="Arial" w:cs="Arial"/>
              </w:rPr>
              <w:t>e’ idea for points has now been scrapped in the current consultation document</w:t>
            </w:r>
            <w:r w:rsidR="005E6985">
              <w:rPr>
                <w:rFonts w:ascii="Arial" w:hAnsi="Arial" w:cs="Arial"/>
              </w:rPr>
              <w:t xml:space="preserve">. </w:t>
            </w:r>
            <w:r w:rsidR="006E3775">
              <w:rPr>
                <w:rFonts w:ascii="Arial" w:hAnsi="Arial" w:cs="Arial"/>
              </w:rPr>
              <w:t>In our spreadsheet we illustrate the impact of points not having a shelf life</w:t>
            </w:r>
            <w:r w:rsidR="005E6985">
              <w:rPr>
                <w:rFonts w:ascii="Arial" w:hAnsi="Arial" w:cs="Arial"/>
              </w:rPr>
              <w:t xml:space="preserve">. </w:t>
            </w:r>
            <w:r w:rsidR="006E3775">
              <w:rPr>
                <w:rFonts w:ascii="Arial" w:hAnsi="Arial" w:cs="Arial"/>
              </w:rPr>
              <w:t xml:space="preserve">A taxpayer with only occasional non-compliance (example 4) </w:t>
            </w:r>
            <w:r w:rsidR="006040EF" w:rsidRPr="006040EF">
              <w:rPr>
                <w:rFonts w:ascii="Arial" w:hAnsi="Arial" w:cs="Arial"/>
              </w:rPr>
              <w:t xml:space="preserve">could incur a financial penalty after missing 4 out of 16 deadlines, </w:t>
            </w:r>
            <w:r w:rsidR="0065745C">
              <w:rPr>
                <w:rFonts w:ascii="Arial" w:hAnsi="Arial" w:cs="Arial"/>
              </w:rPr>
              <w:t xml:space="preserve">and </w:t>
            </w:r>
            <w:r w:rsidR="006E3775">
              <w:rPr>
                <w:rFonts w:ascii="Arial" w:hAnsi="Arial" w:cs="Arial"/>
              </w:rPr>
              <w:t xml:space="preserve">never manage to re-set the clock whereas a taxpayer with a very poor compliance record (example 5) </w:t>
            </w:r>
            <w:r w:rsidR="0065745C" w:rsidRPr="0065745C">
              <w:rPr>
                <w:rFonts w:ascii="Arial" w:hAnsi="Arial" w:cs="Arial"/>
              </w:rPr>
              <w:t>who misses 8 out of the same 16 deadline</w:t>
            </w:r>
            <w:r w:rsidR="0065745C">
              <w:rPr>
                <w:rFonts w:ascii="Arial" w:hAnsi="Arial" w:cs="Arial"/>
              </w:rPr>
              <w:t>,</w:t>
            </w:r>
            <w:r w:rsidR="0065745C" w:rsidRPr="0065745C">
              <w:rPr>
                <w:rFonts w:ascii="Arial" w:hAnsi="Arial" w:cs="Arial"/>
              </w:rPr>
              <w:t xml:space="preserve"> would receive no financial penalty</w:t>
            </w:r>
            <w:r w:rsidR="0065745C">
              <w:rPr>
                <w:rFonts w:ascii="Arial" w:hAnsi="Arial" w:cs="Arial"/>
              </w:rPr>
              <w:t xml:space="preserve"> and </w:t>
            </w:r>
            <w:r w:rsidR="006E3775">
              <w:rPr>
                <w:rFonts w:ascii="Arial" w:hAnsi="Arial" w:cs="Arial"/>
              </w:rPr>
              <w:t>does</w:t>
            </w:r>
            <w:r w:rsidR="0065745C">
              <w:rPr>
                <w:rFonts w:ascii="Arial" w:hAnsi="Arial" w:cs="Arial"/>
              </w:rPr>
              <w:t xml:space="preserve"> reset the clock</w:t>
            </w:r>
            <w:r w:rsidR="006E3775">
              <w:rPr>
                <w:rFonts w:ascii="Arial" w:hAnsi="Arial" w:cs="Arial"/>
              </w:rPr>
              <w:t>.</w:t>
            </w:r>
            <w:r w:rsidR="007A46C0" w:rsidRPr="007A46C0">
              <w:rPr>
                <w:rFonts w:ascii="Arial" w:hAnsi="Arial" w:cs="Arial"/>
              </w:rPr>
              <w:t xml:space="preserve"> </w:t>
            </w:r>
          </w:p>
          <w:p w14:paraId="06A2A446" w14:textId="3F488825" w:rsidR="007A46C0" w:rsidRPr="00EC1097" w:rsidRDefault="00273826" w:rsidP="0065745C">
            <w:pPr>
              <w:pStyle w:val="ListParagraph"/>
              <w:numPr>
                <w:ilvl w:val="0"/>
                <w:numId w:val="13"/>
              </w:numPr>
              <w:shd w:val="clear" w:color="auto" w:fill="FFFFFF"/>
              <w:spacing w:after="0" w:line="240" w:lineRule="auto"/>
              <w:rPr>
                <w:rFonts w:ascii="Calibri" w:hAnsi="Calibri" w:cs="Times New Roman"/>
              </w:rPr>
            </w:pPr>
            <w:r>
              <w:rPr>
                <w:rFonts w:ascii="Arial" w:hAnsi="Arial" w:cs="Arial"/>
              </w:rPr>
              <w:t xml:space="preserve">Ignoring the end of year report, </w:t>
            </w:r>
            <w:r w:rsidRPr="006E3775">
              <w:rPr>
                <w:rFonts w:ascii="Arial" w:hAnsi="Arial" w:cs="Arial"/>
              </w:rPr>
              <w:t>i</w:t>
            </w:r>
            <w:r w:rsidR="007A46C0" w:rsidRPr="006E3775">
              <w:rPr>
                <w:rFonts w:ascii="Arial" w:hAnsi="Arial" w:cs="Arial"/>
              </w:rPr>
              <w:t xml:space="preserve">t </w:t>
            </w:r>
            <w:r w:rsidR="006B794C">
              <w:rPr>
                <w:rFonts w:ascii="Arial" w:hAnsi="Arial" w:cs="Arial"/>
              </w:rPr>
              <w:t xml:space="preserve">therefore </w:t>
            </w:r>
            <w:r w:rsidR="007A46C0" w:rsidRPr="006E3775">
              <w:rPr>
                <w:rFonts w:ascii="Arial" w:hAnsi="Arial" w:cs="Arial"/>
              </w:rPr>
              <w:t>appears that someone with four straight quarterly failures, and so clearly non-compliant will get one penalty. Someone who is late once a year will, after four years of basically 75% compliance,</w:t>
            </w:r>
            <w:r w:rsidR="007A46C0" w:rsidRPr="007A46C0">
              <w:rPr>
                <w:rFonts w:ascii="Arial" w:hAnsi="Arial" w:cs="Arial"/>
              </w:rPr>
              <w:t xml:space="preserve"> get the same penalty. That doesn’t seem to be that fair</w:t>
            </w:r>
            <w:r w:rsidR="00406AB0">
              <w:rPr>
                <w:rFonts w:ascii="Arial" w:hAnsi="Arial" w:cs="Arial"/>
              </w:rPr>
              <w:t>;</w:t>
            </w:r>
            <w:r w:rsidR="007A46C0" w:rsidRPr="007A46C0">
              <w:rPr>
                <w:rFonts w:ascii="Arial" w:hAnsi="Arial" w:cs="Arial"/>
              </w:rPr>
              <w:t xml:space="preserve"> </w:t>
            </w:r>
            <w:r w:rsidR="00406AB0">
              <w:rPr>
                <w:rFonts w:ascii="Arial" w:hAnsi="Arial" w:cs="Arial"/>
              </w:rPr>
              <w:t>oddly it does not</w:t>
            </w:r>
            <w:r w:rsidR="007A46C0" w:rsidRPr="007A46C0">
              <w:rPr>
                <w:rFonts w:ascii="Arial" w:hAnsi="Arial" w:cs="Arial"/>
              </w:rPr>
              <w:t xml:space="preserve"> put them in a better position than the first person (principle 3)</w:t>
            </w:r>
            <w:r w:rsidR="0065745C">
              <w:rPr>
                <w:rFonts w:ascii="Arial" w:hAnsi="Arial" w:cs="Arial"/>
              </w:rPr>
              <w:t xml:space="preserve"> </w:t>
            </w:r>
            <w:r w:rsidR="00406AB0">
              <w:rPr>
                <w:rFonts w:ascii="Arial" w:hAnsi="Arial" w:cs="Arial"/>
              </w:rPr>
              <w:t>n</w:t>
            </w:r>
            <w:r w:rsidR="0065745C">
              <w:rPr>
                <w:rFonts w:ascii="Arial" w:hAnsi="Arial" w:cs="Arial"/>
              </w:rPr>
              <w:t>or take account of past behaviour (principle 2)</w:t>
            </w:r>
            <w:r w:rsidR="007A46C0" w:rsidRPr="007A46C0">
              <w:rPr>
                <w:rFonts w:ascii="Arial" w:hAnsi="Arial" w:cs="Arial"/>
              </w:rPr>
              <w:t>.</w:t>
            </w:r>
            <w:r w:rsidR="00396873">
              <w:rPr>
                <w:rFonts w:ascii="Arial" w:hAnsi="Arial" w:cs="Arial"/>
              </w:rPr>
              <w:t xml:space="preserve"> HMRC should reconsider its decision on this issue, </w:t>
            </w:r>
            <w:r w:rsidR="0065745C">
              <w:rPr>
                <w:rFonts w:ascii="Arial" w:hAnsi="Arial" w:cs="Arial"/>
              </w:rPr>
              <w:t xml:space="preserve">or </w:t>
            </w:r>
            <w:r w:rsidR="00396873">
              <w:rPr>
                <w:rFonts w:ascii="Arial" w:hAnsi="Arial" w:cs="Arial"/>
              </w:rPr>
              <w:t>explain why this decision</w:t>
            </w:r>
            <w:r w:rsidR="0065745C">
              <w:rPr>
                <w:rFonts w:ascii="Arial" w:hAnsi="Arial" w:cs="Arial"/>
              </w:rPr>
              <w:t xml:space="preserve"> complies with its penalty principles</w:t>
            </w:r>
            <w:r w:rsidR="00396873">
              <w:rPr>
                <w:rFonts w:ascii="Arial" w:hAnsi="Arial" w:cs="Arial"/>
              </w:rPr>
              <w:t>.</w:t>
            </w:r>
          </w:p>
          <w:p w14:paraId="4893D744" w14:textId="7035AB58" w:rsidR="004F117C" w:rsidRPr="005873B1" w:rsidRDefault="00361341" w:rsidP="00902C48">
            <w:pPr>
              <w:pStyle w:val="ListParagraph"/>
              <w:numPr>
                <w:ilvl w:val="0"/>
                <w:numId w:val="13"/>
              </w:numPr>
              <w:shd w:val="clear" w:color="auto" w:fill="FFFFFF"/>
              <w:spacing w:after="0" w:line="240" w:lineRule="auto"/>
              <w:rPr>
                <w:rFonts w:ascii="Arial" w:hAnsi="Arial" w:cs="Arial"/>
              </w:rPr>
            </w:pPr>
            <w:r w:rsidRPr="007A46C0">
              <w:rPr>
                <w:rFonts w:ascii="Arial" w:hAnsi="Arial" w:cs="Arial"/>
              </w:rPr>
              <w:t>The proposal to allow the recording of the reason for a failure to submit at the time a point is issued is welcome</w:t>
            </w:r>
            <w:r w:rsidR="00EC1097">
              <w:rPr>
                <w:rFonts w:ascii="Arial" w:hAnsi="Arial" w:cs="Arial"/>
              </w:rPr>
              <w:t xml:space="preserve">, and is something we </w:t>
            </w:r>
            <w:r w:rsidR="0065745C">
              <w:rPr>
                <w:rFonts w:ascii="Arial" w:hAnsi="Arial" w:cs="Arial"/>
              </w:rPr>
              <w:t>recommended</w:t>
            </w:r>
            <w:r w:rsidR="00EC1097">
              <w:rPr>
                <w:rFonts w:ascii="Arial" w:hAnsi="Arial" w:cs="Arial"/>
              </w:rPr>
              <w:t xml:space="preserve"> during the last consultation</w:t>
            </w:r>
            <w:r w:rsidRPr="007A46C0">
              <w:rPr>
                <w:rFonts w:ascii="Arial" w:hAnsi="Arial" w:cs="Arial"/>
              </w:rPr>
              <w:t>. We assume this will be done digitally</w:t>
            </w:r>
            <w:r w:rsidR="003B72B5" w:rsidRPr="007A46C0">
              <w:rPr>
                <w:rFonts w:ascii="Arial" w:hAnsi="Arial" w:cs="Arial"/>
              </w:rPr>
              <w:t xml:space="preserve">, and non-digital options will </w:t>
            </w:r>
            <w:r w:rsidR="0065745C">
              <w:rPr>
                <w:rFonts w:ascii="Arial" w:hAnsi="Arial" w:cs="Arial"/>
              </w:rPr>
              <w:t xml:space="preserve">also </w:t>
            </w:r>
            <w:r w:rsidR="003B72B5" w:rsidRPr="007A46C0">
              <w:rPr>
                <w:rFonts w:ascii="Arial" w:hAnsi="Arial" w:cs="Arial"/>
              </w:rPr>
              <w:t>be available for the digitally excluded</w:t>
            </w:r>
            <w:r w:rsidR="005E6985">
              <w:rPr>
                <w:rFonts w:ascii="Arial" w:hAnsi="Arial" w:cs="Arial"/>
              </w:rPr>
              <w:t xml:space="preserve">. </w:t>
            </w:r>
            <w:r w:rsidRPr="007A46C0">
              <w:rPr>
                <w:rFonts w:ascii="Arial" w:hAnsi="Arial" w:cs="Arial"/>
              </w:rPr>
              <w:t xml:space="preserve">Even so, this creates </w:t>
            </w:r>
            <w:r w:rsidR="00EC0614" w:rsidRPr="007A46C0">
              <w:rPr>
                <w:rFonts w:ascii="Arial" w:hAnsi="Arial" w:cs="Arial"/>
              </w:rPr>
              <w:t>complexity and additional burdens on taxpayers</w:t>
            </w:r>
            <w:r w:rsidR="00EC1097">
              <w:rPr>
                <w:rFonts w:ascii="Arial" w:hAnsi="Arial" w:cs="Arial"/>
              </w:rPr>
              <w:t xml:space="preserve"> (compared to the other models)</w:t>
            </w:r>
            <w:r w:rsidR="003B72B5" w:rsidRPr="007A46C0">
              <w:rPr>
                <w:rFonts w:ascii="Arial" w:hAnsi="Arial" w:cs="Arial"/>
              </w:rPr>
              <w:t xml:space="preserve"> simply</w:t>
            </w:r>
            <w:r w:rsidR="00246866" w:rsidRPr="007A46C0">
              <w:rPr>
                <w:rFonts w:ascii="Arial" w:hAnsi="Arial" w:cs="Arial"/>
              </w:rPr>
              <w:t xml:space="preserve"> because</w:t>
            </w:r>
            <w:r w:rsidR="003B72B5" w:rsidRPr="007A46C0">
              <w:rPr>
                <w:rFonts w:ascii="Arial" w:hAnsi="Arial" w:cs="Arial"/>
              </w:rPr>
              <w:t xml:space="preserve"> they have to ‘do’ something else on top of filing their regular submissions</w:t>
            </w:r>
            <w:r w:rsidR="003B72B5" w:rsidRPr="005873B1">
              <w:rPr>
                <w:rFonts w:ascii="Arial" w:hAnsi="Arial" w:cs="Arial"/>
              </w:rPr>
              <w:t>.</w:t>
            </w:r>
            <w:r w:rsidR="005873B1" w:rsidRPr="005873B1">
              <w:rPr>
                <w:rFonts w:ascii="Arial" w:hAnsi="Arial" w:cs="Arial"/>
              </w:rPr>
              <w:t xml:space="preserve"> This will also create burdens on HMRC. Presumably they will need to automate this ‘appealing’ of the point otherwise how will HMRC cope with the undoubted deluge of appeals they will get under the points system.</w:t>
            </w:r>
            <w:r w:rsidR="0065745C">
              <w:rPr>
                <w:rFonts w:ascii="Arial" w:hAnsi="Arial" w:cs="Arial"/>
              </w:rPr>
              <w:t xml:space="preserve"> We are concerned, therefore, about the resource implications of the penalty model (principle 4). </w:t>
            </w:r>
          </w:p>
          <w:p w14:paraId="63B21903" w14:textId="2E27A8E6" w:rsidR="004F117C" w:rsidRPr="003A03F9" w:rsidRDefault="004F117C" w:rsidP="004F117C">
            <w:pPr>
              <w:rPr>
                <w:szCs w:val="22"/>
              </w:rPr>
            </w:pPr>
          </w:p>
        </w:tc>
      </w:tr>
      <w:tr w:rsidR="00513975" w:rsidRPr="003A03F9" w14:paraId="5E1AA83D" w14:textId="77777777" w:rsidTr="00D86C89">
        <w:tc>
          <w:tcPr>
            <w:tcW w:w="562" w:type="dxa"/>
          </w:tcPr>
          <w:p w14:paraId="1286D745" w14:textId="77777777" w:rsidR="00513975" w:rsidRPr="003A03F9" w:rsidRDefault="00513975" w:rsidP="00625356">
            <w:pPr>
              <w:numPr>
                <w:ilvl w:val="1"/>
                <w:numId w:val="6"/>
              </w:numPr>
              <w:rPr>
                <w:szCs w:val="22"/>
              </w:rPr>
            </w:pPr>
          </w:p>
        </w:tc>
        <w:tc>
          <w:tcPr>
            <w:tcW w:w="8510" w:type="dxa"/>
          </w:tcPr>
          <w:p w14:paraId="060BD57A" w14:textId="77777777" w:rsidR="00513975" w:rsidRPr="006B794C" w:rsidRDefault="00513975" w:rsidP="00745702">
            <w:pPr>
              <w:rPr>
                <w:szCs w:val="22"/>
                <w:u w:val="single"/>
              </w:rPr>
            </w:pPr>
            <w:r w:rsidRPr="006B794C">
              <w:rPr>
                <w:szCs w:val="22"/>
                <w:u w:val="single"/>
              </w:rPr>
              <w:t>Suspension model</w:t>
            </w:r>
          </w:p>
          <w:p w14:paraId="59FD1BA6" w14:textId="77777777" w:rsidR="00513975" w:rsidRDefault="00513975" w:rsidP="00745702">
            <w:pPr>
              <w:rPr>
                <w:szCs w:val="22"/>
              </w:rPr>
            </w:pPr>
          </w:p>
        </w:tc>
      </w:tr>
      <w:tr w:rsidR="00625356" w:rsidRPr="003A03F9" w14:paraId="12932E60" w14:textId="77777777" w:rsidTr="00D86C89">
        <w:tc>
          <w:tcPr>
            <w:tcW w:w="562" w:type="dxa"/>
          </w:tcPr>
          <w:p w14:paraId="53191350" w14:textId="0F094B0B" w:rsidR="00625356" w:rsidRPr="003A03F9" w:rsidRDefault="00625356" w:rsidP="00625356">
            <w:pPr>
              <w:numPr>
                <w:ilvl w:val="1"/>
                <w:numId w:val="6"/>
              </w:numPr>
              <w:rPr>
                <w:szCs w:val="22"/>
              </w:rPr>
            </w:pPr>
          </w:p>
        </w:tc>
        <w:tc>
          <w:tcPr>
            <w:tcW w:w="8510" w:type="dxa"/>
          </w:tcPr>
          <w:p w14:paraId="27A6E0B8" w14:textId="09DABE14" w:rsidR="00997AB3" w:rsidRDefault="004F117C" w:rsidP="00745702">
            <w:pPr>
              <w:rPr>
                <w:szCs w:val="22"/>
              </w:rPr>
            </w:pPr>
            <w:r>
              <w:rPr>
                <w:szCs w:val="22"/>
              </w:rPr>
              <w:t>The suspens</w:t>
            </w:r>
            <w:r w:rsidR="00F1597D">
              <w:rPr>
                <w:szCs w:val="22"/>
              </w:rPr>
              <w:t>ion model, on the other hand, will,</w:t>
            </w:r>
            <w:r>
              <w:rPr>
                <w:szCs w:val="22"/>
              </w:rPr>
              <w:t xml:space="preserve"> </w:t>
            </w:r>
            <w:r w:rsidR="00F1597D">
              <w:rPr>
                <w:szCs w:val="22"/>
              </w:rPr>
              <w:t xml:space="preserve">in our opinion, be </w:t>
            </w:r>
            <w:r>
              <w:rPr>
                <w:szCs w:val="22"/>
              </w:rPr>
              <w:t>simpler</w:t>
            </w:r>
            <w:r w:rsidR="00F1597D">
              <w:rPr>
                <w:szCs w:val="22"/>
              </w:rPr>
              <w:t xml:space="preserve"> to understand and administer</w:t>
            </w:r>
            <w:r w:rsidR="00745702">
              <w:rPr>
                <w:szCs w:val="22"/>
              </w:rPr>
              <w:t>, and produce a fair</w:t>
            </w:r>
            <w:r w:rsidR="0065745C">
              <w:rPr>
                <w:szCs w:val="22"/>
              </w:rPr>
              <w:t>er</w:t>
            </w:r>
            <w:r w:rsidR="00745702">
              <w:rPr>
                <w:szCs w:val="22"/>
              </w:rPr>
              <w:t xml:space="preserve"> and </w:t>
            </w:r>
            <w:r w:rsidR="0065745C">
              <w:rPr>
                <w:szCs w:val="22"/>
              </w:rPr>
              <w:t xml:space="preserve">more </w:t>
            </w:r>
            <w:r w:rsidR="00745702">
              <w:rPr>
                <w:szCs w:val="22"/>
              </w:rPr>
              <w:t>effective result.</w:t>
            </w:r>
            <w:r w:rsidR="0072491C">
              <w:rPr>
                <w:szCs w:val="22"/>
              </w:rPr>
              <w:t xml:space="preserve"> </w:t>
            </w:r>
          </w:p>
          <w:p w14:paraId="0406C3D3" w14:textId="0F0E0372" w:rsidR="00745702" w:rsidRPr="003A03F9" w:rsidRDefault="00745702" w:rsidP="00745702">
            <w:pPr>
              <w:rPr>
                <w:szCs w:val="22"/>
              </w:rPr>
            </w:pPr>
          </w:p>
        </w:tc>
      </w:tr>
      <w:tr w:rsidR="00997AB3" w:rsidRPr="003A03F9" w14:paraId="020ACC83" w14:textId="77777777" w:rsidTr="00D86C89">
        <w:tc>
          <w:tcPr>
            <w:tcW w:w="562" w:type="dxa"/>
          </w:tcPr>
          <w:p w14:paraId="5808DF74" w14:textId="77777777" w:rsidR="00997AB3" w:rsidRPr="003A03F9" w:rsidRDefault="00997AB3" w:rsidP="00625356">
            <w:pPr>
              <w:numPr>
                <w:ilvl w:val="1"/>
                <w:numId w:val="6"/>
              </w:numPr>
              <w:rPr>
                <w:szCs w:val="22"/>
              </w:rPr>
            </w:pPr>
          </w:p>
        </w:tc>
        <w:tc>
          <w:tcPr>
            <w:tcW w:w="8510" w:type="dxa"/>
          </w:tcPr>
          <w:p w14:paraId="1428DC9E" w14:textId="208171B4" w:rsidR="00FD3217" w:rsidRDefault="00997AB3" w:rsidP="00997AB3">
            <w:pPr>
              <w:rPr>
                <w:szCs w:val="22"/>
              </w:rPr>
            </w:pPr>
            <w:r>
              <w:rPr>
                <w:szCs w:val="22"/>
              </w:rPr>
              <w:t>Our spreadsheet</w:t>
            </w:r>
            <w:r w:rsidR="00FD3217">
              <w:rPr>
                <w:szCs w:val="22"/>
              </w:rPr>
              <w:t>s</w:t>
            </w:r>
            <w:r w:rsidR="00AB197B">
              <w:rPr>
                <w:szCs w:val="22"/>
              </w:rPr>
              <w:t xml:space="preserve"> and two flowcharts show</w:t>
            </w:r>
            <w:r>
              <w:rPr>
                <w:szCs w:val="22"/>
              </w:rPr>
              <w:t xml:space="preserve"> how </w:t>
            </w:r>
            <w:r w:rsidR="00890F1F">
              <w:rPr>
                <w:szCs w:val="22"/>
              </w:rPr>
              <w:t>two slightly different</w:t>
            </w:r>
            <w:r>
              <w:rPr>
                <w:szCs w:val="22"/>
              </w:rPr>
              <w:t xml:space="preserve"> suspension model</w:t>
            </w:r>
            <w:r w:rsidR="00890F1F">
              <w:rPr>
                <w:szCs w:val="22"/>
              </w:rPr>
              <w:t>s</w:t>
            </w:r>
            <w:r>
              <w:rPr>
                <w:szCs w:val="22"/>
              </w:rPr>
              <w:t xml:space="preserve"> might work for both quarterly and annual submissions. </w:t>
            </w:r>
            <w:r w:rsidR="00E32A12">
              <w:rPr>
                <w:szCs w:val="22"/>
              </w:rPr>
              <w:t>The model</w:t>
            </w:r>
            <w:r w:rsidR="00FD3217">
              <w:rPr>
                <w:szCs w:val="22"/>
              </w:rPr>
              <w:t>s</w:t>
            </w:r>
            <w:r w:rsidR="00E32A12">
              <w:rPr>
                <w:szCs w:val="22"/>
              </w:rPr>
              <w:t xml:space="preserve"> we have designed </w:t>
            </w:r>
            <w:r w:rsidR="00FD3217">
              <w:rPr>
                <w:szCs w:val="22"/>
              </w:rPr>
              <w:t>are</w:t>
            </w:r>
            <w:r w:rsidR="00F9716D">
              <w:rPr>
                <w:szCs w:val="22"/>
              </w:rPr>
              <w:t xml:space="preserve"> both</w:t>
            </w:r>
            <w:r w:rsidR="00E32A12">
              <w:rPr>
                <w:szCs w:val="22"/>
              </w:rPr>
              <w:t xml:space="preserve"> different to the one in Chapter 4 of the consultation document.</w:t>
            </w:r>
            <w:r>
              <w:rPr>
                <w:szCs w:val="22"/>
              </w:rPr>
              <w:t xml:space="preserve"> </w:t>
            </w:r>
            <w:r w:rsidR="00FD3217">
              <w:rPr>
                <w:szCs w:val="22"/>
              </w:rPr>
              <w:t>One looks at each year</w:t>
            </w:r>
            <w:r w:rsidR="00890F1F">
              <w:rPr>
                <w:szCs w:val="22"/>
              </w:rPr>
              <w:t xml:space="preserve"> </w:t>
            </w:r>
            <w:r w:rsidR="00FD3217">
              <w:rPr>
                <w:szCs w:val="22"/>
              </w:rPr>
              <w:t>separately and one is a</w:t>
            </w:r>
            <w:r>
              <w:rPr>
                <w:szCs w:val="22"/>
              </w:rPr>
              <w:t xml:space="preserve"> cumulative model</w:t>
            </w:r>
            <w:r w:rsidR="005E6985">
              <w:rPr>
                <w:szCs w:val="22"/>
              </w:rPr>
              <w:t xml:space="preserve">. </w:t>
            </w:r>
            <w:r w:rsidR="00FD3217">
              <w:rPr>
                <w:szCs w:val="22"/>
              </w:rPr>
              <w:t>The</w:t>
            </w:r>
            <w:r w:rsidR="00890F1F">
              <w:rPr>
                <w:szCs w:val="22"/>
              </w:rPr>
              <w:t xml:space="preserve"> two flowcharts </w:t>
            </w:r>
            <w:r w:rsidR="006021E2">
              <w:rPr>
                <w:szCs w:val="22"/>
              </w:rPr>
              <w:t xml:space="preserve">we have prepared </w:t>
            </w:r>
            <w:r w:rsidR="00890F1F">
              <w:rPr>
                <w:szCs w:val="22"/>
              </w:rPr>
              <w:t>are based on</w:t>
            </w:r>
            <w:r w:rsidR="00FD3217">
              <w:rPr>
                <w:szCs w:val="22"/>
              </w:rPr>
              <w:t xml:space="preserve"> the cumulative model.</w:t>
            </w:r>
          </w:p>
          <w:p w14:paraId="49E5F1F4" w14:textId="77777777" w:rsidR="00FD3217" w:rsidRDefault="00FD3217" w:rsidP="00997AB3">
            <w:pPr>
              <w:rPr>
                <w:szCs w:val="22"/>
              </w:rPr>
            </w:pPr>
          </w:p>
          <w:p w14:paraId="488221F7" w14:textId="3D018880" w:rsidR="00890F1F" w:rsidRPr="00F9716D" w:rsidRDefault="00890F1F" w:rsidP="00FD3217">
            <w:pPr>
              <w:pStyle w:val="CommentText"/>
              <w:rPr>
                <w:b/>
                <w:sz w:val="22"/>
                <w:szCs w:val="22"/>
                <w:u w:val="single"/>
              </w:rPr>
            </w:pPr>
            <w:r w:rsidRPr="00F9716D">
              <w:rPr>
                <w:b/>
                <w:sz w:val="22"/>
                <w:szCs w:val="22"/>
                <w:u w:val="single"/>
              </w:rPr>
              <w:t>Yearly approach</w:t>
            </w:r>
          </w:p>
          <w:p w14:paraId="39534CDD" w14:textId="77777777" w:rsidR="00890F1F" w:rsidRDefault="00890F1F" w:rsidP="00FD3217">
            <w:pPr>
              <w:pStyle w:val="CommentText"/>
              <w:rPr>
                <w:sz w:val="22"/>
                <w:szCs w:val="22"/>
              </w:rPr>
            </w:pPr>
          </w:p>
          <w:p w14:paraId="2B04C290" w14:textId="62F15ABE" w:rsidR="00FF0C29" w:rsidRPr="00F9716D" w:rsidRDefault="00FD3217" w:rsidP="00EE2D00">
            <w:r w:rsidRPr="00FD3217">
              <w:rPr>
                <w:szCs w:val="22"/>
              </w:rPr>
              <w:t xml:space="preserve">The advantage of a yearly approach is that </w:t>
            </w:r>
            <w:r w:rsidR="00FF0C29">
              <w:rPr>
                <w:szCs w:val="22"/>
              </w:rPr>
              <w:t>it is very simple</w:t>
            </w:r>
            <w:r w:rsidR="006021E2">
              <w:rPr>
                <w:szCs w:val="22"/>
              </w:rPr>
              <w:t xml:space="preserve"> to explain and understand</w:t>
            </w:r>
            <w:r w:rsidR="005E6985">
              <w:rPr>
                <w:szCs w:val="22"/>
              </w:rPr>
              <w:t xml:space="preserve">. </w:t>
            </w:r>
            <w:r w:rsidR="00FF0C29">
              <w:rPr>
                <w:szCs w:val="22"/>
              </w:rPr>
              <w:t>A</w:t>
            </w:r>
            <w:r w:rsidRPr="00FD3217">
              <w:rPr>
                <w:szCs w:val="22"/>
              </w:rPr>
              <w:t xml:space="preserve"> line is drawn after a set period and the clock then starts again.</w:t>
            </w:r>
            <w:r w:rsidRPr="00FD3217">
              <w:t xml:space="preserve"> </w:t>
            </w:r>
            <w:r w:rsidR="00FF0C29">
              <w:t xml:space="preserve">The reset period for a taxpayer with annual submission obligations could be, say, three years. </w:t>
            </w:r>
            <w:r w:rsidRPr="00FD3217">
              <w:t>Starting each year</w:t>
            </w:r>
            <w:r w:rsidR="00FF0C29">
              <w:t>/three year period</w:t>
            </w:r>
            <w:r w:rsidRPr="00FD3217">
              <w:t xml:space="preserve"> with a c</w:t>
            </w:r>
            <w:r>
              <w:t>lean sheet</w:t>
            </w:r>
            <w:r w:rsidR="00FF0C29">
              <w:t xml:space="preserve"> would keep</w:t>
            </w:r>
            <w:r>
              <w:t xml:space="preserve"> giving every taxpayer</w:t>
            </w:r>
            <w:r w:rsidRPr="00FD3217">
              <w:t xml:space="preserve"> </w:t>
            </w:r>
            <w:r w:rsidR="00FF0C29">
              <w:t xml:space="preserve">the same opportunity </w:t>
            </w:r>
            <w:r w:rsidRPr="00FD3217">
              <w:t xml:space="preserve">to </w:t>
            </w:r>
            <w:r w:rsidR="00FF0C29">
              <w:t>become, and stay, compliant, without their penalty history hanging over them for year on year</w:t>
            </w:r>
            <w:r w:rsidR="005E6985">
              <w:t xml:space="preserve">. </w:t>
            </w:r>
            <w:r w:rsidR="00FF0C29">
              <w:t xml:space="preserve"> However, </w:t>
            </w:r>
            <w:r w:rsidR="00EF12D7">
              <w:t xml:space="preserve">we recognise that this simplicity has the </w:t>
            </w:r>
            <w:r w:rsidR="004624A3">
              <w:t xml:space="preserve">potential </w:t>
            </w:r>
            <w:r w:rsidR="00EF12D7">
              <w:t xml:space="preserve">consequence of </w:t>
            </w:r>
            <w:r w:rsidR="00FF0C29" w:rsidRPr="00F9716D">
              <w:t>not put</w:t>
            </w:r>
            <w:r w:rsidR="00EF12D7" w:rsidRPr="00F9716D">
              <w:t>ting</w:t>
            </w:r>
            <w:r w:rsidR="00FF0C29" w:rsidRPr="00F9716D">
              <w:t xml:space="preserve"> compliant taxpayers in a </w:t>
            </w:r>
            <w:r w:rsidR="00FF0C29" w:rsidRPr="00F9716D">
              <w:lastRenderedPageBreak/>
              <w:t xml:space="preserve">better position than the non-compliant (principle 3) </w:t>
            </w:r>
            <w:r w:rsidR="004B4FF8" w:rsidRPr="00F9716D">
              <w:t>if everyone’s clock is reset at the same point regardless of their pattern of compliance</w:t>
            </w:r>
            <w:r w:rsidR="006021E2" w:rsidRPr="00F9716D">
              <w:t xml:space="preserve"> in the previous period</w:t>
            </w:r>
            <w:r w:rsidR="004B4FF8" w:rsidRPr="00F9716D">
              <w:t xml:space="preserve">, </w:t>
            </w:r>
            <w:r w:rsidR="00FF0C29" w:rsidRPr="00F9716D">
              <w:t>or take account of past behaviour beyond the year/three years in question (principle 2).</w:t>
            </w:r>
          </w:p>
          <w:p w14:paraId="2F8B5AC5" w14:textId="77777777" w:rsidR="00FF0C29" w:rsidRDefault="00FF0C29" w:rsidP="00FD3217">
            <w:pPr>
              <w:pStyle w:val="CommentText"/>
              <w:rPr>
                <w:sz w:val="22"/>
              </w:rPr>
            </w:pPr>
          </w:p>
          <w:p w14:paraId="4D1A799D" w14:textId="26AE43C8" w:rsidR="00FD3217" w:rsidRDefault="006021E2" w:rsidP="00FD3217">
            <w:pPr>
              <w:pStyle w:val="CommentText"/>
              <w:rPr>
                <w:sz w:val="22"/>
              </w:rPr>
            </w:pPr>
            <w:r>
              <w:rPr>
                <w:sz w:val="22"/>
              </w:rPr>
              <w:t xml:space="preserve">Our suggested model </w:t>
            </w:r>
            <w:r w:rsidR="00FD3217" w:rsidRPr="00FD3217">
              <w:rPr>
                <w:sz w:val="22"/>
              </w:rPr>
              <w:t xml:space="preserve">raises a penalty on the </w:t>
            </w:r>
            <w:r w:rsidR="00FD3217" w:rsidRPr="00FF0C29">
              <w:rPr>
                <w:sz w:val="22"/>
              </w:rPr>
              <w:t>second failure</w:t>
            </w:r>
            <w:r w:rsidR="00FD3217" w:rsidRPr="00FD3217">
              <w:rPr>
                <w:sz w:val="22"/>
              </w:rPr>
              <w:t xml:space="preserve"> to meet the suspension condition so does not allow excessive non-compliance</w:t>
            </w:r>
            <w:r w:rsidR="00FF0C29">
              <w:rPr>
                <w:sz w:val="22"/>
              </w:rPr>
              <w:t>.</w:t>
            </w:r>
          </w:p>
          <w:p w14:paraId="07169EB9" w14:textId="77777777" w:rsidR="006021E2" w:rsidRDefault="006021E2" w:rsidP="00FD3217">
            <w:pPr>
              <w:pStyle w:val="CommentText"/>
              <w:rPr>
                <w:sz w:val="22"/>
              </w:rPr>
            </w:pPr>
          </w:p>
          <w:p w14:paraId="0448958D" w14:textId="211D5AA6" w:rsidR="00EE2D00" w:rsidRDefault="00EE2D00" w:rsidP="00EE2D00">
            <w:pPr>
              <w:rPr>
                <w:szCs w:val="22"/>
              </w:rPr>
            </w:pPr>
            <w:r w:rsidRPr="004B782D">
              <w:rPr>
                <w:szCs w:val="22"/>
                <w:u w:val="single"/>
              </w:rPr>
              <w:t>Quarterly submissions</w:t>
            </w:r>
            <w:r>
              <w:rPr>
                <w:szCs w:val="22"/>
              </w:rPr>
              <w:t xml:space="preserve"> – a missed deadline attracts a suspension with conditions to file the update by a specified date. If the taxpayer meets the conditions, they have one further suspension opportunity within the year</w:t>
            </w:r>
            <w:r w:rsidR="005E6985">
              <w:rPr>
                <w:szCs w:val="22"/>
              </w:rPr>
              <w:t xml:space="preserve">. </w:t>
            </w:r>
            <w:r>
              <w:rPr>
                <w:szCs w:val="22"/>
              </w:rPr>
              <w:t xml:space="preserve">If the suspension conditions </w:t>
            </w:r>
            <w:r w:rsidR="006021E2">
              <w:rPr>
                <w:szCs w:val="22"/>
              </w:rPr>
              <w:t xml:space="preserve">for the first missed deadline </w:t>
            </w:r>
            <w:r>
              <w:rPr>
                <w:szCs w:val="22"/>
              </w:rPr>
              <w:t xml:space="preserve">are not met a penalty is </w:t>
            </w:r>
            <w:r w:rsidR="006021E2">
              <w:rPr>
                <w:szCs w:val="22"/>
              </w:rPr>
              <w:t xml:space="preserve">not </w:t>
            </w:r>
            <w:r>
              <w:rPr>
                <w:szCs w:val="22"/>
              </w:rPr>
              <w:t>imposed</w:t>
            </w:r>
            <w:r w:rsidR="0081019C">
              <w:rPr>
                <w:szCs w:val="22"/>
              </w:rPr>
              <w:t xml:space="preserve"> at that stage</w:t>
            </w:r>
            <w:r w:rsidR="006021E2">
              <w:rPr>
                <w:szCs w:val="22"/>
              </w:rPr>
              <w:t>, but a penalty will be imposed if the suspension conditions are not met on the second occasion that the deadline is missed.</w:t>
            </w:r>
          </w:p>
          <w:p w14:paraId="665C9F50" w14:textId="77777777" w:rsidR="00EE2D00" w:rsidRDefault="00EE2D00" w:rsidP="00EE2D00">
            <w:pPr>
              <w:rPr>
                <w:szCs w:val="22"/>
              </w:rPr>
            </w:pPr>
          </w:p>
          <w:p w14:paraId="36DE7C7D" w14:textId="2CB7556A" w:rsidR="00EE2D00" w:rsidRDefault="00EE2D00" w:rsidP="00EE2D00">
            <w:pPr>
              <w:rPr>
                <w:szCs w:val="22"/>
              </w:rPr>
            </w:pPr>
            <w:r>
              <w:rPr>
                <w:szCs w:val="22"/>
              </w:rPr>
              <w:t>After two suspension opportunities</w:t>
            </w:r>
            <w:r w:rsidR="0081019C">
              <w:rPr>
                <w:szCs w:val="22"/>
              </w:rPr>
              <w:t xml:space="preserve"> have been given</w:t>
            </w:r>
            <w:r>
              <w:rPr>
                <w:szCs w:val="22"/>
              </w:rPr>
              <w:t>, the next missed deadline attracts an automatic penalty. The clock is reset at the end of the year.</w:t>
            </w:r>
          </w:p>
          <w:p w14:paraId="4DAF8B1A" w14:textId="77777777" w:rsidR="00EE2D00" w:rsidRDefault="00EE2D00" w:rsidP="00EE2D00">
            <w:pPr>
              <w:rPr>
                <w:szCs w:val="22"/>
              </w:rPr>
            </w:pPr>
          </w:p>
          <w:p w14:paraId="0D137931" w14:textId="1082AF69" w:rsidR="00EE2D00" w:rsidRDefault="00EE2D00" w:rsidP="00EE2D00">
            <w:pPr>
              <w:rPr>
                <w:szCs w:val="22"/>
              </w:rPr>
            </w:pPr>
            <w:r w:rsidRPr="004B782D">
              <w:rPr>
                <w:szCs w:val="22"/>
                <w:u w:val="single"/>
              </w:rPr>
              <w:t>Annual submissions</w:t>
            </w:r>
            <w:r>
              <w:rPr>
                <w:szCs w:val="22"/>
              </w:rPr>
              <w:t xml:space="preserve"> – as above, but the clock is reset </w:t>
            </w:r>
            <w:r w:rsidR="00F9716D">
              <w:rPr>
                <w:szCs w:val="22"/>
              </w:rPr>
              <w:t xml:space="preserve">after the third </w:t>
            </w:r>
            <w:r>
              <w:rPr>
                <w:szCs w:val="22"/>
              </w:rPr>
              <w:t>submission.</w:t>
            </w:r>
          </w:p>
          <w:p w14:paraId="26800B3E" w14:textId="77777777" w:rsidR="00FD3217" w:rsidRDefault="00FD3217" w:rsidP="00997AB3">
            <w:pPr>
              <w:rPr>
                <w:szCs w:val="22"/>
              </w:rPr>
            </w:pPr>
          </w:p>
          <w:p w14:paraId="3CA70808" w14:textId="4233C461" w:rsidR="00890F1F" w:rsidRPr="00F9716D" w:rsidRDefault="00890F1F" w:rsidP="00997AB3">
            <w:pPr>
              <w:rPr>
                <w:szCs w:val="22"/>
                <w:u w:val="single"/>
              </w:rPr>
            </w:pPr>
            <w:r w:rsidRPr="00F9716D">
              <w:rPr>
                <w:b/>
                <w:szCs w:val="22"/>
                <w:u w:val="single"/>
              </w:rPr>
              <w:t>Cumulative approach</w:t>
            </w:r>
          </w:p>
          <w:p w14:paraId="5FDC22CF" w14:textId="77777777" w:rsidR="00890F1F" w:rsidRDefault="00890F1F" w:rsidP="00997AB3">
            <w:pPr>
              <w:rPr>
                <w:szCs w:val="22"/>
              </w:rPr>
            </w:pPr>
          </w:p>
          <w:p w14:paraId="7E4A4FB1" w14:textId="5E968A84" w:rsidR="00997AB3" w:rsidRDefault="00FD3217" w:rsidP="00997AB3">
            <w:pPr>
              <w:rPr>
                <w:szCs w:val="22"/>
              </w:rPr>
            </w:pPr>
            <w:r>
              <w:rPr>
                <w:szCs w:val="22"/>
              </w:rPr>
              <w:t xml:space="preserve">The advantage of </w:t>
            </w:r>
            <w:r w:rsidR="008F5218">
              <w:rPr>
                <w:szCs w:val="22"/>
              </w:rPr>
              <w:t xml:space="preserve">a cumulative approach </w:t>
            </w:r>
            <w:r>
              <w:rPr>
                <w:szCs w:val="22"/>
              </w:rPr>
              <w:t xml:space="preserve">is that it </w:t>
            </w:r>
            <w:r w:rsidR="008F5218">
              <w:rPr>
                <w:szCs w:val="22"/>
              </w:rPr>
              <w:t xml:space="preserve">tracks current </w:t>
            </w:r>
            <w:r w:rsidR="0081019C">
              <w:rPr>
                <w:szCs w:val="22"/>
              </w:rPr>
              <w:t>behaviour, takes into account past behaviour (principle 2)</w:t>
            </w:r>
            <w:r w:rsidR="00F9716D">
              <w:rPr>
                <w:szCs w:val="22"/>
              </w:rPr>
              <w:t xml:space="preserve"> </w:t>
            </w:r>
            <w:r w:rsidR="008F5218">
              <w:rPr>
                <w:szCs w:val="22"/>
              </w:rPr>
              <w:t>and makes sure the compliant taxpayer is in a better position than a non-compliant taxpayer</w:t>
            </w:r>
            <w:r w:rsidR="0065745C">
              <w:rPr>
                <w:szCs w:val="22"/>
              </w:rPr>
              <w:t xml:space="preserve"> (principle 3)</w:t>
            </w:r>
            <w:r w:rsidR="005E6985">
              <w:rPr>
                <w:szCs w:val="22"/>
              </w:rPr>
              <w:t xml:space="preserve">. </w:t>
            </w:r>
            <w:r w:rsidR="00EF12D7">
              <w:rPr>
                <w:szCs w:val="22"/>
              </w:rPr>
              <w:t>The cumulative approach does add a little more complexity, but as noted above has similarities with the VAT Default Surcharge regime, which is currently understood by many businesses and their advisers.</w:t>
            </w:r>
          </w:p>
          <w:p w14:paraId="03E02221" w14:textId="77777777" w:rsidR="00997AB3" w:rsidRDefault="00997AB3" w:rsidP="00997AB3">
            <w:pPr>
              <w:rPr>
                <w:szCs w:val="22"/>
              </w:rPr>
            </w:pPr>
          </w:p>
          <w:p w14:paraId="2DB11DC4" w14:textId="2C2292DE" w:rsidR="00AB197B" w:rsidRDefault="00997AB3" w:rsidP="00997AB3">
            <w:pPr>
              <w:rPr>
                <w:szCs w:val="22"/>
              </w:rPr>
            </w:pPr>
            <w:r w:rsidRPr="004B782D">
              <w:rPr>
                <w:szCs w:val="22"/>
                <w:u w:val="single"/>
              </w:rPr>
              <w:t>Quarterly submissions</w:t>
            </w:r>
            <w:r>
              <w:rPr>
                <w:szCs w:val="22"/>
              </w:rPr>
              <w:t xml:space="preserve"> – a missed deadline attracts a </w:t>
            </w:r>
            <w:r w:rsidR="00AB197B">
              <w:rPr>
                <w:szCs w:val="22"/>
              </w:rPr>
              <w:t>suspension with conditions to file the update by a specified date. If the taxpayer meets the conditions, they are put on 12 months’ ‘probation’ but with one further suspension opportunity in that period</w:t>
            </w:r>
            <w:r w:rsidR="005E6985">
              <w:rPr>
                <w:szCs w:val="22"/>
              </w:rPr>
              <w:t xml:space="preserve">. </w:t>
            </w:r>
            <w:r w:rsidR="00AB197B">
              <w:rPr>
                <w:szCs w:val="22"/>
              </w:rPr>
              <w:t xml:space="preserve">If they miss </w:t>
            </w:r>
            <w:r w:rsidR="00247395">
              <w:rPr>
                <w:szCs w:val="22"/>
              </w:rPr>
              <w:t xml:space="preserve">one further </w:t>
            </w:r>
            <w:r w:rsidR="00AB197B">
              <w:rPr>
                <w:szCs w:val="22"/>
              </w:rPr>
              <w:t>deadline within the 12 months and meet the suspension conditions they will not get a penalty but they will have to submit the next four updates on time to avoid an automatic penalty</w:t>
            </w:r>
            <w:r w:rsidR="000079F2">
              <w:rPr>
                <w:szCs w:val="22"/>
              </w:rPr>
              <w:t xml:space="preserve"> and to </w:t>
            </w:r>
            <w:r w:rsidR="00AB197B">
              <w:rPr>
                <w:szCs w:val="22"/>
              </w:rPr>
              <w:t>re-set the clock.</w:t>
            </w:r>
          </w:p>
          <w:p w14:paraId="646F8802" w14:textId="77777777" w:rsidR="00513975" w:rsidRDefault="00513975" w:rsidP="00997AB3">
            <w:pPr>
              <w:rPr>
                <w:szCs w:val="22"/>
              </w:rPr>
            </w:pPr>
          </w:p>
          <w:p w14:paraId="71373129" w14:textId="7C2A6706" w:rsidR="00AB197B" w:rsidRDefault="00AB197B" w:rsidP="00997AB3">
            <w:pPr>
              <w:rPr>
                <w:szCs w:val="22"/>
              </w:rPr>
            </w:pPr>
            <w:r>
              <w:rPr>
                <w:szCs w:val="22"/>
              </w:rPr>
              <w:t xml:space="preserve">The first time that </w:t>
            </w:r>
            <w:r w:rsidR="00513975">
              <w:rPr>
                <w:szCs w:val="22"/>
              </w:rPr>
              <w:t xml:space="preserve">a </w:t>
            </w:r>
            <w:r>
              <w:rPr>
                <w:szCs w:val="22"/>
              </w:rPr>
              <w:t>taxpayer misses the suspension conditions they do not get a penalty, but are put on 12 months’ ‘probation’ without any further suspension opportunity</w:t>
            </w:r>
            <w:r w:rsidR="005E6985">
              <w:rPr>
                <w:szCs w:val="22"/>
              </w:rPr>
              <w:t xml:space="preserve">. </w:t>
            </w:r>
            <w:r>
              <w:rPr>
                <w:szCs w:val="22"/>
              </w:rPr>
              <w:t>If they miss a further deadline within the 12 months they will get an automatic penalty</w:t>
            </w:r>
            <w:r w:rsidR="005E6985">
              <w:rPr>
                <w:szCs w:val="22"/>
              </w:rPr>
              <w:t xml:space="preserve">. </w:t>
            </w:r>
            <w:r>
              <w:rPr>
                <w:szCs w:val="22"/>
              </w:rPr>
              <w:t>They need four consecutive submission</w:t>
            </w:r>
            <w:r w:rsidR="00F56B43">
              <w:rPr>
                <w:szCs w:val="22"/>
              </w:rPr>
              <w:t>s</w:t>
            </w:r>
            <w:r>
              <w:rPr>
                <w:szCs w:val="22"/>
              </w:rPr>
              <w:t xml:space="preserve"> on time to re-set the clock</w:t>
            </w:r>
            <w:r w:rsidR="005E6985">
              <w:rPr>
                <w:szCs w:val="22"/>
              </w:rPr>
              <w:t xml:space="preserve">. </w:t>
            </w:r>
            <w:r>
              <w:rPr>
                <w:szCs w:val="22"/>
              </w:rPr>
              <w:t>If not, they will continue to get an automatic penalty every time they miss a deadline.</w:t>
            </w:r>
          </w:p>
          <w:p w14:paraId="71C6C224" w14:textId="77777777" w:rsidR="00997AB3" w:rsidRDefault="00997AB3" w:rsidP="00997AB3">
            <w:pPr>
              <w:rPr>
                <w:szCs w:val="22"/>
              </w:rPr>
            </w:pPr>
          </w:p>
          <w:p w14:paraId="358327B5" w14:textId="073403E6" w:rsidR="00997AB3" w:rsidRDefault="00997AB3" w:rsidP="00AB197B">
            <w:pPr>
              <w:rPr>
                <w:szCs w:val="22"/>
              </w:rPr>
            </w:pPr>
            <w:r w:rsidRPr="004B782D">
              <w:rPr>
                <w:szCs w:val="22"/>
                <w:u w:val="single"/>
              </w:rPr>
              <w:t>Annual submissions</w:t>
            </w:r>
            <w:r>
              <w:rPr>
                <w:szCs w:val="22"/>
              </w:rPr>
              <w:t xml:space="preserve"> – a</w:t>
            </w:r>
            <w:r w:rsidR="00AB197B">
              <w:rPr>
                <w:szCs w:val="22"/>
              </w:rPr>
              <w:t xml:space="preserve">s above, but </w:t>
            </w:r>
            <w:r w:rsidR="00E31EB0">
              <w:rPr>
                <w:szCs w:val="22"/>
              </w:rPr>
              <w:t xml:space="preserve">the ‘probation’ period is 2 years </w:t>
            </w:r>
            <w:r w:rsidR="008F5218">
              <w:rPr>
                <w:szCs w:val="22"/>
              </w:rPr>
              <w:t xml:space="preserve">and </w:t>
            </w:r>
            <w:r w:rsidR="00247395">
              <w:rPr>
                <w:szCs w:val="22"/>
              </w:rPr>
              <w:t xml:space="preserve">so </w:t>
            </w:r>
            <w:r w:rsidR="008F5218">
              <w:rPr>
                <w:szCs w:val="22"/>
              </w:rPr>
              <w:t>the</w:t>
            </w:r>
            <w:r w:rsidR="00E31EB0">
              <w:rPr>
                <w:szCs w:val="22"/>
              </w:rPr>
              <w:t xml:space="preserve"> taxpayer</w:t>
            </w:r>
            <w:r w:rsidR="00AB197B">
              <w:rPr>
                <w:szCs w:val="22"/>
              </w:rPr>
              <w:t xml:space="preserve"> need</w:t>
            </w:r>
            <w:r w:rsidR="00E31EB0">
              <w:rPr>
                <w:szCs w:val="22"/>
              </w:rPr>
              <w:t>s</w:t>
            </w:r>
            <w:r w:rsidR="00AB197B">
              <w:rPr>
                <w:szCs w:val="22"/>
              </w:rPr>
              <w:t xml:space="preserve"> to file two consecutive submissions on time to re-set the clock. </w:t>
            </w:r>
          </w:p>
          <w:p w14:paraId="6771565B" w14:textId="0BCC671C" w:rsidR="00AB197B" w:rsidRDefault="00AB197B" w:rsidP="00AB197B">
            <w:pPr>
              <w:rPr>
                <w:szCs w:val="22"/>
              </w:rPr>
            </w:pPr>
          </w:p>
        </w:tc>
      </w:tr>
      <w:tr w:rsidR="00997AB3" w:rsidRPr="003A03F9" w14:paraId="3A2FE6DC" w14:textId="77777777" w:rsidTr="00D86C89">
        <w:tc>
          <w:tcPr>
            <w:tcW w:w="562" w:type="dxa"/>
          </w:tcPr>
          <w:p w14:paraId="2F63E31A" w14:textId="295847EC" w:rsidR="00997AB3" w:rsidRPr="003A03F9" w:rsidRDefault="00997AB3" w:rsidP="00625356">
            <w:pPr>
              <w:numPr>
                <w:ilvl w:val="1"/>
                <w:numId w:val="6"/>
              </w:numPr>
              <w:rPr>
                <w:szCs w:val="22"/>
              </w:rPr>
            </w:pPr>
          </w:p>
        </w:tc>
        <w:tc>
          <w:tcPr>
            <w:tcW w:w="8510" w:type="dxa"/>
          </w:tcPr>
          <w:p w14:paraId="4BE314C6" w14:textId="5312DDAB" w:rsidR="00997AB3" w:rsidRDefault="00997AB3" w:rsidP="00997AB3">
            <w:pPr>
              <w:rPr>
                <w:szCs w:val="22"/>
              </w:rPr>
            </w:pPr>
            <w:r>
              <w:rPr>
                <w:szCs w:val="22"/>
              </w:rPr>
              <w:t>Further points about th</w:t>
            </w:r>
            <w:r w:rsidR="0081019C">
              <w:rPr>
                <w:szCs w:val="22"/>
              </w:rPr>
              <w:t>ese</w:t>
            </w:r>
            <w:r>
              <w:rPr>
                <w:szCs w:val="22"/>
              </w:rPr>
              <w:t xml:space="preserve"> model</w:t>
            </w:r>
            <w:r w:rsidR="0081019C">
              <w:rPr>
                <w:szCs w:val="22"/>
              </w:rPr>
              <w:t>s</w:t>
            </w:r>
            <w:r>
              <w:rPr>
                <w:szCs w:val="22"/>
              </w:rPr>
              <w:t>:</w:t>
            </w:r>
          </w:p>
          <w:p w14:paraId="61A0DA2D" w14:textId="77777777" w:rsidR="00997AB3" w:rsidRDefault="00997AB3" w:rsidP="00997AB3">
            <w:pPr>
              <w:rPr>
                <w:szCs w:val="22"/>
              </w:rPr>
            </w:pPr>
          </w:p>
          <w:p w14:paraId="72DEDFEA" w14:textId="21C1E3DF" w:rsidR="00997AB3" w:rsidRPr="00F1597D" w:rsidRDefault="00997AB3" w:rsidP="004038ED">
            <w:pPr>
              <w:pStyle w:val="ListParagraph"/>
              <w:numPr>
                <w:ilvl w:val="0"/>
                <w:numId w:val="20"/>
              </w:numPr>
              <w:rPr>
                <w:rFonts w:ascii="Arial" w:hAnsi="Arial" w:cs="Arial"/>
              </w:rPr>
            </w:pPr>
            <w:r>
              <w:rPr>
                <w:rFonts w:ascii="Arial" w:hAnsi="Arial" w:cs="Arial"/>
              </w:rPr>
              <w:t>I</w:t>
            </w:r>
            <w:r w:rsidRPr="00F1597D">
              <w:rPr>
                <w:rFonts w:ascii="Arial" w:hAnsi="Arial" w:cs="Arial"/>
              </w:rPr>
              <w:t xml:space="preserve">t will be easier for taxpayers to understand and will encourage better compliance because it will </w:t>
            </w:r>
            <w:r>
              <w:rPr>
                <w:rFonts w:ascii="Arial" w:hAnsi="Arial" w:cs="Arial"/>
              </w:rPr>
              <w:t xml:space="preserve">focus on each individual failure and </w:t>
            </w:r>
            <w:r w:rsidRPr="00F1597D">
              <w:rPr>
                <w:rFonts w:ascii="Arial" w:hAnsi="Arial" w:cs="Arial"/>
              </w:rPr>
              <w:t>set conditions</w:t>
            </w:r>
            <w:r>
              <w:rPr>
                <w:rFonts w:ascii="Arial" w:hAnsi="Arial" w:cs="Arial"/>
              </w:rPr>
              <w:t xml:space="preserve"> for that failure to be rectified (principle 1)</w:t>
            </w:r>
            <w:r w:rsidR="005E6985">
              <w:rPr>
                <w:rFonts w:ascii="Arial" w:hAnsi="Arial" w:cs="Arial"/>
              </w:rPr>
              <w:t xml:space="preserve">. </w:t>
            </w:r>
            <w:r w:rsidR="00513975">
              <w:rPr>
                <w:rFonts w:ascii="Arial" w:hAnsi="Arial" w:cs="Arial"/>
              </w:rPr>
              <w:t>These conditions could be clearly set out in legislation</w:t>
            </w:r>
            <w:r w:rsidR="00247395">
              <w:rPr>
                <w:rFonts w:ascii="Arial" w:hAnsi="Arial" w:cs="Arial"/>
              </w:rPr>
              <w:t>,</w:t>
            </w:r>
            <w:r w:rsidR="00513975">
              <w:rPr>
                <w:rFonts w:ascii="Arial" w:hAnsi="Arial" w:cs="Arial"/>
              </w:rPr>
              <w:t xml:space="preserve"> guidance</w:t>
            </w:r>
            <w:r w:rsidR="00247395">
              <w:rPr>
                <w:rFonts w:ascii="Arial" w:hAnsi="Arial" w:cs="Arial"/>
              </w:rPr>
              <w:t xml:space="preserve"> and any suspended penalty notice</w:t>
            </w:r>
            <w:r w:rsidR="00513975">
              <w:rPr>
                <w:rFonts w:ascii="Arial" w:hAnsi="Arial" w:cs="Arial"/>
              </w:rPr>
              <w:t xml:space="preserve">, and </w:t>
            </w:r>
            <w:r w:rsidR="00745702">
              <w:rPr>
                <w:rFonts w:ascii="Arial" w:hAnsi="Arial" w:cs="Arial"/>
              </w:rPr>
              <w:t>should make it more effective than the points based model.</w:t>
            </w:r>
          </w:p>
          <w:p w14:paraId="6B40FF9A" w14:textId="3D00D622" w:rsidR="00997AB3" w:rsidRDefault="00997AB3" w:rsidP="004038ED">
            <w:pPr>
              <w:pStyle w:val="ListParagraph"/>
              <w:numPr>
                <w:ilvl w:val="0"/>
                <w:numId w:val="20"/>
              </w:numPr>
              <w:rPr>
                <w:rFonts w:ascii="Arial" w:hAnsi="Arial" w:cs="Arial"/>
              </w:rPr>
            </w:pPr>
            <w:r w:rsidRPr="005A37BB">
              <w:rPr>
                <w:rFonts w:ascii="Arial" w:hAnsi="Arial" w:cs="Arial"/>
              </w:rPr>
              <w:t>An automatic suspension method will make it quick and</w:t>
            </w:r>
            <w:r>
              <w:rPr>
                <w:rFonts w:ascii="Arial" w:hAnsi="Arial" w:cs="Arial"/>
              </w:rPr>
              <w:t xml:space="preserve"> simple for HMRC to administer and does not involve any subjective analysis of the taxpayer’s </w:t>
            </w:r>
            <w:r>
              <w:rPr>
                <w:rFonts w:ascii="Arial" w:hAnsi="Arial" w:cs="Arial"/>
              </w:rPr>
              <w:lastRenderedPageBreak/>
              <w:t>reason for missing a deadline (principle 5).</w:t>
            </w:r>
            <w:r w:rsidRPr="005A37BB">
              <w:rPr>
                <w:rFonts w:ascii="Arial" w:hAnsi="Arial" w:cs="Arial"/>
              </w:rPr>
              <w:t xml:space="preserve"> This will avoid the problems we see in the suspension model for inaccuracy penalties, </w:t>
            </w:r>
            <w:proofErr w:type="spellStart"/>
            <w:r w:rsidRPr="005A37BB">
              <w:rPr>
                <w:rFonts w:ascii="Arial" w:hAnsi="Arial" w:cs="Arial"/>
              </w:rPr>
              <w:t>ie</w:t>
            </w:r>
            <w:proofErr w:type="spellEnd"/>
            <w:r w:rsidRPr="005A37BB">
              <w:rPr>
                <w:rFonts w:ascii="Arial" w:hAnsi="Arial" w:cs="Arial"/>
              </w:rPr>
              <w:t xml:space="preserve"> suspension not being offered</w:t>
            </w:r>
            <w:r>
              <w:rPr>
                <w:rFonts w:ascii="Arial" w:hAnsi="Arial" w:cs="Arial"/>
              </w:rPr>
              <w:t xml:space="preserve"> when it might have been appropriate</w:t>
            </w:r>
            <w:r w:rsidRPr="005A37BB">
              <w:rPr>
                <w:rFonts w:ascii="Arial" w:hAnsi="Arial" w:cs="Arial"/>
              </w:rPr>
              <w:t xml:space="preserve">, arguments over whether the conditions for suspension of the penalty have been met </w:t>
            </w:r>
            <w:r>
              <w:rPr>
                <w:rFonts w:ascii="Arial" w:hAnsi="Arial" w:cs="Arial"/>
              </w:rPr>
              <w:t>and so on</w:t>
            </w:r>
            <w:r w:rsidRPr="005A37BB">
              <w:rPr>
                <w:rFonts w:ascii="Arial" w:hAnsi="Arial" w:cs="Arial"/>
              </w:rPr>
              <w:t>.</w:t>
            </w:r>
          </w:p>
          <w:p w14:paraId="379AB0DB" w14:textId="5823D729" w:rsidR="00997AB3" w:rsidRDefault="00997AB3" w:rsidP="004038ED">
            <w:pPr>
              <w:pStyle w:val="ListParagraph"/>
              <w:numPr>
                <w:ilvl w:val="0"/>
                <w:numId w:val="20"/>
              </w:numPr>
              <w:rPr>
                <w:rFonts w:ascii="Arial" w:hAnsi="Arial" w:cs="Arial"/>
              </w:rPr>
            </w:pPr>
            <w:r>
              <w:rPr>
                <w:rFonts w:ascii="Arial" w:hAnsi="Arial" w:cs="Arial"/>
              </w:rPr>
              <w:t xml:space="preserve">Like the </w:t>
            </w:r>
            <w:r w:rsidR="004038ED">
              <w:rPr>
                <w:rFonts w:ascii="Arial" w:hAnsi="Arial" w:cs="Arial"/>
              </w:rPr>
              <w:t xml:space="preserve">points based </w:t>
            </w:r>
            <w:r>
              <w:rPr>
                <w:rFonts w:ascii="Arial" w:hAnsi="Arial" w:cs="Arial"/>
              </w:rPr>
              <w:t>model, i</w:t>
            </w:r>
            <w:r w:rsidRPr="00C76FE6">
              <w:rPr>
                <w:rFonts w:ascii="Arial" w:hAnsi="Arial" w:cs="Arial"/>
              </w:rPr>
              <w:t xml:space="preserve">t is unclear how </w:t>
            </w:r>
            <w:r w:rsidR="00513975">
              <w:rPr>
                <w:rFonts w:ascii="Arial" w:hAnsi="Arial" w:cs="Arial"/>
              </w:rPr>
              <w:t xml:space="preserve">HMRC’s proposed </w:t>
            </w:r>
            <w:r>
              <w:rPr>
                <w:rFonts w:ascii="Arial" w:hAnsi="Arial" w:cs="Arial"/>
              </w:rPr>
              <w:t xml:space="preserve">suspension </w:t>
            </w:r>
            <w:r w:rsidRPr="00C76FE6">
              <w:rPr>
                <w:rFonts w:ascii="Arial" w:hAnsi="Arial" w:cs="Arial"/>
              </w:rPr>
              <w:t>model will work with taxpayers who have multiple filing obligations per tax, and who will be exposed to a higher number of penalties than a taxpayer with fewer filing obligations</w:t>
            </w:r>
            <w:r w:rsidR="00513975">
              <w:rPr>
                <w:rFonts w:ascii="Arial" w:hAnsi="Arial" w:cs="Arial"/>
              </w:rPr>
              <w:t>. We recommended that the regimes are operated on a per-obligation basis</w:t>
            </w:r>
            <w:r w:rsidR="008F5218">
              <w:rPr>
                <w:rFonts w:ascii="Arial" w:hAnsi="Arial" w:cs="Arial"/>
              </w:rPr>
              <w:t xml:space="preserve"> (see our comments above).</w:t>
            </w:r>
          </w:p>
          <w:p w14:paraId="28ADB741" w14:textId="453AF599" w:rsidR="004038ED" w:rsidRPr="004038ED" w:rsidRDefault="004038ED" w:rsidP="004038ED">
            <w:pPr>
              <w:pStyle w:val="ListParagraph"/>
              <w:numPr>
                <w:ilvl w:val="0"/>
                <w:numId w:val="20"/>
              </w:numPr>
              <w:rPr>
                <w:rFonts w:ascii="Arial" w:hAnsi="Arial" w:cs="Arial"/>
              </w:rPr>
            </w:pPr>
            <w:r>
              <w:rPr>
                <w:rFonts w:ascii="Arial" w:hAnsi="Arial" w:cs="Arial"/>
              </w:rPr>
              <w:t xml:space="preserve">Again, like the points based model, we think </w:t>
            </w:r>
            <w:r w:rsidRPr="004038ED">
              <w:rPr>
                <w:rFonts w:ascii="Arial" w:hAnsi="Arial" w:cs="Arial"/>
              </w:rPr>
              <w:t>there will have to be some kind of ‘escalation’ or repeat penalty built into the model to encourage compliance</w:t>
            </w:r>
            <w:r>
              <w:rPr>
                <w:rFonts w:ascii="Arial" w:hAnsi="Arial" w:cs="Arial"/>
              </w:rPr>
              <w:t xml:space="preserve"> where suspension conditions are not met</w:t>
            </w:r>
            <w:r w:rsidRPr="004038ED">
              <w:rPr>
                <w:rFonts w:ascii="Arial" w:hAnsi="Arial" w:cs="Arial"/>
              </w:rPr>
              <w:t xml:space="preserve">, </w:t>
            </w:r>
            <w:r w:rsidR="00513975">
              <w:rPr>
                <w:rFonts w:ascii="Arial" w:hAnsi="Arial" w:cs="Arial"/>
              </w:rPr>
              <w:t xml:space="preserve">or suspension is not available; </w:t>
            </w:r>
            <w:r w:rsidRPr="004038ED">
              <w:rPr>
                <w:rFonts w:ascii="Arial" w:hAnsi="Arial" w:cs="Arial"/>
              </w:rPr>
              <w:t>particularly within the annual submission model.</w:t>
            </w:r>
          </w:p>
          <w:p w14:paraId="260C1FE2" w14:textId="77777777" w:rsidR="00997AB3" w:rsidRDefault="00997AB3" w:rsidP="00262553">
            <w:pPr>
              <w:rPr>
                <w:szCs w:val="22"/>
              </w:rPr>
            </w:pPr>
          </w:p>
        </w:tc>
      </w:tr>
      <w:tr w:rsidR="00513975" w:rsidRPr="003A03F9" w14:paraId="2E7F30FD" w14:textId="77777777" w:rsidTr="00D86C89">
        <w:tc>
          <w:tcPr>
            <w:tcW w:w="562" w:type="dxa"/>
          </w:tcPr>
          <w:p w14:paraId="2A8A070E" w14:textId="77777777" w:rsidR="00513975" w:rsidRPr="003A03F9" w:rsidRDefault="00513975" w:rsidP="00625356">
            <w:pPr>
              <w:numPr>
                <w:ilvl w:val="1"/>
                <w:numId w:val="6"/>
              </w:numPr>
              <w:rPr>
                <w:szCs w:val="22"/>
              </w:rPr>
            </w:pPr>
          </w:p>
        </w:tc>
        <w:tc>
          <w:tcPr>
            <w:tcW w:w="8510" w:type="dxa"/>
          </w:tcPr>
          <w:p w14:paraId="3215C717" w14:textId="77777777" w:rsidR="00513975" w:rsidRPr="0079521C" w:rsidRDefault="00513975" w:rsidP="00BE013A">
            <w:pPr>
              <w:rPr>
                <w:szCs w:val="22"/>
                <w:u w:val="single"/>
              </w:rPr>
            </w:pPr>
            <w:r w:rsidRPr="0079521C">
              <w:rPr>
                <w:szCs w:val="22"/>
                <w:u w:val="single"/>
              </w:rPr>
              <w:t>Regular review of compliance</w:t>
            </w:r>
          </w:p>
          <w:p w14:paraId="0C3D80B4" w14:textId="77777777" w:rsidR="00513975" w:rsidRDefault="00513975" w:rsidP="00BE013A">
            <w:pPr>
              <w:rPr>
                <w:szCs w:val="22"/>
              </w:rPr>
            </w:pPr>
          </w:p>
        </w:tc>
      </w:tr>
      <w:tr w:rsidR="00BE013A" w:rsidRPr="003A03F9" w14:paraId="1189CC8D" w14:textId="77777777" w:rsidTr="00D86C89">
        <w:tc>
          <w:tcPr>
            <w:tcW w:w="562" w:type="dxa"/>
          </w:tcPr>
          <w:p w14:paraId="750EA61C" w14:textId="0883873D" w:rsidR="00BE013A" w:rsidRPr="003A03F9" w:rsidRDefault="00BE013A" w:rsidP="00625356">
            <w:pPr>
              <w:numPr>
                <w:ilvl w:val="1"/>
                <w:numId w:val="6"/>
              </w:numPr>
              <w:rPr>
                <w:szCs w:val="22"/>
              </w:rPr>
            </w:pPr>
          </w:p>
        </w:tc>
        <w:tc>
          <w:tcPr>
            <w:tcW w:w="8510" w:type="dxa"/>
          </w:tcPr>
          <w:p w14:paraId="793AB366" w14:textId="5B7C27A7" w:rsidR="00BE013A" w:rsidRDefault="00BE013A" w:rsidP="00BE013A">
            <w:pPr>
              <w:rPr>
                <w:szCs w:val="22"/>
              </w:rPr>
            </w:pPr>
            <w:r>
              <w:rPr>
                <w:szCs w:val="22"/>
              </w:rPr>
              <w:t xml:space="preserve">As mentioned above, we are not in favour </w:t>
            </w:r>
            <w:r w:rsidR="0072491C">
              <w:rPr>
                <w:szCs w:val="22"/>
              </w:rPr>
              <w:t xml:space="preserve">of </w:t>
            </w:r>
            <w:r>
              <w:rPr>
                <w:szCs w:val="22"/>
              </w:rPr>
              <w:t>the ‘regular review of compliance’ model</w:t>
            </w:r>
            <w:r w:rsidR="005E6985">
              <w:rPr>
                <w:szCs w:val="22"/>
              </w:rPr>
              <w:t xml:space="preserve">. </w:t>
            </w:r>
            <w:r>
              <w:rPr>
                <w:szCs w:val="22"/>
              </w:rPr>
              <w:t xml:space="preserve">We explain our concerns about this model in more detail in paragraphs 8 to 11 below. </w:t>
            </w:r>
          </w:p>
          <w:p w14:paraId="4E078518" w14:textId="54F9B9A7" w:rsidR="00B12CAF" w:rsidRDefault="00B12CAF" w:rsidP="00BE013A">
            <w:pPr>
              <w:rPr>
                <w:szCs w:val="22"/>
              </w:rPr>
            </w:pPr>
          </w:p>
        </w:tc>
      </w:tr>
    </w:tbl>
    <w:p w14:paraId="47491940" w14:textId="77777777" w:rsidR="00262553" w:rsidRDefault="00262553" w:rsidP="00262553">
      <w:pPr>
        <w:rPr>
          <w:b/>
          <w:bCs/>
          <w:szCs w:val="22"/>
        </w:rPr>
      </w:pPr>
    </w:p>
    <w:p w14:paraId="53E7CEF5" w14:textId="77777777" w:rsidR="005E6985" w:rsidRPr="003A03F9" w:rsidRDefault="005E6985" w:rsidP="00262553">
      <w:pPr>
        <w:rPr>
          <w:b/>
          <w:bCs/>
          <w:szCs w:val="22"/>
        </w:rPr>
      </w:pPr>
    </w:p>
    <w:tbl>
      <w:tblPr>
        <w:tblW w:w="9072" w:type="dxa"/>
        <w:tblLook w:val="0000" w:firstRow="0" w:lastRow="0" w:firstColumn="0" w:lastColumn="0" w:noHBand="0" w:noVBand="0"/>
      </w:tblPr>
      <w:tblGrid>
        <w:gridCol w:w="567"/>
        <w:gridCol w:w="8505"/>
      </w:tblGrid>
      <w:tr w:rsidR="00262553" w:rsidRPr="003A03F9" w14:paraId="629ED238" w14:textId="77777777" w:rsidTr="00F17B89">
        <w:tc>
          <w:tcPr>
            <w:tcW w:w="567" w:type="dxa"/>
          </w:tcPr>
          <w:p w14:paraId="5A5A923A" w14:textId="77777777" w:rsidR="00262553" w:rsidRPr="003A03F9" w:rsidRDefault="00262553" w:rsidP="00625356">
            <w:pPr>
              <w:numPr>
                <w:ilvl w:val="0"/>
                <w:numId w:val="6"/>
              </w:numPr>
              <w:rPr>
                <w:szCs w:val="22"/>
              </w:rPr>
            </w:pPr>
          </w:p>
        </w:tc>
        <w:tc>
          <w:tcPr>
            <w:tcW w:w="8505" w:type="dxa"/>
          </w:tcPr>
          <w:p w14:paraId="260B830E" w14:textId="6357F10D" w:rsidR="005873B1" w:rsidRDefault="002C3F9B" w:rsidP="002C3F9B">
            <w:pPr>
              <w:rPr>
                <w:b/>
                <w:szCs w:val="22"/>
              </w:rPr>
            </w:pPr>
            <w:r w:rsidRPr="002C3F9B">
              <w:rPr>
                <w:b/>
                <w:szCs w:val="22"/>
              </w:rPr>
              <w:t xml:space="preserve">Question 3.1 </w:t>
            </w:r>
            <w:r w:rsidR="005873B1">
              <w:rPr>
                <w:b/>
                <w:szCs w:val="22"/>
              </w:rPr>
              <w:t>Points Model</w:t>
            </w:r>
          </w:p>
          <w:p w14:paraId="04A5669F" w14:textId="22AF7C84" w:rsidR="002C3F9B" w:rsidRPr="002C3F9B" w:rsidRDefault="002C3F9B" w:rsidP="002C3F9B">
            <w:pPr>
              <w:rPr>
                <w:b/>
                <w:szCs w:val="22"/>
              </w:rPr>
            </w:pPr>
            <w:r w:rsidRPr="002C3F9B">
              <w:rPr>
                <w:b/>
                <w:szCs w:val="22"/>
              </w:rPr>
              <w:t xml:space="preserve">Do you agree with these proposals for the duration of the required good compliance periods?   </w:t>
            </w:r>
          </w:p>
          <w:p w14:paraId="5FA89D13" w14:textId="62AE9456" w:rsidR="00625356" w:rsidRPr="003A03F9" w:rsidRDefault="002C3F9B" w:rsidP="002C3F9B">
            <w:pPr>
              <w:rPr>
                <w:szCs w:val="22"/>
              </w:rPr>
            </w:pPr>
            <w:r w:rsidRPr="002C3F9B">
              <w:rPr>
                <w:szCs w:val="22"/>
              </w:rPr>
              <w:t xml:space="preserve">   </w:t>
            </w:r>
          </w:p>
        </w:tc>
      </w:tr>
      <w:tr w:rsidR="00262553" w:rsidRPr="003A03F9" w14:paraId="48FB5325" w14:textId="77777777" w:rsidTr="00F17B89">
        <w:tc>
          <w:tcPr>
            <w:tcW w:w="567" w:type="dxa"/>
          </w:tcPr>
          <w:p w14:paraId="01F392E7" w14:textId="77777777" w:rsidR="00262553" w:rsidRPr="003A03F9" w:rsidRDefault="00262553" w:rsidP="00625356">
            <w:pPr>
              <w:numPr>
                <w:ilvl w:val="1"/>
                <w:numId w:val="6"/>
              </w:numPr>
              <w:rPr>
                <w:szCs w:val="22"/>
              </w:rPr>
            </w:pPr>
          </w:p>
        </w:tc>
        <w:tc>
          <w:tcPr>
            <w:tcW w:w="8505" w:type="dxa"/>
          </w:tcPr>
          <w:p w14:paraId="28578C87" w14:textId="31959BCA" w:rsidR="00262553" w:rsidRDefault="000B6B82" w:rsidP="000B6B82">
            <w:r>
              <w:t>It seems reasonable to require two sequential submissions to be made on time to reset the points total to zero where there is an annual submission frequency</w:t>
            </w:r>
            <w:r w:rsidR="005E6985">
              <w:t xml:space="preserve">. </w:t>
            </w:r>
          </w:p>
          <w:p w14:paraId="78575240" w14:textId="31125BC6" w:rsidR="000B6B82" w:rsidRPr="003A03F9" w:rsidRDefault="000B6B82" w:rsidP="000B6B82">
            <w:pPr>
              <w:rPr>
                <w:szCs w:val="22"/>
              </w:rPr>
            </w:pPr>
          </w:p>
        </w:tc>
      </w:tr>
      <w:tr w:rsidR="00625356" w:rsidRPr="003A03F9" w14:paraId="281A1931" w14:textId="77777777" w:rsidTr="00F17B89">
        <w:tc>
          <w:tcPr>
            <w:tcW w:w="567" w:type="dxa"/>
          </w:tcPr>
          <w:p w14:paraId="6CB18097" w14:textId="77777777" w:rsidR="00625356" w:rsidRPr="003A03F9" w:rsidRDefault="00625356" w:rsidP="00625356">
            <w:pPr>
              <w:numPr>
                <w:ilvl w:val="1"/>
                <w:numId w:val="6"/>
              </w:numPr>
              <w:rPr>
                <w:szCs w:val="22"/>
              </w:rPr>
            </w:pPr>
          </w:p>
        </w:tc>
        <w:tc>
          <w:tcPr>
            <w:tcW w:w="8505" w:type="dxa"/>
          </w:tcPr>
          <w:p w14:paraId="59057972" w14:textId="508EC7D8" w:rsidR="00625356" w:rsidRDefault="000B6B82" w:rsidP="000B6B82">
            <w:pPr>
              <w:rPr>
                <w:szCs w:val="22"/>
              </w:rPr>
            </w:pPr>
            <w:r>
              <w:rPr>
                <w:szCs w:val="22"/>
              </w:rPr>
              <w:t>Similarly, it seems reasonable to require four sequential submissions to be made on time to reset the points total to zero where there is a quarterly submission frequency.</w:t>
            </w:r>
            <w:r w:rsidR="007A46C0">
              <w:rPr>
                <w:szCs w:val="22"/>
              </w:rPr>
              <w:t xml:space="preserve"> </w:t>
            </w:r>
            <w:r w:rsidR="004038ED">
              <w:rPr>
                <w:szCs w:val="22"/>
              </w:rPr>
              <w:t xml:space="preserve">What remains unclear </w:t>
            </w:r>
            <w:r w:rsidR="007A46C0">
              <w:rPr>
                <w:szCs w:val="22"/>
              </w:rPr>
              <w:t>is how the annual end of year submission fits with this, because there are effectively five (and possibly even six) submissions per year for a taxpayer within MTD</w:t>
            </w:r>
            <w:r w:rsidR="004038ED">
              <w:rPr>
                <w:szCs w:val="22"/>
              </w:rPr>
              <w:t xml:space="preserve"> for Business</w:t>
            </w:r>
            <w:r w:rsidR="007A46C0">
              <w:rPr>
                <w:szCs w:val="22"/>
              </w:rPr>
              <w:t>, not four.</w:t>
            </w:r>
          </w:p>
          <w:p w14:paraId="209C529D" w14:textId="7724C77A" w:rsidR="000B6B82" w:rsidRPr="003A03F9" w:rsidRDefault="000B6B82" w:rsidP="000B6B82">
            <w:pPr>
              <w:rPr>
                <w:szCs w:val="22"/>
              </w:rPr>
            </w:pPr>
          </w:p>
        </w:tc>
      </w:tr>
      <w:tr w:rsidR="007A46C0" w:rsidRPr="003A03F9" w14:paraId="708CCCBD" w14:textId="77777777" w:rsidTr="00F17B89">
        <w:tc>
          <w:tcPr>
            <w:tcW w:w="567" w:type="dxa"/>
          </w:tcPr>
          <w:p w14:paraId="6DBB18C4" w14:textId="77777777" w:rsidR="007A46C0" w:rsidRPr="003A03F9" w:rsidRDefault="007A46C0" w:rsidP="00625356">
            <w:pPr>
              <w:numPr>
                <w:ilvl w:val="1"/>
                <w:numId w:val="6"/>
              </w:numPr>
              <w:rPr>
                <w:szCs w:val="22"/>
              </w:rPr>
            </w:pPr>
          </w:p>
        </w:tc>
        <w:tc>
          <w:tcPr>
            <w:tcW w:w="8505" w:type="dxa"/>
          </w:tcPr>
          <w:p w14:paraId="150D47BD" w14:textId="556C6E58" w:rsidR="007A46C0" w:rsidRDefault="00513975" w:rsidP="000B6B82">
            <w:pPr>
              <w:rPr>
                <w:szCs w:val="22"/>
              </w:rPr>
            </w:pPr>
            <w:r>
              <w:rPr>
                <w:szCs w:val="22"/>
              </w:rPr>
              <w:t>I</w:t>
            </w:r>
            <w:r w:rsidR="007A46C0">
              <w:rPr>
                <w:szCs w:val="22"/>
              </w:rPr>
              <w:t xml:space="preserve">t is </w:t>
            </w:r>
            <w:r>
              <w:rPr>
                <w:szCs w:val="22"/>
              </w:rPr>
              <w:t xml:space="preserve">also </w:t>
            </w:r>
            <w:r w:rsidR="007A46C0">
              <w:rPr>
                <w:szCs w:val="22"/>
              </w:rPr>
              <w:t xml:space="preserve">unclear how this would </w:t>
            </w:r>
            <w:r>
              <w:rPr>
                <w:szCs w:val="22"/>
              </w:rPr>
              <w:t xml:space="preserve">model would </w:t>
            </w:r>
            <w:r w:rsidR="007A46C0">
              <w:rPr>
                <w:szCs w:val="22"/>
              </w:rPr>
              <w:t xml:space="preserve">work where a taxpayer has multiple quarterly filing obligations, and who is therefore exposed to greater penalties if the </w:t>
            </w:r>
            <w:r>
              <w:rPr>
                <w:szCs w:val="22"/>
              </w:rPr>
              <w:t xml:space="preserve">same </w:t>
            </w:r>
            <w:r w:rsidR="007A46C0">
              <w:rPr>
                <w:szCs w:val="22"/>
              </w:rPr>
              <w:t xml:space="preserve">model operates </w:t>
            </w:r>
            <w:r>
              <w:rPr>
                <w:szCs w:val="22"/>
              </w:rPr>
              <w:t xml:space="preserve">for 8, 12 or more </w:t>
            </w:r>
            <w:r w:rsidR="007A46C0">
              <w:rPr>
                <w:szCs w:val="22"/>
              </w:rPr>
              <w:t>obligation</w:t>
            </w:r>
            <w:r>
              <w:rPr>
                <w:szCs w:val="22"/>
              </w:rPr>
              <w:t>s a year. O</w:t>
            </w:r>
            <w:r w:rsidR="004038ED">
              <w:rPr>
                <w:szCs w:val="22"/>
              </w:rPr>
              <w:t>ur suggestion above</w:t>
            </w:r>
            <w:r>
              <w:rPr>
                <w:szCs w:val="22"/>
              </w:rPr>
              <w:t xml:space="preserve"> helps </w:t>
            </w:r>
            <w:r w:rsidR="00322D0C">
              <w:rPr>
                <w:szCs w:val="22"/>
              </w:rPr>
              <w:t>combat this</w:t>
            </w:r>
            <w:r w:rsidR="007A46C0">
              <w:rPr>
                <w:szCs w:val="22"/>
              </w:rPr>
              <w:t>.</w:t>
            </w:r>
          </w:p>
          <w:p w14:paraId="3DB1FEE8" w14:textId="28CE7FE5" w:rsidR="007A46C0" w:rsidRDefault="007A46C0" w:rsidP="000B6B82">
            <w:pPr>
              <w:rPr>
                <w:szCs w:val="22"/>
              </w:rPr>
            </w:pPr>
          </w:p>
        </w:tc>
      </w:tr>
      <w:tr w:rsidR="00625356" w:rsidRPr="003A03F9" w14:paraId="14AAE47E" w14:textId="77777777" w:rsidTr="00F17B89">
        <w:tc>
          <w:tcPr>
            <w:tcW w:w="567" w:type="dxa"/>
          </w:tcPr>
          <w:p w14:paraId="0C454392" w14:textId="4210FA6F" w:rsidR="00625356" w:rsidRPr="003A03F9" w:rsidRDefault="00625356" w:rsidP="00625356">
            <w:pPr>
              <w:numPr>
                <w:ilvl w:val="1"/>
                <w:numId w:val="6"/>
              </w:numPr>
              <w:rPr>
                <w:szCs w:val="22"/>
              </w:rPr>
            </w:pPr>
          </w:p>
        </w:tc>
        <w:tc>
          <w:tcPr>
            <w:tcW w:w="8505" w:type="dxa"/>
          </w:tcPr>
          <w:p w14:paraId="583DF88D" w14:textId="5284776F" w:rsidR="00625356" w:rsidRPr="003A03F9" w:rsidRDefault="00E827AD" w:rsidP="00262553">
            <w:pPr>
              <w:rPr>
                <w:szCs w:val="22"/>
              </w:rPr>
            </w:pPr>
            <w:r>
              <w:rPr>
                <w:szCs w:val="22"/>
              </w:rPr>
              <w:t>There is a danger</w:t>
            </w:r>
            <w:r w:rsidR="000B6B82">
              <w:rPr>
                <w:szCs w:val="22"/>
              </w:rPr>
              <w:t xml:space="preserve"> that penalties would </w:t>
            </w:r>
            <w:r>
              <w:rPr>
                <w:szCs w:val="22"/>
              </w:rPr>
              <w:t>become too onerous</w:t>
            </w:r>
            <w:r w:rsidR="000B6B82">
              <w:rPr>
                <w:szCs w:val="22"/>
              </w:rPr>
              <w:t xml:space="preserve"> if there was the risk that a taxpayer with multiple filing obligations around a certain date could receive multiple points/</w:t>
            </w:r>
            <w:r w:rsidR="00110C6F">
              <w:rPr>
                <w:szCs w:val="22"/>
              </w:rPr>
              <w:t xml:space="preserve"> </w:t>
            </w:r>
            <w:r w:rsidR="000B6B82">
              <w:rPr>
                <w:szCs w:val="22"/>
              </w:rPr>
              <w:t xml:space="preserve">penalties </w:t>
            </w:r>
            <w:r>
              <w:rPr>
                <w:szCs w:val="22"/>
              </w:rPr>
              <w:t>even though</w:t>
            </w:r>
            <w:r w:rsidR="000B6B82">
              <w:rPr>
                <w:szCs w:val="22"/>
              </w:rPr>
              <w:t xml:space="preserve"> the</w:t>
            </w:r>
            <w:r w:rsidR="00DC15E8">
              <w:rPr>
                <w:szCs w:val="22"/>
              </w:rPr>
              <w:t xml:space="preserve"> same</w:t>
            </w:r>
            <w:r w:rsidR="000B6B82">
              <w:rPr>
                <w:szCs w:val="22"/>
              </w:rPr>
              <w:t xml:space="preserve"> reason for late filing would potentially apply to all the obligations</w:t>
            </w:r>
            <w:r w:rsidR="005E6985">
              <w:rPr>
                <w:szCs w:val="22"/>
              </w:rPr>
              <w:t xml:space="preserve">. </w:t>
            </w:r>
            <w:r>
              <w:rPr>
                <w:szCs w:val="22"/>
              </w:rPr>
              <w:t>This could be perceived as very unfair and could end up undermining the system</w:t>
            </w:r>
            <w:r w:rsidR="005E6985">
              <w:rPr>
                <w:szCs w:val="22"/>
              </w:rPr>
              <w:t xml:space="preserve">. </w:t>
            </w:r>
            <w:r>
              <w:rPr>
                <w:szCs w:val="22"/>
              </w:rPr>
              <w:t>It could lose its purpose of being a credible threat</w:t>
            </w:r>
            <w:r w:rsidR="000267B3">
              <w:rPr>
                <w:szCs w:val="22"/>
              </w:rPr>
              <w:t xml:space="preserve"> (principle 4)</w:t>
            </w:r>
            <w:r w:rsidR="00902C48">
              <w:rPr>
                <w:szCs w:val="22"/>
              </w:rPr>
              <w:t xml:space="preserve"> and be seen as a disproportionate response by HMRC (principle 2).</w:t>
            </w:r>
            <w:r w:rsidR="00322D0C">
              <w:rPr>
                <w:szCs w:val="22"/>
              </w:rPr>
              <w:t xml:space="preserve"> Again, our suggestion to treat different filing obligations separately will help mitigate such a problem.</w:t>
            </w:r>
            <w:r w:rsidR="0052659B">
              <w:rPr>
                <w:szCs w:val="22"/>
              </w:rPr>
              <w:t xml:space="preserve"> </w:t>
            </w:r>
          </w:p>
          <w:p w14:paraId="5C75221F" w14:textId="77777777" w:rsidR="00625356" w:rsidRPr="003A03F9" w:rsidRDefault="00625356" w:rsidP="00262553">
            <w:pPr>
              <w:rPr>
                <w:szCs w:val="22"/>
              </w:rPr>
            </w:pPr>
          </w:p>
        </w:tc>
      </w:tr>
      <w:tr w:rsidR="00EB0A6C" w:rsidRPr="003A03F9" w14:paraId="54DD6801" w14:textId="77777777" w:rsidTr="00F17B89">
        <w:tc>
          <w:tcPr>
            <w:tcW w:w="567" w:type="dxa"/>
          </w:tcPr>
          <w:p w14:paraId="7B0C7875" w14:textId="77777777" w:rsidR="00EB0A6C" w:rsidRPr="003A03F9" w:rsidRDefault="00EB0A6C" w:rsidP="00625356">
            <w:pPr>
              <w:numPr>
                <w:ilvl w:val="1"/>
                <w:numId w:val="6"/>
              </w:numPr>
              <w:rPr>
                <w:szCs w:val="22"/>
              </w:rPr>
            </w:pPr>
          </w:p>
        </w:tc>
        <w:tc>
          <w:tcPr>
            <w:tcW w:w="8505" w:type="dxa"/>
          </w:tcPr>
          <w:p w14:paraId="7EFB7DC4" w14:textId="3EE6D090" w:rsidR="00E827AD" w:rsidRDefault="00322D0C" w:rsidP="00E827AD">
            <w:pPr>
              <w:rPr>
                <w:szCs w:val="22"/>
              </w:rPr>
            </w:pPr>
            <w:r>
              <w:rPr>
                <w:szCs w:val="22"/>
              </w:rPr>
              <w:t>In any event,</w:t>
            </w:r>
            <w:r w:rsidR="00E827AD">
              <w:rPr>
                <w:szCs w:val="22"/>
              </w:rPr>
              <w:t xml:space="preserve"> it will be crucial that the information provided by HMRC is clear and understandable to avoid confusion and misunderstandings arising as to which point/</w:t>
            </w:r>
            <w:r w:rsidR="00110C6F">
              <w:rPr>
                <w:szCs w:val="22"/>
              </w:rPr>
              <w:t xml:space="preserve"> </w:t>
            </w:r>
            <w:r w:rsidR="00E827AD">
              <w:rPr>
                <w:szCs w:val="22"/>
              </w:rPr>
              <w:t>penalty applies to which filing obligations.</w:t>
            </w:r>
          </w:p>
          <w:p w14:paraId="287613AC" w14:textId="1C86D702" w:rsidR="005E6985" w:rsidRPr="003A03F9" w:rsidRDefault="005E6985" w:rsidP="00E827AD">
            <w:pPr>
              <w:rPr>
                <w:szCs w:val="22"/>
              </w:rPr>
            </w:pPr>
          </w:p>
        </w:tc>
      </w:tr>
    </w:tbl>
    <w:p w14:paraId="6CBB35ED" w14:textId="77777777" w:rsidR="00262553" w:rsidRPr="003A03F9" w:rsidRDefault="00262553">
      <w:pPr>
        <w:rPr>
          <w:szCs w:val="22"/>
        </w:rPr>
      </w:pPr>
    </w:p>
    <w:p w14:paraId="6510BE7B" w14:textId="77777777" w:rsidR="00262553" w:rsidRPr="003A03F9" w:rsidRDefault="00262553" w:rsidP="00262553">
      <w:pPr>
        <w:rPr>
          <w:b/>
          <w:bCs/>
          <w:szCs w:val="22"/>
        </w:rPr>
      </w:pPr>
    </w:p>
    <w:tbl>
      <w:tblPr>
        <w:tblW w:w="0" w:type="auto"/>
        <w:tblLook w:val="0000" w:firstRow="0" w:lastRow="0" w:firstColumn="0" w:lastColumn="0" w:noHBand="0" w:noVBand="0"/>
      </w:tblPr>
      <w:tblGrid>
        <w:gridCol w:w="562"/>
        <w:gridCol w:w="8510"/>
      </w:tblGrid>
      <w:tr w:rsidR="00262553" w:rsidRPr="003A03F9" w14:paraId="77FBBBA6" w14:textId="77777777" w:rsidTr="004F117C">
        <w:tc>
          <w:tcPr>
            <w:tcW w:w="562" w:type="dxa"/>
          </w:tcPr>
          <w:p w14:paraId="4E68586A" w14:textId="77777777" w:rsidR="00262553" w:rsidRPr="003A03F9" w:rsidRDefault="00262553" w:rsidP="00625356">
            <w:pPr>
              <w:numPr>
                <w:ilvl w:val="0"/>
                <w:numId w:val="6"/>
              </w:numPr>
              <w:rPr>
                <w:szCs w:val="22"/>
              </w:rPr>
            </w:pPr>
          </w:p>
        </w:tc>
        <w:tc>
          <w:tcPr>
            <w:tcW w:w="8510" w:type="dxa"/>
          </w:tcPr>
          <w:p w14:paraId="525E244B" w14:textId="77777777" w:rsidR="005873B1" w:rsidRDefault="002C3F9B" w:rsidP="002C3F9B">
            <w:pPr>
              <w:rPr>
                <w:b/>
                <w:szCs w:val="22"/>
              </w:rPr>
            </w:pPr>
            <w:r w:rsidRPr="002C3F9B">
              <w:rPr>
                <w:b/>
                <w:szCs w:val="22"/>
              </w:rPr>
              <w:t xml:space="preserve">Question 3.2 </w:t>
            </w:r>
            <w:r w:rsidR="005873B1">
              <w:rPr>
                <w:b/>
                <w:szCs w:val="22"/>
              </w:rPr>
              <w:t>Points Model</w:t>
            </w:r>
          </w:p>
          <w:p w14:paraId="5E7D837A" w14:textId="77777777" w:rsidR="002C3F9B" w:rsidRPr="002C3F9B" w:rsidRDefault="002C3F9B" w:rsidP="002C3F9B">
            <w:pPr>
              <w:rPr>
                <w:b/>
                <w:szCs w:val="22"/>
              </w:rPr>
            </w:pPr>
            <w:r w:rsidRPr="002C3F9B">
              <w:rPr>
                <w:b/>
                <w:szCs w:val="22"/>
              </w:rPr>
              <w:t xml:space="preserve">Could any changes be made to the points-based penalty model to make it fairer, simpler or more effective?  </w:t>
            </w:r>
          </w:p>
          <w:p w14:paraId="1414AB49" w14:textId="7CF1E6D1" w:rsidR="00262553" w:rsidRPr="003A03F9" w:rsidRDefault="00262553" w:rsidP="002C3F9B">
            <w:pPr>
              <w:rPr>
                <w:szCs w:val="22"/>
              </w:rPr>
            </w:pPr>
          </w:p>
        </w:tc>
      </w:tr>
      <w:tr w:rsidR="00262553" w:rsidRPr="003A03F9" w14:paraId="47658EB6" w14:textId="77777777" w:rsidTr="004F117C">
        <w:tc>
          <w:tcPr>
            <w:tcW w:w="562" w:type="dxa"/>
          </w:tcPr>
          <w:p w14:paraId="0F5ACEFC" w14:textId="00A3453D" w:rsidR="00262553" w:rsidRPr="003A03F9" w:rsidRDefault="00262553" w:rsidP="00625356">
            <w:pPr>
              <w:numPr>
                <w:ilvl w:val="1"/>
                <w:numId w:val="6"/>
              </w:numPr>
              <w:rPr>
                <w:szCs w:val="22"/>
              </w:rPr>
            </w:pPr>
          </w:p>
        </w:tc>
        <w:tc>
          <w:tcPr>
            <w:tcW w:w="8510" w:type="dxa"/>
          </w:tcPr>
          <w:p w14:paraId="490227B7" w14:textId="77777777" w:rsidR="00262553" w:rsidRDefault="009A4BF6" w:rsidP="00262553">
            <w:pPr>
              <w:rPr>
                <w:szCs w:val="22"/>
              </w:rPr>
            </w:pPr>
            <w:r>
              <w:rPr>
                <w:szCs w:val="22"/>
              </w:rPr>
              <w:t>We make the following comments referring to Fig 3.1:</w:t>
            </w:r>
          </w:p>
          <w:p w14:paraId="78B384C4" w14:textId="77777777" w:rsidR="009A4BF6" w:rsidRDefault="009A4BF6" w:rsidP="00262553">
            <w:pPr>
              <w:rPr>
                <w:szCs w:val="22"/>
              </w:rPr>
            </w:pPr>
          </w:p>
          <w:p w14:paraId="0EF8922B" w14:textId="43178477" w:rsidR="00D55B45" w:rsidRDefault="00D55B45" w:rsidP="009A4BF6">
            <w:pPr>
              <w:pStyle w:val="ListParagraph"/>
              <w:numPr>
                <w:ilvl w:val="0"/>
                <w:numId w:val="13"/>
              </w:numPr>
              <w:rPr>
                <w:rFonts w:ascii="Arial" w:hAnsi="Arial" w:cs="Arial"/>
              </w:rPr>
            </w:pPr>
            <w:r w:rsidRPr="00D55B45">
              <w:rPr>
                <w:rFonts w:ascii="Arial" w:hAnsi="Arial" w:cs="Arial"/>
              </w:rPr>
              <w:t xml:space="preserve">By taking a chronological approach this example </w:t>
            </w:r>
            <w:r w:rsidR="00671715">
              <w:rPr>
                <w:rFonts w:ascii="Arial" w:hAnsi="Arial" w:cs="Arial"/>
              </w:rPr>
              <w:t>combines</w:t>
            </w:r>
            <w:r w:rsidRPr="00D55B45">
              <w:rPr>
                <w:rFonts w:ascii="Arial" w:hAnsi="Arial" w:cs="Arial"/>
              </w:rPr>
              <w:t xml:space="preserve"> two different tax years (Year 1 and Year 2)</w:t>
            </w:r>
            <w:r w:rsidR="005E6985">
              <w:rPr>
                <w:rFonts w:ascii="Arial" w:hAnsi="Arial" w:cs="Arial"/>
              </w:rPr>
              <w:t xml:space="preserve">. </w:t>
            </w:r>
            <w:r w:rsidRPr="00D55B45">
              <w:rPr>
                <w:rFonts w:ascii="Arial" w:hAnsi="Arial" w:cs="Arial"/>
              </w:rPr>
              <w:t>This appears to be the most logical approach to take (rather than to treat each year in isolation)</w:t>
            </w:r>
            <w:r>
              <w:rPr>
                <w:rFonts w:ascii="Arial" w:hAnsi="Arial" w:cs="Arial"/>
              </w:rPr>
              <w:t xml:space="preserve"> because of the more regular updating that is required under MTD for Business</w:t>
            </w:r>
            <w:r w:rsidR="00352EE5">
              <w:rPr>
                <w:rFonts w:ascii="Arial" w:hAnsi="Arial" w:cs="Arial"/>
              </w:rPr>
              <w:t xml:space="preserve"> and because it more closely tracks ongoing behaviour</w:t>
            </w:r>
            <w:r>
              <w:rPr>
                <w:rFonts w:ascii="Arial" w:hAnsi="Arial" w:cs="Arial"/>
              </w:rPr>
              <w:t>.</w:t>
            </w:r>
          </w:p>
          <w:p w14:paraId="5310CF55" w14:textId="08564402" w:rsidR="0012595A" w:rsidRDefault="009A4BF6" w:rsidP="0012595A">
            <w:pPr>
              <w:pStyle w:val="ListParagraph"/>
              <w:numPr>
                <w:ilvl w:val="0"/>
                <w:numId w:val="13"/>
              </w:numPr>
              <w:rPr>
                <w:rFonts w:ascii="Arial" w:hAnsi="Arial" w:cs="Arial"/>
              </w:rPr>
            </w:pPr>
            <w:r w:rsidRPr="0012595A">
              <w:rPr>
                <w:rFonts w:ascii="Arial" w:hAnsi="Arial" w:cs="Arial"/>
              </w:rPr>
              <w:t xml:space="preserve">It is not </w:t>
            </w:r>
            <w:r w:rsidR="0012595A">
              <w:rPr>
                <w:rFonts w:ascii="Arial" w:hAnsi="Arial" w:cs="Arial"/>
              </w:rPr>
              <w:t xml:space="preserve">entirely </w:t>
            </w:r>
            <w:r w:rsidRPr="0012595A">
              <w:rPr>
                <w:rFonts w:ascii="Arial" w:hAnsi="Arial" w:cs="Arial"/>
              </w:rPr>
              <w:t>clear what will happen if a submission is not made before the next update is due</w:t>
            </w:r>
            <w:r w:rsidR="00D55B45" w:rsidRPr="0012595A">
              <w:rPr>
                <w:rFonts w:ascii="Arial" w:hAnsi="Arial" w:cs="Arial"/>
              </w:rPr>
              <w:t>, or whether the MTD software will</w:t>
            </w:r>
            <w:r w:rsidR="00E74321" w:rsidRPr="0012595A">
              <w:rPr>
                <w:rFonts w:ascii="Arial" w:hAnsi="Arial" w:cs="Arial"/>
              </w:rPr>
              <w:t xml:space="preserve"> </w:t>
            </w:r>
            <w:r w:rsidR="00D55B45" w:rsidRPr="0012595A">
              <w:rPr>
                <w:rFonts w:ascii="Arial" w:hAnsi="Arial" w:cs="Arial"/>
              </w:rPr>
              <w:t>allow a submission of a later update before an earlier one has been submitted</w:t>
            </w:r>
            <w:r w:rsidR="005E6985">
              <w:rPr>
                <w:rFonts w:ascii="Arial" w:hAnsi="Arial" w:cs="Arial"/>
              </w:rPr>
              <w:t xml:space="preserve">. </w:t>
            </w:r>
          </w:p>
          <w:p w14:paraId="6BEDD4BC" w14:textId="22684B8E" w:rsidR="007419D8" w:rsidRPr="0012595A" w:rsidRDefault="0012595A" w:rsidP="0012595A">
            <w:pPr>
              <w:pStyle w:val="ListParagraph"/>
              <w:numPr>
                <w:ilvl w:val="0"/>
                <w:numId w:val="13"/>
              </w:numPr>
              <w:rPr>
                <w:rFonts w:ascii="Arial" w:hAnsi="Arial" w:cs="Arial"/>
              </w:rPr>
            </w:pPr>
            <w:r>
              <w:rPr>
                <w:rFonts w:ascii="Arial" w:hAnsi="Arial" w:cs="Arial"/>
              </w:rPr>
              <w:t xml:space="preserve">If the intention is </w:t>
            </w:r>
            <w:r w:rsidR="007419D8" w:rsidRPr="0012595A">
              <w:rPr>
                <w:rFonts w:ascii="Arial" w:hAnsi="Arial" w:cs="Arial"/>
              </w:rPr>
              <w:t>that quarte</w:t>
            </w:r>
            <w:r w:rsidRPr="0012595A">
              <w:rPr>
                <w:rFonts w:ascii="Arial" w:hAnsi="Arial" w:cs="Arial"/>
              </w:rPr>
              <w:t>rly updates will be cumulative</w:t>
            </w:r>
            <w:r w:rsidR="0052659B">
              <w:rPr>
                <w:rFonts w:ascii="Arial" w:hAnsi="Arial" w:cs="Arial"/>
              </w:rPr>
              <w:t>, as in RTI,</w:t>
            </w:r>
            <w:r w:rsidRPr="0012595A">
              <w:rPr>
                <w:rFonts w:ascii="Arial" w:hAnsi="Arial" w:cs="Arial"/>
              </w:rPr>
              <w:t xml:space="preserve"> (</w:t>
            </w:r>
            <w:r w:rsidR="007419D8" w:rsidRPr="0012595A">
              <w:rPr>
                <w:rFonts w:ascii="Arial" w:hAnsi="Arial" w:cs="Arial"/>
              </w:rPr>
              <w:t>so Q1 = Q1, Q2 = Q1 + Q2 etc.</w:t>
            </w:r>
            <w:r w:rsidRPr="0012595A">
              <w:rPr>
                <w:rFonts w:ascii="Arial" w:hAnsi="Arial" w:cs="Arial"/>
              </w:rPr>
              <w:t>), then</w:t>
            </w:r>
            <w:r w:rsidR="007419D8" w:rsidRPr="0012595A">
              <w:rPr>
                <w:rFonts w:ascii="Arial" w:hAnsi="Arial" w:cs="Arial"/>
              </w:rPr>
              <w:t xml:space="preserve"> </w:t>
            </w:r>
            <w:r w:rsidR="00322D0C">
              <w:rPr>
                <w:rFonts w:ascii="Arial" w:hAnsi="Arial" w:cs="Arial"/>
              </w:rPr>
              <w:t>our</w:t>
            </w:r>
            <w:r w:rsidR="00FE1276">
              <w:rPr>
                <w:rFonts w:ascii="Arial" w:hAnsi="Arial" w:cs="Arial"/>
              </w:rPr>
              <w:t xml:space="preserve"> assumption </w:t>
            </w:r>
            <w:r w:rsidR="00322D0C">
              <w:rPr>
                <w:rFonts w:ascii="Arial" w:hAnsi="Arial" w:cs="Arial"/>
              </w:rPr>
              <w:t xml:space="preserve">is </w:t>
            </w:r>
            <w:r w:rsidR="00FE1276">
              <w:rPr>
                <w:rFonts w:ascii="Arial" w:hAnsi="Arial" w:cs="Arial"/>
              </w:rPr>
              <w:t xml:space="preserve">that </w:t>
            </w:r>
            <w:r w:rsidR="007419D8" w:rsidRPr="0012595A">
              <w:rPr>
                <w:rFonts w:ascii="Arial" w:hAnsi="Arial" w:cs="Arial"/>
              </w:rPr>
              <w:t xml:space="preserve">if Q1 is not submitted at all, but </w:t>
            </w:r>
            <w:r>
              <w:rPr>
                <w:rFonts w:ascii="Arial" w:hAnsi="Arial" w:cs="Arial"/>
              </w:rPr>
              <w:t>Q2 is submitted, that will</w:t>
            </w:r>
            <w:r w:rsidR="007419D8" w:rsidRPr="0012595A">
              <w:rPr>
                <w:rFonts w:ascii="Arial" w:hAnsi="Arial" w:cs="Arial"/>
              </w:rPr>
              <w:t xml:space="preserve"> effectively mean that Q1 has been submitted, albeit </w:t>
            </w:r>
            <w:r w:rsidR="0052659B">
              <w:rPr>
                <w:rFonts w:ascii="Arial" w:hAnsi="Arial" w:cs="Arial"/>
              </w:rPr>
              <w:t xml:space="preserve">late, </w:t>
            </w:r>
            <w:r w:rsidR="007419D8" w:rsidRPr="0012595A">
              <w:rPr>
                <w:rFonts w:ascii="Arial" w:hAnsi="Arial" w:cs="Arial"/>
              </w:rPr>
              <w:t>at the time when Q2 is submitted</w:t>
            </w:r>
            <w:r w:rsidRPr="0012595A">
              <w:rPr>
                <w:rFonts w:ascii="Arial" w:hAnsi="Arial" w:cs="Arial"/>
              </w:rPr>
              <w:t xml:space="preserve"> (so long as the data for both Q1 and Q2 has been input into the software)</w:t>
            </w:r>
            <w:r>
              <w:rPr>
                <w:rFonts w:ascii="Arial" w:hAnsi="Arial" w:cs="Arial"/>
              </w:rPr>
              <w:t>.</w:t>
            </w:r>
          </w:p>
          <w:p w14:paraId="6D398F37" w14:textId="0AE61313" w:rsidR="00CD5305" w:rsidRPr="004F117C" w:rsidRDefault="00CD5305" w:rsidP="009A4BF6">
            <w:pPr>
              <w:pStyle w:val="ListParagraph"/>
              <w:numPr>
                <w:ilvl w:val="0"/>
                <w:numId w:val="13"/>
              </w:numPr>
              <w:rPr>
                <w:rFonts w:ascii="Arial" w:hAnsi="Arial" w:cs="Arial"/>
              </w:rPr>
            </w:pPr>
            <w:r>
              <w:rPr>
                <w:rFonts w:ascii="Arial" w:hAnsi="Arial" w:cs="Arial"/>
              </w:rPr>
              <w:t xml:space="preserve">It would be very confusing if it was possible to submit later </w:t>
            </w:r>
            <w:r w:rsidR="00E74321">
              <w:rPr>
                <w:rFonts w:ascii="Arial" w:hAnsi="Arial" w:cs="Arial"/>
              </w:rPr>
              <w:t xml:space="preserve">‘standalone’ </w:t>
            </w:r>
            <w:r>
              <w:rPr>
                <w:rFonts w:ascii="Arial" w:hAnsi="Arial" w:cs="Arial"/>
              </w:rPr>
              <w:t>updates without having submitted earlier ones</w:t>
            </w:r>
            <w:r w:rsidR="005E6985">
              <w:rPr>
                <w:rFonts w:ascii="Arial" w:hAnsi="Arial" w:cs="Arial"/>
              </w:rPr>
              <w:t xml:space="preserve">. </w:t>
            </w:r>
            <w:r>
              <w:rPr>
                <w:rFonts w:ascii="Arial" w:hAnsi="Arial" w:cs="Arial"/>
              </w:rPr>
              <w:t>Indeed, the penalty system should positively encourage the submission of earlier updates before</w:t>
            </w:r>
            <w:r w:rsidR="002A439A">
              <w:rPr>
                <w:rFonts w:ascii="Arial" w:hAnsi="Arial" w:cs="Arial"/>
              </w:rPr>
              <w:t>, if not with,</w:t>
            </w:r>
            <w:r>
              <w:rPr>
                <w:rFonts w:ascii="Arial" w:hAnsi="Arial" w:cs="Arial"/>
              </w:rPr>
              <w:t xml:space="preserve"> later ones</w:t>
            </w:r>
            <w:r w:rsidR="005E6985">
              <w:rPr>
                <w:rFonts w:ascii="Arial" w:hAnsi="Arial" w:cs="Arial"/>
              </w:rPr>
              <w:t xml:space="preserve">. </w:t>
            </w:r>
            <w:r>
              <w:rPr>
                <w:rFonts w:ascii="Arial" w:hAnsi="Arial" w:cs="Arial"/>
              </w:rPr>
              <w:t xml:space="preserve">We </w:t>
            </w:r>
            <w:r w:rsidR="00FE1276">
              <w:rPr>
                <w:rFonts w:ascii="Arial" w:hAnsi="Arial" w:cs="Arial"/>
              </w:rPr>
              <w:t>do not think</w:t>
            </w:r>
            <w:r>
              <w:rPr>
                <w:rFonts w:ascii="Arial" w:hAnsi="Arial" w:cs="Arial"/>
              </w:rPr>
              <w:t xml:space="preserve"> the points</w:t>
            </w:r>
            <w:r w:rsidR="00FE1276">
              <w:rPr>
                <w:rFonts w:ascii="Arial" w:hAnsi="Arial" w:cs="Arial"/>
              </w:rPr>
              <w:t xml:space="preserve"> based</w:t>
            </w:r>
            <w:r>
              <w:rPr>
                <w:rFonts w:ascii="Arial" w:hAnsi="Arial" w:cs="Arial"/>
              </w:rPr>
              <w:t xml:space="preserve"> model does this</w:t>
            </w:r>
            <w:r w:rsidR="00E74321">
              <w:rPr>
                <w:rFonts w:ascii="Arial" w:hAnsi="Arial" w:cs="Arial"/>
              </w:rPr>
              <w:t xml:space="preserve">, as there is no immediate incentive to submit </w:t>
            </w:r>
            <w:r w:rsidR="00322D0C">
              <w:rPr>
                <w:rFonts w:ascii="Arial" w:hAnsi="Arial" w:cs="Arial"/>
              </w:rPr>
              <w:t xml:space="preserve">(for example) </w:t>
            </w:r>
            <w:r w:rsidR="00E74321">
              <w:rPr>
                <w:rFonts w:ascii="Arial" w:hAnsi="Arial" w:cs="Arial"/>
              </w:rPr>
              <w:t>the Year 2 Quarter 1 update</w:t>
            </w:r>
            <w:r w:rsidR="002C76EC">
              <w:rPr>
                <w:rFonts w:ascii="Arial" w:hAnsi="Arial" w:cs="Arial"/>
              </w:rPr>
              <w:t xml:space="preserve"> when the deadline has been missed</w:t>
            </w:r>
            <w:r w:rsidR="005E6985">
              <w:rPr>
                <w:rFonts w:ascii="Arial" w:hAnsi="Arial" w:cs="Arial"/>
              </w:rPr>
              <w:t xml:space="preserve">. </w:t>
            </w:r>
          </w:p>
          <w:p w14:paraId="2B5E04DC" w14:textId="37DC0C17" w:rsidR="002B68CF" w:rsidRPr="002B68CF" w:rsidRDefault="00EF38D4" w:rsidP="002B68CF">
            <w:pPr>
              <w:pStyle w:val="ListParagraph"/>
              <w:numPr>
                <w:ilvl w:val="0"/>
                <w:numId w:val="14"/>
              </w:numPr>
              <w:shd w:val="clear" w:color="auto" w:fill="FFFFFF"/>
              <w:spacing w:after="0" w:line="240" w:lineRule="auto"/>
              <w:rPr>
                <w:rFonts w:ascii="Calibri" w:hAnsi="Calibri" w:cs="Times New Roman"/>
              </w:rPr>
            </w:pPr>
            <w:r>
              <w:rPr>
                <w:rFonts w:ascii="Arial" w:hAnsi="Arial" w:cs="Arial"/>
              </w:rPr>
              <w:t>Under this model, subject to understanding better how the MTD software will work, there does not appear to be any difference in the taxpayer’s penalty point position between getting a late submission in by a certain time, or much later, or not a</w:t>
            </w:r>
            <w:r w:rsidR="002B68CF">
              <w:rPr>
                <w:rFonts w:ascii="Arial" w:hAnsi="Arial" w:cs="Arial"/>
              </w:rPr>
              <w:t>t all</w:t>
            </w:r>
            <w:r>
              <w:rPr>
                <w:rFonts w:ascii="Arial" w:hAnsi="Arial" w:cs="Arial"/>
              </w:rPr>
              <w:t xml:space="preserve">, </w:t>
            </w:r>
            <w:proofErr w:type="spellStart"/>
            <w:r>
              <w:rPr>
                <w:rFonts w:ascii="Arial" w:hAnsi="Arial" w:cs="Arial"/>
              </w:rPr>
              <w:t>ie</w:t>
            </w:r>
            <w:proofErr w:type="spellEnd"/>
            <w:r>
              <w:rPr>
                <w:rFonts w:ascii="Arial" w:hAnsi="Arial" w:cs="Arial"/>
              </w:rPr>
              <w:t xml:space="preserve"> there is no ‘</w:t>
            </w:r>
            <w:r w:rsidR="000267B3">
              <w:rPr>
                <w:rFonts w:ascii="Arial" w:hAnsi="Arial" w:cs="Arial"/>
              </w:rPr>
              <w:t>escalation’ of penalties in the current</w:t>
            </w:r>
            <w:r>
              <w:rPr>
                <w:rFonts w:ascii="Arial" w:hAnsi="Arial" w:cs="Arial"/>
              </w:rPr>
              <w:t xml:space="preserve"> model.</w:t>
            </w:r>
            <w:r w:rsidR="00FE1276">
              <w:rPr>
                <w:rFonts w:ascii="Arial" w:hAnsi="Arial" w:cs="Arial"/>
              </w:rPr>
              <w:t xml:space="preserve"> We suggest that there will need to be further points/</w:t>
            </w:r>
            <w:r w:rsidR="00110C6F">
              <w:rPr>
                <w:rFonts w:ascii="Arial" w:hAnsi="Arial" w:cs="Arial"/>
              </w:rPr>
              <w:t xml:space="preserve"> </w:t>
            </w:r>
            <w:r w:rsidR="00FE1276">
              <w:rPr>
                <w:rFonts w:ascii="Arial" w:hAnsi="Arial" w:cs="Arial"/>
              </w:rPr>
              <w:t>penalties imposed the longer the submission remains outstanding, similar to the present</w:t>
            </w:r>
            <w:r w:rsidR="00322D0C">
              <w:rPr>
                <w:rFonts w:ascii="Arial" w:hAnsi="Arial" w:cs="Arial"/>
              </w:rPr>
              <w:t xml:space="preserve"> penalty</w:t>
            </w:r>
            <w:r w:rsidR="00FE1276">
              <w:rPr>
                <w:rFonts w:ascii="Arial" w:hAnsi="Arial" w:cs="Arial"/>
              </w:rPr>
              <w:t xml:space="preserve"> system</w:t>
            </w:r>
            <w:r w:rsidR="00322D0C">
              <w:rPr>
                <w:rFonts w:ascii="Arial" w:hAnsi="Arial" w:cs="Arial"/>
              </w:rPr>
              <w:t xml:space="preserve"> for Self-Assessment</w:t>
            </w:r>
            <w:r w:rsidR="00FE1276">
              <w:rPr>
                <w:rFonts w:ascii="Arial" w:hAnsi="Arial" w:cs="Arial"/>
              </w:rPr>
              <w:t>.</w:t>
            </w:r>
          </w:p>
          <w:p w14:paraId="00AE87F3" w14:textId="0031190A" w:rsidR="002B68CF" w:rsidRPr="002B68CF" w:rsidRDefault="002B68CF" w:rsidP="002B68CF">
            <w:pPr>
              <w:pStyle w:val="ListParagraph"/>
              <w:numPr>
                <w:ilvl w:val="0"/>
                <w:numId w:val="14"/>
              </w:numPr>
              <w:shd w:val="clear" w:color="auto" w:fill="FFFFFF"/>
              <w:spacing w:after="0" w:line="240" w:lineRule="auto"/>
              <w:rPr>
                <w:rFonts w:ascii="Arial" w:hAnsi="Arial" w:cs="Arial"/>
              </w:rPr>
            </w:pPr>
            <w:r w:rsidRPr="002B68CF">
              <w:rPr>
                <w:rFonts w:ascii="Arial" w:hAnsi="Arial" w:cs="Arial"/>
              </w:rPr>
              <w:t>The points tally does</w:t>
            </w:r>
            <w:r w:rsidR="008F59DE">
              <w:rPr>
                <w:rFonts w:ascii="Arial" w:hAnsi="Arial" w:cs="Arial"/>
              </w:rPr>
              <w:t xml:space="preserve"> not</w:t>
            </w:r>
            <w:r w:rsidRPr="002B68CF">
              <w:rPr>
                <w:rFonts w:ascii="Arial" w:hAnsi="Arial" w:cs="Arial"/>
              </w:rPr>
              <w:t xml:space="preserve"> grow once the penalty level has been reached (</w:t>
            </w:r>
            <w:proofErr w:type="spellStart"/>
            <w:r w:rsidRPr="002B68CF">
              <w:rPr>
                <w:rFonts w:ascii="Arial" w:hAnsi="Arial" w:cs="Arial"/>
              </w:rPr>
              <w:t>eg</w:t>
            </w:r>
            <w:proofErr w:type="spellEnd"/>
            <w:r w:rsidRPr="002B68CF">
              <w:rPr>
                <w:rFonts w:ascii="Arial" w:hAnsi="Arial" w:cs="Arial"/>
              </w:rPr>
              <w:t xml:space="preserve"> </w:t>
            </w:r>
            <w:r w:rsidR="008F59DE">
              <w:rPr>
                <w:rFonts w:ascii="Arial" w:hAnsi="Arial" w:cs="Arial"/>
              </w:rPr>
              <w:t>four</w:t>
            </w:r>
            <w:r w:rsidRPr="002B68CF">
              <w:rPr>
                <w:rFonts w:ascii="Arial" w:hAnsi="Arial" w:cs="Arial"/>
              </w:rPr>
              <w:t xml:space="preserve"> points for quarterly submissions). It seems th</w:t>
            </w:r>
            <w:r w:rsidR="00902C48">
              <w:rPr>
                <w:rFonts w:ascii="Arial" w:hAnsi="Arial" w:cs="Arial"/>
              </w:rPr>
              <w:t>en that a fixed penalty (say</w:t>
            </w:r>
            <w:r w:rsidRPr="002B68CF">
              <w:rPr>
                <w:rFonts w:ascii="Arial" w:hAnsi="Arial" w:cs="Arial"/>
              </w:rPr>
              <w:t xml:space="preserve"> £100) would apply for each subsequent failure. That fixed penalty does</w:t>
            </w:r>
            <w:r w:rsidR="00902C48">
              <w:rPr>
                <w:rFonts w:ascii="Arial" w:hAnsi="Arial" w:cs="Arial"/>
              </w:rPr>
              <w:t xml:space="preserve"> not</w:t>
            </w:r>
            <w:r w:rsidRPr="002B68CF">
              <w:rPr>
                <w:rFonts w:ascii="Arial" w:hAnsi="Arial" w:cs="Arial"/>
              </w:rPr>
              <w:t xml:space="preserve"> reflect the taxpayer’s continuing (bad) behaviour if they are just exposed to</w:t>
            </w:r>
            <w:r w:rsidR="00FB43CE">
              <w:rPr>
                <w:rFonts w:ascii="Arial" w:hAnsi="Arial" w:cs="Arial"/>
              </w:rPr>
              <w:t xml:space="preserve"> the same £100 penalty.</w:t>
            </w:r>
            <w:r w:rsidR="00902C48">
              <w:rPr>
                <w:rFonts w:ascii="Arial" w:hAnsi="Arial" w:cs="Arial"/>
              </w:rPr>
              <w:t xml:space="preserve"> It might be</w:t>
            </w:r>
            <w:r w:rsidRPr="002B68CF">
              <w:rPr>
                <w:rFonts w:ascii="Arial" w:hAnsi="Arial" w:cs="Arial"/>
              </w:rPr>
              <w:t xml:space="preserve"> better for the points to continue to accrue, and if 5 points</w:t>
            </w:r>
            <w:r w:rsidR="00902C48">
              <w:rPr>
                <w:rFonts w:ascii="Arial" w:hAnsi="Arial" w:cs="Arial"/>
              </w:rPr>
              <w:t xml:space="preserve"> are reached</w:t>
            </w:r>
            <w:r w:rsidRPr="002B68CF">
              <w:rPr>
                <w:rFonts w:ascii="Arial" w:hAnsi="Arial" w:cs="Arial"/>
              </w:rPr>
              <w:t xml:space="preserve">, the penalty is (say) £200, then £300 </w:t>
            </w:r>
            <w:r w:rsidR="00902C48">
              <w:rPr>
                <w:rFonts w:ascii="Arial" w:hAnsi="Arial" w:cs="Arial"/>
              </w:rPr>
              <w:t>if</w:t>
            </w:r>
            <w:r w:rsidRPr="002B68CF">
              <w:rPr>
                <w:rFonts w:ascii="Arial" w:hAnsi="Arial" w:cs="Arial"/>
              </w:rPr>
              <w:t xml:space="preserve"> 6 points</w:t>
            </w:r>
            <w:r w:rsidR="00902C48">
              <w:rPr>
                <w:rFonts w:ascii="Arial" w:hAnsi="Arial" w:cs="Arial"/>
              </w:rPr>
              <w:t xml:space="preserve"> are reached</w:t>
            </w:r>
            <w:r w:rsidRPr="002B68CF">
              <w:rPr>
                <w:rFonts w:ascii="Arial" w:hAnsi="Arial" w:cs="Arial"/>
              </w:rPr>
              <w:t xml:space="preserve"> and so on</w:t>
            </w:r>
            <w:r w:rsidR="00902C48">
              <w:rPr>
                <w:rFonts w:ascii="Arial" w:hAnsi="Arial" w:cs="Arial"/>
              </w:rPr>
              <w:t>.</w:t>
            </w:r>
            <w:r w:rsidRPr="002B68CF">
              <w:rPr>
                <w:rFonts w:ascii="Arial" w:hAnsi="Arial" w:cs="Arial"/>
              </w:rPr>
              <w:t xml:space="preserve"> </w:t>
            </w:r>
            <w:r w:rsidR="00FB43CE">
              <w:rPr>
                <w:rFonts w:ascii="Arial" w:hAnsi="Arial" w:cs="Arial"/>
              </w:rPr>
              <w:t>That would</w:t>
            </w:r>
            <w:r w:rsidRPr="002B68CF">
              <w:rPr>
                <w:rFonts w:ascii="Arial" w:hAnsi="Arial" w:cs="Arial"/>
              </w:rPr>
              <w:t xml:space="preserve"> be more likely to prevent non-compliance (principle 1) and take into account past behaviour (principle 2)</w:t>
            </w:r>
            <w:r w:rsidR="00FB43CE">
              <w:rPr>
                <w:rFonts w:ascii="Arial" w:hAnsi="Arial" w:cs="Arial"/>
              </w:rPr>
              <w:t>.</w:t>
            </w:r>
          </w:p>
          <w:p w14:paraId="3706C60A" w14:textId="5765D433" w:rsidR="006C69B9" w:rsidRDefault="006C69B9" w:rsidP="009A4BF6">
            <w:pPr>
              <w:pStyle w:val="ListParagraph"/>
              <w:numPr>
                <w:ilvl w:val="0"/>
                <w:numId w:val="14"/>
              </w:numPr>
              <w:shd w:val="clear" w:color="auto" w:fill="FFFFFF"/>
              <w:spacing w:after="0" w:line="240" w:lineRule="auto"/>
              <w:rPr>
                <w:rFonts w:ascii="Arial" w:hAnsi="Arial" w:cs="Arial"/>
              </w:rPr>
            </w:pPr>
            <w:r w:rsidRPr="002B68CF">
              <w:rPr>
                <w:rFonts w:ascii="Arial" w:hAnsi="Arial" w:cs="Arial"/>
              </w:rPr>
              <w:t xml:space="preserve">Since the taxpayer </w:t>
            </w:r>
            <w:r w:rsidR="00902C48">
              <w:rPr>
                <w:rFonts w:ascii="Arial" w:hAnsi="Arial" w:cs="Arial"/>
              </w:rPr>
              <w:t>can appeal</w:t>
            </w:r>
            <w:r>
              <w:rPr>
                <w:rFonts w:ascii="Arial" w:hAnsi="Arial" w:cs="Arial"/>
              </w:rPr>
              <w:t xml:space="preserve"> or make representations to HMRC when they receive a penalty point, it is possible that an appeal could still be unresolved by the time that an actual penalty is issued</w:t>
            </w:r>
            <w:r w:rsidR="00322D0C">
              <w:rPr>
                <w:rFonts w:ascii="Arial" w:hAnsi="Arial" w:cs="Arial"/>
              </w:rPr>
              <w:t xml:space="preserve"> (or further penalty points awarded)</w:t>
            </w:r>
            <w:r w:rsidR="005E6985">
              <w:rPr>
                <w:rFonts w:ascii="Arial" w:hAnsi="Arial" w:cs="Arial"/>
              </w:rPr>
              <w:t xml:space="preserve">. </w:t>
            </w:r>
            <w:r>
              <w:rPr>
                <w:rFonts w:ascii="Arial" w:hAnsi="Arial" w:cs="Arial"/>
              </w:rPr>
              <w:t xml:space="preserve">The system will need to be able to deal with this situation, so that the actual penalty </w:t>
            </w:r>
            <w:r w:rsidR="00322D0C">
              <w:rPr>
                <w:rFonts w:ascii="Arial" w:hAnsi="Arial" w:cs="Arial"/>
              </w:rPr>
              <w:t xml:space="preserve">(or penalty point) </w:t>
            </w:r>
            <w:r>
              <w:rPr>
                <w:rFonts w:ascii="Arial" w:hAnsi="Arial" w:cs="Arial"/>
              </w:rPr>
              <w:t xml:space="preserve">is either temporarily suspended or refundable once the appeal has been </w:t>
            </w:r>
            <w:r w:rsidR="00EA0F85">
              <w:rPr>
                <w:rFonts w:ascii="Arial" w:hAnsi="Arial" w:cs="Arial"/>
              </w:rPr>
              <w:t>determined</w:t>
            </w:r>
            <w:r>
              <w:rPr>
                <w:rFonts w:ascii="Arial" w:hAnsi="Arial" w:cs="Arial"/>
              </w:rPr>
              <w:t>.</w:t>
            </w:r>
          </w:p>
          <w:p w14:paraId="29C360CE" w14:textId="42DB8BC5" w:rsidR="009A4BF6" w:rsidRPr="003A03F9" w:rsidRDefault="009A4BF6" w:rsidP="00165700">
            <w:pPr>
              <w:pStyle w:val="ListParagraph"/>
              <w:shd w:val="clear" w:color="auto" w:fill="FFFFFF"/>
              <w:spacing w:after="0" w:line="240" w:lineRule="auto"/>
            </w:pPr>
          </w:p>
        </w:tc>
      </w:tr>
      <w:tr w:rsidR="00625356" w:rsidRPr="003A03F9" w14:paraId="7D43AADB" w14:textId="77777777" w:rsidTr="004F117C">
        <w:tc>
          <w:tcPr>
            <w:tcW w:w="562" w:type="dxa"/>
          </w:tcPr>
          <w:p w14:paraId="1E20A7B9" w14:textId="72BA85FF" w:rsidR="00625356" w:rsidRPr="003A03F9" w:rsidRDefault="00625356" w:rsidP="00625356">
            <w:pPr>
              <w:numPr>
                <w:ilvl w:val="1"/>
                <w:numId w:val="6"/>
              </w:numPr>
              <w:rPr>
                <w:szCs w:val="22"/>
              </w:rPr>
            </w:pPr>
          </w:p>
        </w:tc>
        <w:tc>
          <w:tcPr>
            <w:tcW w:w="8510" w:type="dxa"/>
          </w:tcPr>
          <w:p w14:paraId="65CF223F" w14:textId="77777777" w:rsidR="00625356" w:rsidRDefault="00247A62" w:rsidP="00262553">
            <w:pPr>
              <w:rPr>
                <w:szCs w:val="22"/>
              </w:rPr>
            </w:pPr>
            <w:r>
              <w:rPr>
                <w:szCs w:val="22"/>
              </w:rPr>
              <w:t>We make the following comments referring to Fig 3.2:</w:t>
            </w:r>
          </w:p>
          <w:p w14:paraId="55AFD1C9" w14:textId="77777777" w:rsidR="00247A62" w:rsidRDefault="00247A62" w:rsidP="00262553">
            <w:pPr>
              <w:rPr>
                <w:szCs w:val="22"/>
              </w:rPr>
            </w:pPr>
          </w:p>
          <w:p w14:paraId="5E1A38C8" w14:textId="782D79FC" w:rsidR="00247A62" w:rsidRDefault="00597A5B" w:rsidP="00CF0E27">
            <w:pPr>
              <w:pStyle w:val="ListParagraph"/>
              <w:numPr>
                <w:ilvl w:val="0"/>
                <w:numId w:val="17"/>
              </w:numPr>
              <w:rPr>
                <w:rFonts w:ascii="Arial" w:hAnsi="Arial" w:cs="Arial"/>
              </w:rPr>
            </w:pPr>
            <w:r w:rsidRPr="00597A5B">
              <w:rPr>
                <w:rFonts w:ascii="Arial" w:hAnsi="Arial" w:cs="Arial"/>
              </w:rPr>
              <w:t xml:space="preserve">This </w:t>
            </w:r>
            <w:r>
              <w:rPr>
                <w:rFonts w:ascii="Arial" w:hAnsi="Arial" w:cs="Arial"/>
              </w:rPr>
              <w:t xml:space="preserve">example </w:t>
            </w:r>
            <w:r w:rsidRPr="00597A5B">
              <w:rPr>
                <w:rFonts w:ascii="Arial" w:hAnsi="Arial" w:cs="Arial"/>
              </w:rPr>
              <w:t>illustrates that the points</w:t>
            </w:r>
            <w:r w:rsidR="00A80806">
              <w:rPr>
                <w:rFonts w:ascii="Arial" w:hAnsi="Arial" w:cs="Arial"/>
              </w:rPr>
              <w:t xml:space="preserve"> based</w:t>
            </w:r>
            <w:r w:rsidRPr="00597A5B">
              <w:rPr>
                <w:rFonts w:ascii="Arial" w:hAnsi="Arial" w:cs="Arial"/>
              </w:rPr>
              <w:t xml:space="preserve"> model </w:t>
            </w:r>
            <w:r>
              <w:rPr>
                <w:rFonts w:ascii="Arial" w:hAnsi="Arial" w:cs="Arial"/>
              </w:rPr>
              <w:t>is easier to understand when applied to a taxpayer</w:t>
            </w:r>
            <w:r w:rsidRPr="00597A5B">
              <w:rPr>
                <w:rFonts w:ascii="Arial" w:hAnsi="Arial" w:cs="Arial"/>
              </w:rPr>
              <w:t xml:space="preserve"> with annual filing obligations</w:t>
            </w:r>
            <w:r>
              <w:rPr>
                <w:rFonts w:ascii="Arial" w:hAnsi="Arial" w:cs="Arial"/>
              </w:rPr>
              <w:t xml:space="preserve">, because there is no </w:t>
            </w:r>
            <w:r w:rsidR="0012595A">
              <w:rPr>
                <w:rFonts w:ascii="Arial" w:hAnsi="Arial" w:cs="Arial"/>
              </w:rPr>
              <w:lastRenderedPageBreak/>
              <w:t>combining</w:t>
            </w:r>
            <w:r>
              <w:rPr>
                <w:rFonts w:ascii="Arial" w:hAnsi="Arial" w:cs="Arial"/>
              </w:rPr>
              <w:t xml:space="preserve"> of tax years, and submissions are further apart</w:t>
            </w:r>
            <w:r w:rsidR="005E6985">
              <w:rPr>
                <w:rFonts w:ascii="Arial" w:hAnsi="Arial" w:cs="Arial"/>
              </w:rPr>
              <w:t xml:space="preserve">. </w:t>
            </w:r>
          </w:p>
          <w:p w14:paraId="4CD2122D" w14:textId="371F3782" w:rsidR="00597A5B" w:rsidRDefault="00597A5B" w:rsidP="00CF0E27">
            <w:pPr>
              <w:pStyle w:val="ListParagraph"/>
              <w:numPr>
                <w:ilvl w:val="0"/>
                <w:numId w:val="17"/>
              </w:numPr>
              <w:rPr>
                <w:rFonts w:ascii="Arial" w:hAnsi="Arial" w:cs="Arial"/>
              </w:rPr>
            </w:pPr>
            <w:r>
              <w:rPr>
                <w:rFonts w:ascii="Arial" w:hAnsi="Arial" w:cs="Arial"/>
              </w:rPr>
              <w:t>It seems reasonable to require two sequential submissions to be made on time to reset the points total to zero</w:t>
            </w:r>
            <w:r w:rsidR="005E6985">
              <w:rPr>
                <w:rFonts w:ascii="Arial" w:hAnsi="Arial" w:cs="Arial"/>
              </w:rPr>
              <w:t xml:space="preserve">. </w:t>
            </w:r>
            <w:r w:rsidR="004C0282">
              <w:rPr>
                <w:rFonts w:ascii="Arial" w:hAnsi="Arial" w:cs="Arial"/>
              </w:rPr>
              <w:t>However, this model does not differentiate between taxpayers who file their return a day late and those that file their return several months late</w:t>
            </w:r>
            <w:r w:rsidR="005E6985">
              <w:rPr>
                <w:rFonts w:ascii="Arial" w:hAnsi="Arial" w:cs="Arial"/>
              </w:rPr>
              <w:t xml:space="preserve">. </w:t>
            </w:r>
            <w:r w:rsidR="004C0282">
              <w:rPr>
                <w:rFonts w:ascii="Arial" w:hAnsi="Arial" w:cs="Arial"/>
              </w:rPr>
              <w:t>This seems unfair</w:t>
            </w:r>
            <w:r w:rsidR="00E35939">
              <w:rPr>
                <w:rFonts w:ascii="Arial" w:hAnsi="Arial" w:cs="Arial"/>
              </w:rPr>
              <w:t xml:space="preserve"> and ineffective as a deterrent</w:t>
            </w:r>
            <w:r w:rsidR="004C0282">
              <w:rPr>
                <w:rFonts w:ascii="Arial" w:hAnsi="Arial" w:cs="Arial"/>
              </w:rPr>
              <w:t>.</w:t>
            </w:r>
          </w:p>
          <w:p w14:paraId="5661B403" w14:textId="4D3B501A" w:rsidR="00625356" w:rsidRPr="003A03F9" w:rsidRDefault="004C0282" w:rsidP="00C1326F">
            <w:pPr>
              <w:pStyle w:val="ListParagraph"/>
              <w:numPr>
                <w:ilvl w:val="0"/>
                <w:numId w:val="17"/>
              </w:numPr>
            </w:pPr>
            <w:r>
              <w:rPr>
                <w:rFonts w:ascii="Arial" w:hAnsi="Arial" w:cs="Arial"/>
              </w:rPr>
              <w:t>It is unclear</w:t>
            </w:r>
            <w:r w:rsidR="00597A5B">
              <w:rPr>
                <w:rFonts w:ascii="Arial" w:hAnsi="Arial" w:cs="Arial"/>
              </w:rPr>
              <w:t xml:space="preserve"> whether this model will encourage the submission of an outstanding return or not, and whether there should be an escalation of penalties depending on how late the submission is.</w:t>
            </w:r>
          </w:p>
        </w:tc>
      </w:tr>
      <w:tr w:rsidR="00625356" w:rsidRPr="003A03F9" w14:paraId="5AE9C801" w14:textId="77777777" w:rsidTr="004F117C">
        <w:tc>
          <w:tcPr>
            <w:tcW w:w="562" w:type="dxa"/>
          </w:tcPr>
          <w:p w14:paraId="27FE969C" w14:textId="1F8F1D8B" w:rsidR="00625356" w:rsidRPr="003A03F9" w:rsidRDefault="00625356" w:rsidP="00625356">
            <w:pPr>
              <w:numPr>
                <w:ilvl w:val="1"/>
                <w:numId w:val="6"/>
              </w:numPr>
              <w:rPr>
                <w:szCs w:val="22"/>
              </w:rPr>
            </w:pPr>
          </w:p>
        </w:tc>
        <w:tc>
          <w:tcPr>
            <w:tcW w:w="8510" w:type="dxa"/>
          </w:tcPr>
          <w:p w14:paraId="6CE4ACAB" w14:textId="0FC897CA" w:rsidR="00625356" w:rsidRPr="003A03F9" w:rsidRDefault="00165700" w:rsidP="009F74B7">
            <w:pPr>
              <w:pStyle w:val="CommentText"/>
              <w:rPr>
                <w:szCs w:val="22"/>
              </w:rPr>
            </w:pPr>
            <w:r w:rsidRPr="009F74B7">
              <w:rPr>
                <w:sz w:val="22"/>
                <w:szCs w:val="22"/>
              </w:rPr>
              <w:t>Communication is key</w:t>
            </w:r>
            <w:r w:rsidR="00E35939">
              <w:rPr>
                <w:sz w:val="22"/>
                <w:szCs w:val="22"/>
              </w:rPr>
              <w:t xml:space="preserve"> to </w:t>
            </w:r>
            <w:r w:rsidR="009E6D64">
              <w:rPr>
                <w:sz w:val="22"/>
                <w:szCs w:val="22"/>
              </w:rPr>
              <w:t xml:space="preserve">the </w:t>
            </w:r>
            <w:r w:rsidR="00E35939">
              <w:rPr>
                <w:sz w:val="22"/>
                <w:szCs w:val="22"/>
              </w:rPr>
              <w:t>success of the model</w:t>
            </w:r>
            <w:r w:rsidR="005E6985">
              <w:rPr>
                <w:sz w:val="22"/>
                <w:szCs w:val="22"/>
              </w:rPr>
              <w:t xml:space="preserve">. </w:t>
            </w:r>
            <w:r w:rsidR="009F74B7" w:rsidRPr="009F74B7">
              <w:rPr>
                <w:sz w:val="22"/>
                <w:szCs w:val="22"/>
              </w:rPr>
              <w:t xml:space="preserve">We encourage HMRC to </w:t>
            </w:r>
            <w:r w:rsidR="009F74B7">
              <w:rPr>
                <w:sz w:val="22"/>
                <w:szCs w:val="22"/>
              </w:rPr>
              <w:t>work with the software developers</w:t>
            </w:r>
            <w:r w:rsidR="009F74B7" w:rsidRPr="009F74B7">
              <w:rPr>
                <w:sz w:val="22"/>
                <w:szCs w:val="22"/>
              </w:rPr>
              <w:t xml:space="preserve"> to ensure that </w:t>
            </w:r>
            <w:r w:rsidR="009F74B7">
              <w:rPr>
                <w:sz w:val="22"/>
                <w:szCs w:val="22"/>
              </w:rPr>
              <w:t xml:space="preserve">MTD </w:t>
            </w:r>
            <w:r w:rsidR="009F74B7" w:rsidRPr="009F74B7">
              <w:rPr>
                <w:sz w:val="22"/>
                <w:szCs w:val="22"/>
              </w:rPr>
              <w:t xml:space="preserve">software will prompt businesses when </w:t>
            </w:r>
            <w:r w:rsidR="009F74B7">
              <w:rPr>
                <w:sz w:val="22"/>
                <w:szCs w:val="22"/>
              </w:rPr>
              <w:t xml:space="preserve">an </w:t>
            </w:r>
            <w:r w:rsidR="009F74B7" w:rsidRPr="009F74B7">
              <w:rPr>
                <w:sz w:val="22"/>
                <w:szCs w:val="22"/>
              </w:rPr>
              <w:t>update</w:t>
            </w:r>
            <w:r w:rsidR="009F74B7">
              <w:rPr>
                <w:sz w:val="22"/>
                <w:szCs w:val="22"/>
              </w:rPr>
              <w:t xml:space="preserve"> i</w:t>
            </w:r>
            <w:r w:rsidR="009F74B7" w:rsidRPr="009F74B7">
              <w:rPr>
                <w:sz w:val="22"/>
                <w:szCs w:val="22"/>
              </w:rPr>
              <w:t>s due</w:t>
            </w:r>
            <w:r w:rsidR="009F74B7">
              <w:rPr>
                <w:sz w:val="22"/>
                <w:szCs w:val="22"/>
              </w:rPr>
              <w:t xml:space="preserve"> so they don’t miss the deadline</w:t>
            </w:r>
            <w:r w:rsidR="009F74B7" w:rsidRPr="009F74B7">
              <w:rPr>
                <w:sz w:val="22"/>
                <w:szCs w:val="22"/>
              </w:rPr>
              <w:t>.</w:t>
            </w:r>
            <w:r w:rsidR="009F74B7">
              <w:rPr>
                <w:sz w:val="22"/>
                <w:szCs w:val="22"/>
              </w:rPr>
              <w:t xml:space="preserve"> I</w:t>
            </w:r>
            <w:r w:rsidR="009F74B7" w:rsidRPr="009F74B7">
              <w:rPr>
                <w:sz w:val="22"/>
                <w:szCs w:val="22"/>
              </w:rPr>
              <w:t xml:space="preserve">f they </w:t>
            </w:r>
            <w:r w:rsidR="009F74B7">
              <w:rPr>
                <w:sz w:val="22"/>
                <w:szCs w:val="22"/>
              </w:rPr>
              <w:t xml:space="preserve">do miss it, </w:t>
            </w:r>
            <w:r w:rsidR="009F74B7" w:rsidRPr="009F74B7">
              <w:rPr>
                <w:sz w:val="22"/>
                <w:szCs w:val="22"/>
              </w:rPr>
              <w:t xml:space="preserve">they </w:t>
            </w:r>
            <w:r w:rsidR="009F74B7">
              <w:rPr>
                <w:sz w:val="22"/>
                <w:szCs w:val="22"/>
              </w:rPr>
              <w:t>should be</w:t>
            </w:r>
            <w:r w:rsidR="009F74B7" w:rsidRPr="009F74B7">
              <w:rPr>
                <w:sz w:val="22"/>
                <w:szCs w:val="22"/>
              </w:rPr>
              <w:t xml:space="preserve"> quickly notified about the penalty point</w:t>
            </w:r>
            <w:r w:rsidR="00C60746">
              <w:rPr>
                <w:sz w:val="22"/>
                <w:szCs w:val="22"/>
              </w:rPr>
              <w:t xml:space="preserve"> </w:t>
            </w:r>
            <w:r w:rsidRPr="009F74B7">
              <w:rPr>
                <w:sz w:val="22"/>
                <w:szCs w:val="22"/>
              </w:rPr>
              <w:t xml:space="preserve">and the consequences of receiving the point </w:t>
            </w:r>
            <w:r w:rsidR="00A80806">
              <w:rPr>
                <w:sz w:val="22"/>
                <w:szCs w:val="22"/>
              </w:rPr>
              <w:t xml:space="preserve">should be </w:t>
            </w:r>
            <w:r w:rsidRPr="009F74B7">
              <w:rPr>
                <w:sz w:val="22"/>
                <w:szCs w:val="22"/>
              </w:rPr>
              <w:t>fully explained</w:t>
            </w:r>
            <w:r w:rsidR="005E6985">
              <w:rPr>
                <w:sz w:val="22"/>
                <w:szCs w:val="22"/>
              </w:rPr>
              <w:t xml:space="preserve">. </w:t>
            </w:r>
            <w:r w:rsidRPr="009F74B7">
              <w:rPr>
                <w:sz w:val="22"/>
                <w:szCs w:val="22"/>
              </w:rPr>
              <w:t xml:space="preserve">The taxpayer must be </w:t>
            </w:r>
            <w:r w:rsidR="00322D0C">
              <w:rPr>
                <w:sz w:val="22"/>
                <w:szCs w:val="22"/>
              </w:rPr>
              <w:t>notified regarding</w:t>
            </w:r>
            <w:r w:rsidRPr="009F74B7">
              <w:rPr>
                <w:sz w:val="22"/>
                <w:szCs w:val="22"/>
              </w:rPr>
              <w:t xml:space="preserve"> what is needed to bring their tax affairs back into compliance and avoid further points and/</w:t>
            </w:r>
            <w:r w:rsidR="00110C6F">
              <w:rPr>
                <w:sz w:val="22"/>
                <w:szCs w:val="22"/>
              </w:rPr>
              <w:t xml:space="preserve"> </w:t>
            </w:r>
            <w:r w:rsidRPr="009F74B7">
              <w:rPr>
                <w:sz w:val="22"/>
                <w:szCs w:val="22"/>
              </w:rPr>
              <w:t>or an actual monetary penalty</w:t>
            </w:r>
            <w:r w:rsidR="005E6985">
              <w:rPr>
                <w:sz w:val="22"/>
                <w:szCs w:val="22"/>
              </w:rPr>
              <w:t xml:space="preserve">. </w:t>
            </w:r>
          </w:p>
          <w:p w14:paraId="1BC11FB3" w14:textId="77777777" w:rsidR="00625356" w:rsidRPr="003A03F9" w:rsidRDefault="00625356" w:rsidP="00262553">
            <w:pPr>
              <w:rPr>
                <w:szCs w:val="22"/>
              </w:rPr>
            </w:pPr>
          </w:p>
        </w:tc>
      </w:tr>
      <w:tr w:rsidR="00C1326F" w:rsidRPr="003A03F9" w14:paraId="3B391CAF" w14:textId="77777777" w:rsidTr="004F117C">
        <w:tc>
          <w:tcPr>
            <w:tcW w:w="562" w:type="dxa"/>
          </w:tcPr>
          <w:p w14:paraId="3D845A4D" w14:textId="77777777" w:rsidR="00C1326F" w:rsidRPr="003A03F9" w:rsidRDefault="00C1326F" w:rsidP="00625356">
            <w:pPr>
              <w:numPr>
                <w:ilvl w:val="1"/>
                <w:numId w:val="6"/>
              </w:numPr>
              <w:rPr>
                <w:szCs w:val="22"/>
              </w:rPr>
            </w:pPr>
          </w:p>
        </w:tc>
        <w:tc>
          <w:tcPr>
            <w:tcW w:w="8510" w:type="dxa"/>
          </w:tcPr>
          <w:p w14:paraId="1114D692" w14:textId="43E8E0E1" w:rsidR="00C1326F" w:rsidRDefault="00C1326F" w:rsidP="00C1326F">
            <w:pPr>
              <w:rPr>
                <w:szCs w:val="22"/>
              </w:rPr>
            </w:pPr>
            <w:r>
              <w:rPr>
                <w:szCs w:val="22"/>
              </w:rPr>
              <w:t>Similarly, it should be made easy for the taxpayer</w:t>
            </w:r>
            <w:r w:rsidR="000267B3">
              <w:rPr>
                <w:szCs w:val="22"/>
              </w:rPr>
              <w:t xml:space="preserve"> (or their agent)</w:t>
            </w:r>
            <w:r>
              <w:rPr>
                <w:szCs w:val="22"/>
              </w:rPr>
              <w:t xml:space="preserve"> to appeal a penalty and/or penalty point</w:t>
            </w:r>
            <w:r w:rsidR="005E6985">
              <w:rPr>
                <w:szCs w:val="22"/>
              </w:rPr>
              <w:t xml:space="preserve">. </w:t>
            </w:r>
            <w:r>
              <w:rPr>
                <w:szCs w:val="22"/>
              </w:rPr>
              <w:t>Non-digital alternatives should be provided for the digitally excluded.</w:t>
            </w:r>
          </w:p>
          <w:p w14:paraId="198916B7" w14:textId="5C2C197A" w:rsidR="005E6985" w:rsidRDefault="005E6985" w:rsidP="00C1326F">
            <w:pPr>
              <w:rPr>
                <w:szCs w:val="22"/>
              </w:rPr>
            </w:pPr>
          </w:p>
        </w:tc>
      </w:tr>
    </w:tbl>
    <w:p w14:paraId="2DFA0F45" w14:textId="77777777" w:rsidR="00262553" w:rsidRPr="003A03F9" w:rsidRDefault="00262553">
      <w:pPr>
        <w:rPr>
          <w:szCs w:val="22"/>
        </w:rPr>
      </w:pPr>
    </w:p>
    <w:p w14:paraId="6D289165" w14:textId="77777777" w:rsidR="000A70E4" w:rsidRPr="003A03F9" w:rsidRDefault="000A70E4">
      <w:pPr>
        <w:rPr>
          <w:szCs w:val="22"/>
        </w:rPr>
      </w:pPr>
    </w:p>
    <w:tbl>
      <w:tblPr>
        <w:tblW w:w="0" w:type="auto"/>
        <w:tblLook w:val="0000" w:firstRow="0" w:lastRow="0" w:firstColumn="0" w:lastColumn="0" w:noHBand="0" w:noVBand="0"/>
      </w:tblPr>
      <w:tblGrid>
        <w:gridCol w:w="562"/>
        <w:gridCol w:w="8510"/>
      </w:tblGrid>
      <w:tr w:rsidR="004D2530" w:rsidRPr="003A03F9" w14:paraId="019F2CEC" w14:textId="77777777" w:rsidTr="005933B6">
        <w:tc>
          <w:tcPr>
            <w:tcW w:w="562" w:type="dxa"/>
          </w:tcPr>
          <w:p w14:paraId="485ECCE5" w14:textId="77777777" w:rsidR="004D2530" w:rsidRPr="003A03F9" w:rsidRDefault="004D2530" w:rsidP="004D2530">
            <w:pPr>
              <w:numPr>
                <w:ilvl w:val="0"/>
                <w:numId w:val="6"/>
              </w:numPr>
              <w:rPr>
                <w:szCs w:val="22"/>
              </w:rPr>
            </w:pPr>
          </w:p>
        </w:tc>
        <w:tc>
          <w:tcPr>
            <w:tcW w:w="8510" w:type="dxa"/>
          </w:tcPr>
          <w:p w14:paraId="093A98B0" w14:textId="77777777" w:rsidR="005873B1" w:rsidRDefault="002C3F9B" w:rsidP="002C3F9B">
            <w:pPr>
              <w:rPr>
                <w:b/>
                <w:szCs w:val="22"/>
              </w:rPr>
            </w:pPr>
            <w:r w:rsidRPr="002C3F9B">
              <w:rPr>
                <w:b/>
                <w:szCs w:val="22"/>
              </w:rPr>
              <w:t xml:space="preserve">Question 4.1 </w:t>
            </w:r>
            <w:r w:rsidR="005873B1">
              <w:rPr>
                <w:b/>
                <w:szCs w:val="22"/>
              </w:rPr>
              <w:t>Regular Review of Compliance Model</w:t>
            </w:r>
          </w:p>
          <w:p w14:paraId="6730D171" w14:textId="77777777" w:rsidR="002C3F9B" w:rsidRPr="002C3F9B" w:rsidRDefault="002C3F9B" w:rsidP="002C3F9B">
            <w:pPr>
              <w:rPr>
                <w:b/>
                <w:szCs w:val="22"/>
              </w:rPr>
            </w:pPr>
            <w:r w:rsidRPr="002C3F9B">
              <w:rPr>
                <w:b/>
                <w:szCs w:val="22"/>
              </w:rPr>
              <w:t xml:space="preserve">What are your views on the timing of the review?    </w:t>
            </w:r>
          </w:p>
          <w:p w14:paraId="77E75B1C" w14:textId="509047C3" w:rsidR="004D2530" w:rsidRPr="003A03F9" w:rsidRDefault="004D2530" w:rsidP="002C3F9B">
            <w:pPr>
              <w:rPr>
                <w:szCs w:val="22"/>
              </w:rPr>
            </w:pPr>
          </w:p>
        </w:tc>
      </w:tr>
      <w:tr w:rsidR="004D2530" w:rsidRPr="003A03F9" w14:paraId="03A7DA5F" w14:textId="77777777" w:rsidTr="005933B6">
        <w:tc>
          <w:tcPr>
            <w:tcW w:w="562" w:type="dxa"/>
          </w:tcPr>
          <w:p w14:paraId="528B1500" w14:textId="280051EF" w:rsidR="004D2530" w:rsidRPr="003A03F9" w:rsidRDefault="004D2530" w:rsidP="004D2530">
            <w:pPr>
              <w:numPr>
                <w:ilvl w:val="1"/>
                <w:numId w:val="6"/>
              </w:numPr>
              <w:rPr>
                <w:szCs w:val="22"/>
              </w:rPr>
            </w:pPr>
          </w:p>
        </w:tc>
        <w:tc>
          <w:tcPr>
            <w:tcW w:w="8510" w:type="dxa"/>
          </w:tcPr>
          <w:p w14:paraId="67785702" w14:textId="425E8853" w:rsidR="003B7245" w:rsidRDefault="003B7245" w:rsidP="004D2530">
            <w:pPr>
              <w:rPr>
                <w:szCs w:val="22"/>
              </w:rPr>
            </w:pPr>
            <w:r>
              <w:rPr>
                <w:szCs w:val="22"/>
              </w:rPr>
              <w:t>As already mentioned, we do not favour Model B because the review is not operating in ‘real time’, but is instead looking backwards at the taxpayer’s compliance history</w:t>
            </w:r>
            <w:r w:rsidR="005E6985">
              <w:rPr>
                <w:szCs w:val="22"/>
              </w:rPr>
              <w:t xml:space="preserve">. </w:t>
            </w:r>
            <w:r w:rsidR="005933B6">
              <w:rPr>
                <w:szCs w:val="22"/>
              </w:rPr>
              <w:t xml:space="preserve">This is </w:t>
            </w:r>
            <w:r w:rsidR="009E3A8E">
              <w:rPr>
                <w:szCs w:val="22"/>
              </w:rPr>
              <w:t xml:space="preserve">too late to change the taxpayer’s behaviour during that period and </w:t>
            </w:r>
            <w:r w:rsidR="005933B6">
              <w:rPr>
                <w:szCs w:val="22"/>
              </w:rPr>
              <w:t>less likely to encourage compliance and prevent non-compliance</w:t>
            </w:r>
            <w:r w:rsidR="009E3A8E">
              <w:rPr>
                <w:szCs w:val="22"/>
              </w:rPr>
              <w:t xml:space="preserve"> </w:t>
            </w:r>
            <w:r w:rsidR="005933B6">
              <w:rPr>
                <w:szCs w:val="22"/>
              </w:rPr>
              <w:t>(principle 1) than the other models.</w:t>
            </w:r>
            <w:r w:rsidR="00322D0C">
              <w:rPr>
                <w:szCs w:val="22"/>
              </w:rPr>
              <w:t xml:space="preserve"> Our subsequent comments should be read in this light.</w:t>
            </w:r>
          </w:p>
          <w:p w14:paraId="3CB194D7" w14:textId="5BE87439" w:rsidR="005E6985" w:rsidRPr="003A03F9" w:rsidRDefault="005E6985" w:rsidP="004D2530">
            <w:pPr>
              <w:rPr>
                <w:szCs w:val="22"/>
              </w:rPr>
            </w:pPr>
          </w:p>
        </w:tc>
      </w:tr>
    </w:tbl>
    <w:p w14:paraId="77E94AA0" w14:textId="77777777" w:rsidR="004D2530" w:rsidRPr="003A03F9" w:rsidRDefault="004D2530">
      <w:pPr>
        <w:rPr>
          <w:szCs w:val="22"/>
        </w:rPr>
      </w:pPr>
    </w:p>
    <w:p w14:paraId="4BE0CA45" w14:textId="77777777" w:rsidR="000A70E4" w:rsidRPr="003A03F9" w:rsidRDefault="000A70E4">
      <w:pPr>
        <w:rPr>
          <w:szCs w:val="22"/>
        </w:rPr>
      </w:pPr>
    </w:p>
    <w:tbl>
      <w:tblPr>
        <w:tblW w:w="0" w:type="auto"/>
        <w:tblLook w:val="0000" w:firstRow="0" w:lastRow="0" w:firstColumn="0" w:lastColumn="0" w:noHBand="0" w:noVBand="0"/>
      </w:tblPr>
      <w:tblGrid>
        <w:gridCol w:w="562"/>
        <w:gridCol w:w="8510"/>
      </w:tblGrid>
      <w:tr w:rsidR="004D2530" w:rsidRPr="003A03F9" w14:paraId="48A47C28" w14:textId="77777777" w:rsidTr="005933B6">
        <w:tc>
          <w:tcPr>
            <w:tcW w:w="562" w:type="dxa"/>
          </w:tcPr>
          <w:p w14:paraId="09BC9382" w14:textId="77777777" w:rsidR="004D2530" w:rsidRPr="003A03F9" w:rsidRDefault="004D2530" w:rsidP="004D2530">
            <w:pPr>
              <w:numPr>
                <w:ilvl w:val="0"/>
                <w:numId w:val="6"/>
              </w:numPr>
              <w:rPr>
                <w:szCs w:val="22"/>
              </w:rPr>
            </w:pPr>
          </w:p>
        </w:tc>
        <w:tc>
          <w:tcPr>
            <w:tcW w:w="8510" w:type="dxa"/>
          </w:tcPr>
          <w:p w14:paraId="0C665D25" w14:textId="77777777" w:rsidR="005873B1" w:rsidRDefault="002C3F9B" w:rsidP="002C3F9B">
            <w:pPr>
              <w:rPr>
                <w:b/>
                <w:szCs w:val="22"/>
              </w:rPr>
            </w:pPr>
            <w:r w:rsidRPr="002C3F9B">
              <w:rPr>
                <w:b/>
                <w:szCs w:val="22"/>
              </w:rPr>
              <w:t xml:space="preserve">Question 4.2 </w:t>
            </w:r>
            <w:r w:rsidR="005873B1">
              <w:rPr>
                <w:b/>
                <w:szCs w:val="22"/>
              </w:rPr>
              <w:t>Regular Review of Compliance Model</w:t>
            </w:r>
            <w:r w:rsidR="005873B1" w:rsidRPr="002C3F9B">
              <w:rPr>
                <w:b/>
                <w:szCs w:val="22"/>
              </w:rPr>
              <w:t xml:space="preserve"> </w:t>
            </w:r>
          </w:p>
          <w:p w14:paraId="4142CAAE" w14:textId="4E100392" w:rsidR="002C3F9B" w:rsidRPr="002C3F9B" w:rsidRDefault="002C3F9B" w:rsidP="002C3F9B">
            <w:pPr>
              <w:rPr>
                <w:b/>
                <w:szCs w:val="22"/>
              </w:rPr>
            </w:pPr>
            <w:r w:rsidRPr="002C3F9B">
              <w:rPr>
                <w:b/>
                <w:szCs w:val="22"/>
              </w:rPr>
              <w:t xml:space="preserve">Which of the three options mentioned in paragraphs 4.5 to 4.7 above for customers within Making Tax Digital for Business do you think is the most appropriate?       </w:t>
            </w:r>
          </w:p>
          <w:p w14:paraId="22739EEC" w14:textId="42990837" w:rsidR="004D2530" w:rsidRPr="003A03F9" w:rsidRDefault="004D2530" w:rsidP="002C3F9B">
            <w:pPr>
              <w:rPr>
                <w:szCs w:val="22"/>
              </w:rPr>
            </w:pPr>
          </w:p>
        </w:tc>
      </w:tr>
      <w:tr w:rsidR="004D2530" w:rsidRPr="003A03F9" w14:paraId="61B46D09" w14:textId="77777777" w:rsidTr="005933B6">
        <w:tc>
          <w:tcPr>
            <w:tcW w:w="562" w:type="dxa"/>
          </w:tcPr>
          <w:p w14:paraId="693BDBC0" w14:textId="77777777" w:rsidR="004D2530" w:rsidRPr="003A03F9" w:rsidRDefault="004D2530" w:rsidP="004D2530">
            <w:pPr>
              <w:numPr>
                <w:ilvl w:val="1"/>
                <w:numId w:val="6"/>
              </w:numPr>
              <w:rPr>
                <w:szCs w:val="22"/>
              </w:rPr>
            </w:pPr>
          </w:p>
        </w:tc>
        <w:tc>
          <w:tcPr>
            <w:tcW w:w="8510" w:type="dxa"/>
          </w:tcPr>
          <w:p w14:paraId="06FC1228" w14:textId="1D73D429" w:rsidR="006A4F32" w:rsidRDefault="006A4F32" w:rsidP="006A4F32">
            <w:pPr>
              <w:rPr>
                <w:szCs w:val="22"/>
              </w:rPr>
            </w:pPr>
            <w:r>
              <w:rPr>
                <w:szCs w:val="22"/>
              </w:rPr>
              <w:t>Fig 4.1 seems a better approach than Fig 4.2 because it is focussing on ongoing behaviour rather than on specific accounting periods/</w:t>
            </w:r>
            <w:r w:rsidR="00110C6F">
              <w:rPr>
                <w:szCs w:val="22"/>
              </w:rPr>
              <w:t xml:space="preserve"> </w:t>
            </w:r>
            <w:r>
              <w:rPr>
                <w:szCs w:val="22"/>
              </w:rPr>
              <w:t>years.</w:t>
            </w:r>
          </w:p>
          <w:p w14:paraId="386A510F" w14:textId="377A7F18" w:rsidR="001D31EA" w:rsidRPr="003A03F9" w:rsidRDefault="001D31EA" w:rsidP="006A4F32">
            <w:pPr>
              <w:rPr>
                <w:szCs w:val="22"/>
              </w:rPr>
            </w:pPr>
          </w:p>
        </w:tc>
      </w:tr>
      <w:tr w:rsidR="006A4F32" w:rsidRPr="003A03F9" w14:paraId="0C77774D" w14:textId="77777777" w:rsidTr="005933B6">
        <w:tc>
          <w:tcPr>
            <w:tcW w:w="562" w:type="dxa"/>
          </w:tcPr>
          <w:p w14:paraId="5FCCC019" w14:textId="77777777" w:rsidR="006A4F32" w:rsidRPr="003A03F9" w:rsidRDefault="006A4F32" w:rsidP="004D2530">
            <w:pPr>
              <w:numPr>
                <w:ilvl w:val="1"/>
                <w:numId w:val="6"/>
              </w:numPr>
              <w:rPr>
                <w:szCs w:val="22"/>
              </w:rPr>
            </w:pPr>
          </w:p>
        </w:tc>
        <w:tc>
          <w:tcPr>
            <w:tcW w:w="8510" w:type="dxa"/>
          </w:tcPr>
          <w:p w14:paraId="43A8B917" w14:textId="77777777" w:rsidR="006A4F32" w:rsidRPr="003A03F9" w:rsidRDefault="006A4F32" w:rsidP="006A4F32">
            <w:pPr>
              <w:rPr>
                <w:szCs w:val="22"/>
              </w:rPr>
            </w:pPr>
            <w:r>
              <w:rPr>
                <w:szCs w:val="22"/>
              </w:rPr>
              <w:t xml:space="preserve">In Fig 4.1, it needs to be clear which quarters for which year fall into each 12 month period of review. The illustration refers to the ‘deadline’ for quarters 1 to 4, </w:t>
            </w:r>
            <w:proofErr w:type="spellStart"/>
            <w:r>
              <w:rPr>
                <w:szCs w:val="22"/>
              </w:rPr>
              <w:t>ie</w:t>
            </w:r>
            <w:proofErr w:type="spellEnd"/>
            <w:r>
              <w:rPr>
                <w:szCs w:val="22"/>
              </w:rPr>
              <w:t xml:space="preserve"> the proposals is that this will be 30 days after the end of each quarter, but if the review takes place at the end of quarter 4 (say), this would pick up the deadline date for quarter 4 of the previous year.</w:t>
            </w:r>
          </w:p>
          <w:p w14:paraId="4CF274CB" w14:textId="77777777" w:rsidR="006A4F32" w:rsidRDefault="006A4F32" w:rsidP="001D31EA">
            <w:pPr>
              <w:rPr>
                <w:szCs w:val="22"/>
              </w:rPr>
            </w:pPr>
          </w:p>
        </w:tc>
      </w:tr>
      <w:tr w:rsidR="001D31EA" w:rsidRPr="003A03F9" w14:paraId="72D69765" w14:textId="77777777" w:rsidTr="005933B6">
        <w:tc>
          <w:tcPr>
            <w:tcW w:w="562" w:type="dxa"/>
          </w:tcPr>
          <w:p w14:paraId="1538B224" w14:textId="175544F4" w:rsidR="001D31EA" w:rsidRPr="003A03F9" w:rsidRDefault="001D31EA" w:rsidP="004D2530">
            <w:pPr>
              <w:numPr>
                <w:ilvl w:val="1"/>
                <w:numId w:val="6"/>
              </w:numPr>
              <w:rPr>
                <w:szCs w:val="22"/>
              </w:rPr>
            </w:pPr>
          </w:p>
        </w:tc>
        <w:tc>
          <w:tcPr>
            <w:tcW w:w="8510" w:type="dxa"/>
          </w:tcPr>
          <w:p w14:paraId="65BDE73E" w14:textId="56439195" w:rsidR="001D31EA" w:rsidRDefault="001D31EA" w:rsidP="001D31EA">
            <w:pPr>
              <w:rPr>
                <w:szCs w:val="22"/>
              </w:rPr>
            </w:pPr>
            <w:r>
              <w:rPr>
                <w:szCs w:val="22"/>
              </w:rPr>
              <w:t xml:space="preserve">Fig 4.2 </w:t>
            </w:r>
            <w:r w:rsidR="00BB22D6">
              <w:rPr>
                <w:szCs w:val="22"/>
              </w:rPr>
              <w:t>keeps</w:t>
            </w:r>
            <w:r>
              <w:rPr>
                <w:szCs w:val="22"/>
              </w:rPr>
              <w:t xml:space="preserve"> each tax year separate</w:t>
            </w:r>
            <w:r w:rsidR="003453B8">
              <w:rPr>
                <w:szCs w:val="22"/>
              </w:rPr>
              <w:t xml:space="preserve"> and provid</w:t>
            </w:r>
            <w:r w:rsidR="00BB22D6">
              <w:rPr>
                <w:szCs w:val="22"/>
              </w:rPr>
              <w:t>es</w:t>
            </w:r>
            <w:r w:rsidR="003453B8">
              <w:rPr>
                <w:szCs w:val="22"/>
              </w:rPr>
              <w:t xml:space="preserve"> time for the extent of each lateness to be taken into account</w:t>
            </w:r>
            <w:r>
              <w:rPr>
                <w:szCs w:val="22"/>
              </w:rPr>
              <w:t>, but on the downside it means that the review is taking place a long time after the date of the filing obligations</w:t>
            </w:r>
            <w:r w:rsidR="006A4F32">
              <w:rPr>
                <w:szCs w:val="22"/>
              </w:rPr>
              <w:t xml:space="preserve"> and is not looking at ongoing behaviour as much as Fig 4.1</w:t>
            </w:r>
            <w:r>
              <w:rPr>
                <w:szCs w:val="22"/>
              </w:rPr>
              <w:t>.</w:t>
            </w:r>
          </w:p>
          <w:p w14:paraId="3B16C028" w14:textId="77777777" w:rsidR="005E6985" w:rsidRDefault="005E6985" w:rsidP="001D31EA">
            <w:pPr>
              <w:rPr>
                <w:szCs w:val="22"/>
              </w:rPr>
            </w:pPr>
          </w:p>
        </w:tc>
      </w:tr>
      <w:tr w:rsidR="00057E0C" w:rsidRPr="003A03F9" w14:paraId="0334FA42" w14:textId="77777777" w:rsidTr="005933B6">
        <w:tc>
          <w:tcPr>
            <w:tcW w:w="562" w:type="dxa"/>
          </w:tcPr>
          <w:p w14:paraId="047C2CFD" w14:textId="77777777" w:rsidR="00057E0C" w:rsidRPr="003A03F9" w:rsidRDefault="00057E0C" w:rsidP="004D2530">
            <w:pPr>
              <w:numPr>
                <w:ilvl w:val="1"/>
                <w:numId w:val="6"/>
              </w:numPr>
              <w:rPr>
                <w:szCs w:val="22"/>
              </w:rPr>
            </w:pPr>
          </w:p>
        </w:tc>
        <w:tc>
          <w:tcPr>
            <w:tcW w:w="8510" w:type="dxa"/>
          </w:tcPr>
          <w:p w14:paraId="3D215992" w14:textId="25D7158F" w:rsidR="00057E0C" w:rsidRDefault="00057E0C" w:rsidP="001D31EA">
            <w:pPr>
              <w:rPr>
                <w:szCs w:val="22"/>
              </w:rPr>
            </w:pPr>
            <w:r>
              <w:rPr>
                <w:szCs w:val="22"/>
              </w:rPr>
              <w:t xml:space="preserve">It is unclear how the outcomes of each period’s review would affect future reviews or influence </w:t>
            </w:r>
            <w:r w:rsidR="006A4F32">
              <w:rPr>
                <w:szCs w:val="22"/>
              </w:rPr>
              <w:t>future decisions (principles 1 and 3).</w:t>
            </w:r>
          </w:p>
          <w:p w14:paraId="2AD6883B" w14:textId="39A9AB67" w:rsidR="00057E0C" w:rsidRDefault="00057E0C" w:rsidP="001D31EA">
            <w:pPr>
              <w:rPr>
                <w:szCs w:val="22"/>
              </w:rPr>
            </w:pPr>
          </w:p>
        </w:tc>
      </w:tr>
      <w:tr w:rsidR="004D2530" w:rsidRPr="003A03F9" w14:paraId="2B4233C3" w14:textId="77777777" w:rsidTr="005933B6">
        <w:tc>
          <w:tcPr>
            <w:tcW w:w="562" w:type="dxa"/>
          </w:tcPr>
          <w:p w14:paraId="61C7E223" w14:textId="437616FF" w:rsidR="004D2530" w:rsidRPr="003A03F9" w:rsidRDefault="004D2530" w:rsidP="004D2530">
            <w:pPr>
              <w:numPr>
                <w:ilvl w:val="1"/>
                <w:numId w:val="6"/>
              </w:numPr>
              <w:rPr>
                <w:szCs w:val="22"/>
              </w:rPr>
            </w:pPr>
          </w:p>
        </w:tc>
        <w:tc>
          <w:tcPr>
            <w:tcW w:w="8510" w:type="dxa"/>
          </w:tcPr>
          <w:p w14:paraId="4C3B39D2" w14:textId="3C29FB2E" w:rsidR="004D2530" w:rsidRPr="003A03F9" w:rsidRDefault="001D31EA" w:rsidP="004D2530">
            <w:pPr>
              <w:rPr>
                <w:szCs w:val="22"/>
              </w:rPr>
            </w:pPr>
            <w:r>
              <w:rPr>
                <w:szCs w:val="22"/>
              </w:rPr>
              <w:t>We agree with HMRC’s suggestion at paragraph 4.2 of the consultation document that they would need to notify the taxpayer each time they were late to ensure that any penalty chargeable at the time of the review did not come as a surprise, and to provide the taxpayer with the opportunity to tell HMRC if they have a reasonable excuse for the failure.</w:t>
            </w:r>
          </w:p>
          <w:p w14:paraId="172616B7" w14:textId="77777777" w:rsidR="004D2530" w:rsidRPr="003A03F9" w:rsidRDefault="004D2530" w:rsidP="004D2530">
            <w:pPr>
              <w:rPr>
                <w:szCs w:val="22"/>
              </w:rPr>
            </w:pPr>
          </w:p>
        </w:tc>
      </w:tr>
      <w:tr w:rsidR="004D2530" w:rsidRPr="003A03F9" w14:paraId="45512718" w14:textId="77777777" w:rsidTr="005933B6">
        <w:tc>
          <w:tcPr>
            <w:tcW w:w="562" w:type="dxa"/>
          </w:tcPr>
          <w:p w14:paraId="25C88C0B" w14:textId="77777777" w:rsidR="004D2530" w:rsidRPr="003A03F9" w:rsidRDefault="004D2530" w:rsidP="004D2530">
            <w:pPr>
              <w:numPr>
                <w:ilvl w:val="1"/>
                <w:numId w:val="6"/>
              </w:numPr>
              <w:rPr>
                <w:szCs w:val="22"/>
              </w:rPr>
            </w:pPr>
          </w:p>
        </w:tc>
        <w:tc>
          <w:tcPr>
            <w:tcW w:w="8510" w:type="dxa"/>
          </w:tcPr>
          <w:p w14:paraId="0EAEDBDE" w14:textId="77777777" w:rsidR="004D2530" w:rsidRDefault="005933B6" w:rsidP="00F22936">
            <w:pPr>
              <w:rPr>
                <w:szCs w:val="22"/>
              </w:rPr>
            </w:pPr>
            <w:r>
              <w:rPr>
                <w:szCs w:val="22"/>
              </w:rPr>
              <w:t>The third option explained in paragraph 4.7 of the consultation document sounds complicated. We do not think this option should be pursued.</w:t>
            </w:r>
          </w:p>
          <w:p w14:paraId="428D6464" w14:textId="484F9A71" w:rsidR="005E6985" w:rsidRPr="003A03F9" w:rsidRDefault="005E6985" w:rsidP="00F22936">
            <w:pPr>
              <w:rPr>
                <w:szCs w:val="22"/>
              </w:rPr>
            </w:pPr>
          </w:p>
        </w:tc>
      </w:tr>
    </w:tbl>
    <w:p w14:paraId="5555AA98" w14:textId="77777777" w:rsidR="004D2530" w:rsidRPr="003A03F9" w:rsidRDefault="004D2530">
      <w:pPr>
        <w:rPr>
          <w:szCs w:val="22"/>
        </w:rPr>
      </w:pPr>
    </w:p>
    <w:p w14:paraId="527E721E" w14:textId="77777777" w:rsidR="000A70E4" w:rsidRPr="003A03F9" w:rsidRDefault="000A70E4">
      <w:pPr>
        <w:rPr>
          <w:szCs w:val="22"/>
        </w:rPr>
      </w:pPr>
    </w:p>
    <w:tbl>
      <w:tblPr>
        <w:tblW w:w="9072" w:type="dxa"/>
        <w:tblLook w:val="0000" w:firstRow="0" w:lastRow="0" w:firstColumn="0" w:lastColumn="0" w:noHBand="0" w:noVBand="0"/>
      </w:tblPr>
      <w:tblGrid>
        <w:gridCol w:w="567"/>
        <w:gridCol w:w="8505"/>
      </w:tblGrid>
      <w:tr w:rsidR="004D2530" w:rsidRPr="003A03F9" w14:paraId="2050DBA7" w14:textId="77777777" w:rsidTr="00F17B89">
        <w:tc>
          <w:tcPr>
            <w:tcW w:w="567" w:type="dxa"/>
          </w:tcPr>
          <w:p w14:paraId="57ECCE20" w14:textId="77777777" w:rsidR="004D2530" w:rsidRPr="003A03F9" w:rsidRDefault="004D2530" w:rsidP="004D2530">
            <w:pPr>
              <w:numPr>
                <w:ilvl w:val="0"/>
                <w:numId w:val="6"/>
              </w:numPr>
              <w:rPr>
                <w:szCs w:val="22"/>
              </w:rPr>
            </w:pPr>
          </w:p>
        </w:tc>
        <w:tc>
          <w:tcPr>
            <w:tcW w:w="8505" w:type="dxa"/>
          </w:tcPr>
          <w:p w14:paraId="7448CFA4" w14:textId="77777777" w:rsidR="005873B1" w:rsidRDefault="002C3F9B" w:rsidP="002C3F9B">
            <w:pPr>
              <w:rPr>
                <w:b/>
                <w:szCs w:val="22"/>
              </w:rPr>
            </w:pPr>
            <w:r w:rsidRPr="002C3F9B">
              <w:rPr>
                <w:b/>
                <w:szCs w:val="22"/>
              </w:rPr>
              <w:t>Question 4.3</w:t>
            </w:r>
            <w:r w:rsidR="005873B1">
              <w:rPr>
                <w:b/>
                <w:szCs w:val="22"/>
              </w:rPr>
              <w:t xml:space="preserve"> Regular Review of Compliance Model</w:t>
            </w:r>
          </w:p>
          <w:p w14:paraId="03DD00F3" w14:textId="352598C2" w:rsidR="002C3F9B" w:rsidRPr="002C3F9B" w:rsidRDefault="002C3F9B" w:rsidP="002C3F9B">
            <w:pPr>
              <w:rPr>
                <w:b/>
                <w:szCs w:val="22"/>
              </w:rPr>
            </w:pPr>
            <w:r w:rsidRPr="002C3F9B">
              <w:rPr>
                <w:b/>
                <w:szCs w:val="22"/>
              </w:rPr>
              <w:t xml:space="preserve">Do you agree this would be a proportionate response to occasional lateness that lasted just a short time?    </w:t>
            </w:r>
          </w:p>
          <w:p w14:paraId="32AC8AAD" w14:textId="6C46BE82" w:rsidR="004D2530" w:rsidRPr="003A03F9" w:rsidRDefault="004D2530" w:rsidP="002C3F9B">
            <w:pPr>
              <w:rPr>
                <w:szCs w:val="22"/>
              </w:rPr>
            </w:pPr>
          </w:p>
        </w:tc>
      </w:tr>
      <w:tr w:rsidR="004D2530" w:rsidRPr="003A03F9" w14:paraId="7CAEB42D" w14:textId="77777777" w:rsidTr="00F17B89">
        <w:tc>
          <w:tcPr>
            <w:tcW w:w="567" w:type="dxa"/>
          </w:tcPr>
          <w:p w14:paraId="5907501C" w14:textId="77777777" w:rsidR="004D2530" w:rsidRPr="003A03F9" w:rsidRDefault="004D2530" w:rsidP="004D2530">
            <w:pPr>
              <w:numPr>
                <w:ilvl w:val="1"/>
                <w:numId w:val="6"/>
              </w:numPr>
              <w:rPr>
                <w:szCs w:val="22"/>
              </w:rPr>
            </w:pPr>
          </w:p>
        </w:tc>
        <w:tc>
          <w:tcPr>
            <w:tcW w:w="8505" w:type="dxa"/>
          </w:tcPr>
          <w:p w14:paraId="08993617" w14:textId="57B6F244" w:rsidR="004D2530" w:rsidRPr="003A03F9" w:rsidRDefault="00923E57" w:rsidP="004D2530">
            <w:pPr>
              <w:rPr>
                <w:szCs w:val="22"/>
              </w:rPr>
            </w:pPr>
            <w:r>
              <w:rPr>
                <w:szCs w:val="22"/>
              </w:rPr>
              <w:t>Yes.</w:t>
            </w:r>
          </w:p>
          <w:p w14:paraId="78BCC3C1" w14:textId="77777777" w:rsidR="004D2530" w:rsidRPr="003A03F9" w:rsidRDefault="004D2530" w:rsidP="004D2530">
            <w:pPr>
              <w:rPr>
                <w:szCs w:val="22"/>
              </w:rPr>
            </w:pPr>
          </w:p>
        </w:tc>
      </w:tr>
    </w:tbl>
    <w:p w14:paraId="1083C118" w14:textId="77777777" w:rsidR="001A1722" w:rsidRDefault="001A1722">
      <w:pPr>
        <w:rPr>
          <w:szCs w:val="22"/>
        </w:rPr>
      </w:pPr>
    </w:p>
    <w:p w14:paraId="65359BF4" w14:textId="77777777" w:rsidR="005E6985" w:rsidRDefault="005E6985">
      <w:pPr>
        <w:rPr>
          <w:szCs w:val="22"/>
        </w:rPr>
      </w:pPr>
    </w:p>
    <w:tbl>
      <w:tblPr>
        <w:tblW w:w="9072" w:type="dxa"/>
        <w:tblLook w:val="0000" w:firstRow="0" w:lastRow="0" w:firstColumn="0" w:lastColumn="0" w:noHBand="0" w:noVBand="0"/>
      </w:tblPr>
      <w:tblGrid>
        <w:gridCol w:w="567"/>
        <w:gridCol w:w="8505"/>
      </w:tblGrid>
      <w:tr w:rsidR="00C05E04" w:rsidRPr="00C05E04" w14:paraId="7A3A5D07" w14:textId="77777777" w:rsidTr="00F17B89">
        <w:tc>
          <w:tcPr>
            <w:tcW w:w="567" w:type="dxa"/>
          </w:tcPr>
          <w:p w14:paraId="29937C74" w14:textId="77777777" w:rsidR="00C05E04" w:rsidRPr="00C05E04" w:rsidRDefault="00C05E04" w:rsidP="00C05E04">
            <w:pPr>
              <w:numPr>
                <w:ilvl w:val="0"/>
                <w:numId w:val="6"/>
              </w:numPr>
              <w:rPr>
                <w:szCs w:val="22"/>
              </w:rPr>
            </w:pPr>
          </w:p>
        </w:tc>
        <w:tc>
          <w:tcPr>
            <w:tcW w:w="8505" w:type="dxa"/>
          </w:tcPr>
          <w:p w14:paraId="173F4B9E" w14:textId="77777777" w:rsidR="005873B1" w:rsidRDefault="002C3F9B" w:rsidP="002C3F9B">
            <w:pPr>
              <w:rPr>
                <w:b/>
                <w:szCs w:val="22"/>
              </w:rPr>
            </w:pPr>
            <w:r w:rsidRPr="002C3F9B">
              <w:rPr>
                <w:b/>
                <w:szCs w:val="22"/>
              </w:rPr>
              <w:t xml:space="preserve">Question 4.4 </w:t>
            </w:r>
            <w:r w:rsidR="005873B1">
              <w:rPr>
                <w:b/>
                <w:szCs w:val="22"/>
              </w:rPr>
              <w:t>Regular Review of Compliance Model</w:t>
            </w:r>
            <w:r w:rsidR="005873B1" w:rsidRPr="002C3F9B">
              <w:rPr>
                <w:b/>
                <w:szCs w:val="22"/>
              </w:rPr>
              <w:t xml:space="preserve"> </w:t>
            </w:r>
          </w:p>
          <w:p w14:paraId="71078027" w14:textId="72449AC7" w:rsidR="002C3F9B" w:rsidRPr="002C3F9B" w:rsidRDefault="002C3F9B" w:rsidP="002C3F9B">
            <w:pPr>
              <w:rPr>
                <w:b/>
                <w:szCs w:val="22"/>
              </w:rPr>
            </w:pPr>
            <w:r w:rsidRPr="002C3F9B">
              <w:rPr>
                <w:b/>
                <w:szCs w:val="22"/>
              </w:rPr>
              <w:t xml:space="preserve">Could any changes be made to the regular review of compliance model to make it fairer, simpler or more effective?   </w:t>
            </w:r>
          </w:p>
          <w:p w14:paraId="1A1A339A" w14:textId="6B164142" w:rsidR="00C05E04" w:rsidRPr="00C05E04" w:rsidRDefault="00C05E04" w:rsidP="002C3F9B">
            <w:pPr>
              <w:pStyle w:val="Default"/>
              <w:jc w:val="both"/>
              <w:rPr>
                <w:szCs w:val="22"/>
              </w:rPr>
            </w:pPr>
          </w:p>
        </w:tc>
      </w:tr>
      <w:tr w:rsidR="00C05E04" w:rsidRPr="00C05E04" w14:paraId="7CBD1B1E" w14:textId="77777777" w:rsidTr="00F17B89">
        <w:tc>
          <w:tcPr>
            <w:tcW w:w="567" w:type="dxa"/>
          </w:tcPr>
          <w:p w14:paraId="2C0FDDB0" w14:textId="77777777" w:rsidR="00C05E04" w:rsidRPr="00C05E04" w:rsidRDefault="00C05E04" w:rsidP="00C05E04">
            <w:pPr>
              <w:numPr>
                <w:ilvl w:val="1"/>
                <w:numId w:val="6"/>
              </w:numPr>
              <w:rPr>
                <w:szCs w:val="22"/>
              </w:rPr>
            </w:pPr>
          </w:p>
        </w:tc>
        <w:tc>
          <w:tcPr>
            <w:tcW w:w="8505" w:type="dxa"/>
          </w:tcPr>
          <w:p w14:paraId="54ACC458" w14:textId="77777777" w:rsidR="00C05E04" w:rsidRDefault="007D1EB4" w:rsidP="00816F66">
            <w:pPr>
              <w:rPr>
                <w:szCs w:val="22"/>
              </w:rPr>
            </w:pPr>
            <w:r>
              <w:rPr>
                <w:szCs w:val="22"/>
              </w:rPr>
              <w:t xml:space="preserve">The term ‘regular review of compliance’ sounds very much like existing terminology that is used to describe formal tax enquiries and compliance checks, so we would suggest that if this model is selected it is given a different name to avoid </w:t>
            </w:r>
            <w:r w:rsidR="00816F66">
              <w:rPr>
                <w:szCs w:val="22"/>
              </w:rPr>
              <w:t>misunderstandings.</w:t>
            </w:r>
          </w:p>
          <w:p w14:paraId="77B8846C" w14:textId="4E6E5C86" w:rsidR="005E6985" w:rsidRPr="00C05E04" w:rsidRDefault="005E6985" w:rsidP="00816F66">
            <w:pPr>
              <w:rPr>
                <w:szCs w:val="22"/>
              </w:rPr>
            </w:pPr>
          </w:p>
        </w:tc>
      </w:tr>
    </w:tbl>
    <w:p w14:paraId="2729E6AC" w14:textId="77777777" w:rsidR="00C05E04" w:rsidRDefault="00C05E04">
      <w:pPr>
        <w:rPr>
          <w:szCs w:val="22"/>
        </w:rPr>
      </w:pPr>
    </w:p>
    <w:p w14:paraId="0D831ED1" w14:textId="77777777" w:rsidR="001A1722" w:rsidRDefault="001A1722">
      <w:pPr>
        <w:rPr>
          <w:szCs w:val="22"/>
        </w:rPr>
      </w:pPr>
    </w:p>
    <w:tbl>
      <w:tblPr>
        <w:tblW w:w="9072" w:type="dxa"/>
        <w:tblLook w:val="0000" w:firstRow="0" w:lastRow="0" w:firstColumn="0" w:lastColumn="0" w:noHBand="0" w:noVBand="0"/>
      </w:tblPr>
      <w:tblGrid>
        <w:gridCol w:w="567"/>
        <w:gridCol w:w="8505"/>
      </w:tblGrid>
      <w:tr w:rsidR="00C05E04" w:rsidRPr="00C05E04" w14:paraId="7DA22165" w14:textId="77777777" w:rsidTr="001755E2">
        <w:tc>
          <w:tcPr>
            <w:tcW w:w="567" w:type="dxa"/>
          </w:tcPr>
          <w:p w14:paraId="7A41F297" w14:textId="77777777" w:rsidR="00C05E04" w:rsidRPr="00C05E04" w:rsidRDefault="00C05E04" w:rsidP="00C05E04">
            <w:pPr>
              <w:numPr>
                <w:ilvl w:val="0"/>
                <w:numId w:val="6"/>
              </w:numPr>
              <w:rPr>
                <w:szCs w:val="22"/>
              </w:rPr>
            </w:pPr>
          </w:p>
        </w:tc>
        <w:tc>
          <w:tcPr>
            <w:tcW w:w="8505" w:type="dxa"/>
          </w:tcPr>
          <w:p w14:paraId="3CF186D4" w14:textId="7C9D6D43" w:rsidR="005873B1" w:rsidRDefault="002C3F9B" w:rsidP="002C3F9B">
            <w:pPr>
              <w:rPr>
                <w:b/>
                <w:szCs w:val="22"/>
              </w:rPr>
            </w:pPr>
            <w:r w:rsidRPr="002C3F9B">
              <w:rPr>
                <w:b/>
                <w:szCs w:val="22"/>
              </w:rPr>
              <w:t xml:space="preserve">Question 5.1 </w:t>
            </w:r>
            <w:r w:rsidR="005873B1">
              <w:rPr>
                <w:b/>
                <w:szCs w:val="22"/>
              </w:rPr>
              <w:t>Suspension Model</w:t>
            </w:r>
          </w:p>
          <w:p w14:paraId="08C01211" w14:textId="77777777" w:rsidR="007A204B" w:rsidRDefault="002C3F9B" w:rsidP="002C3F9B">
            <w:pPr>
              <w:rPr>
                <w:b/>
                <w:szCs w:val="22"/>
              </w:rPr>
            </w:pPr>
            <w:r w:rsidRPr="002C3F9B">
              <w:rPr>
                <w:b/>
                <w:szCs w:val="22"/>
              </w:rPr>
              <w:t xml:space="preserve">Do you agree that improved compliance should be recognised? </w:t>
            </w:r>
          </w:p>
          <w:p w14:paraId="4FD27557" w14:textId="4B81B951" w:rsidR="002C3F9B" w:rsidRPr="002C3F9B" w:rsidRDefault="002C3F9B" w:rsidP="002C3F9B">
            <w:pPr>
              <w:rPr>
                <w:b/>
                <w:szCs w:val="22"/>
              </w:rPr>
            </w:pPr>
            <w:r w:rsidRPr="002C3F9B">
              <w:rPr>
                <w:b/>
                <w:szCs w:val="22"/>
              </w:rPr>
              <w:t xml:space="preserve">Is there a better alternative for recognising it?      </w:t>
            </w:r>
          </w:p>
          <w:p w14:paraId="4F0493AD" w14:textId="6B47DADA" w:rsidR="00C05E04" w:rsidRPr="00C05E04" w:rsidRDefault="00C05E04" w:rsidP="002C3F9B">
            <w:pPr>
              <w:rPr>
                <w:szCs w:val="22"/>
              </w:rPr>
            </w:pPr>
          </w:p>
        </w:tc>
      </w:tr>
      <w:tr w:rsidR="00C05E04" w:rsidRPr="00C05E04" w14:paraId="493BFE86" w14:textId="77777777" w:rsidTr="001755E2">
        <w:tc>
          <w:tcPr>
            <w:tcW w:w="567" w:type="dxa"/>
          </w:tcPr>
          <w:p w14:paraId="4FE81FD1" w14:textId="18CE4F2E" w:rsidR="00C05E04" w:rsidRPr="00C05E04" w:rsidRDefault="00C05E04" w:rsidP="00C05E04">
            <w:pPr>
              <w:numPr>
                <w:ilvl w:val="1"/>
                <w:numId w:val="6"/>
              </w:numPr>
              <w:rPr>
                <w:szCs w:val="22"/>
              </w:rPr>
            </w:pPr>
          </w:p>
        </w:tc>
        <w:tc>
          <w:tcPr>
            <w:tcW w:w="8505" w:type="dxa"/>
          </w:tcPr>
          <w:p w14:paraId="204B713A" w14:textId="15461304" w:rsidR="00C05E04" w:rsidRDefault="00923E57" w:rsidP="00C05E04">
            <w:pPr>
              <w:rPr>
                <w:szCs w:val="22"/>
              </w:rPr>
            </w:pPr>
            <w:r>
              <w:rPr>
                <w:szCs w:val="22"/>
              </w:rPr>
              <w:t>Yes</w:t>
            </w:r>
            <w:r w:rsidR="00DB36DD">
              <w:rPr>
                <w:szCs w:val="22"/>
              </w:rPr>
              <w:t>, we like the suspension model</w:t>
            </w:r>
            <w:r w:rsidR="00931F7C">
              <w:rPr>
                <w:szCs w:val="22"/>
              </w:rPr>
              <w:t xml:space="preserve"> for that very reason</w:t>
            </w:r>
            <w:r w:rsidR="00C76BFB">
              <w:rPr>
                <w:szCs w:val="22"/>
              </w:rPr>
              <w:t xml:space="preserve">, </w:t>
            </w:r>
            <w:r w:rsidR="00C76BFB" w:rsidRPr="00C76BFB">
              <w:rPr>
                <w:szCs w:val="22"/>
              </w:rPr>
              <w:t>that improved compliance is recognised</w:t>
            </w:r>
            <w:r w:rsidR="005E6985">
              <w:rPr>
                <w:szCs w:val="22"/>
              </w:rPr>
              <w:t xml:space="preserve">. </w:t>
            </w:r>
            <w:r w:rsidR="007A204B">
              <w:rPr>
                <w:szCs w:val="22"/>
              </w:rPr>
              <w:t xml:space="preserve">The automatic setting of conditions </w:t>
            </w:r>
            <w:r w:rsidR="00931F7C">
              <w:rPr>
                <w:szCs w:val="22"/>
              </w:rPr>
              <w:t xml:space="preserve">should </w:t>
            </w:r>
            <w:r w:rsidR="00DB36DD">
              <w:rPr>
                <w:szCs w:val="22"/>
              </w:rPr>
              <w:t>positively encourag</w:t>
            </w:r>
            <w:r w:rsidR="007A204B">
              <w:rPr>
                <w:szCs w:val="22"/>
              </w:rPr>
              <w:t xml:space="preserve">e and recognise compliance and prevent </w:t>
            </w:r>
            <w:r w:rsidR="00ED06A9">
              <w:rPr>
                <w:szCs w:val="22"/>
              </w:rPr>
              <w:t xml:space="preserve">and penalise </w:t>
            </w:r>
            <w:r w:rsidR="007A204B">
              <w:rPr>
                <w:szCs w:val="22"/>
              </w:rPr>
              <w:t>non-compliance (principle 1)</w:t>
            </w:r>
            <w:r w:rsidR="00DB36DD">
              <w:rPr>
                <w:szCs w:val="22"/>
              </w:rPr>
              <w:t xml:space="preserve">. </w:t>
            </w:r>
          </w:p>
          <w:p w14:paraId="17198625" w14:textId="1D1A9824" w:rsidR="00DB36DD" w:rsidRPr="00C05E04" w:rsidRDefault="00DB36DD" w:rsidP="00C05E04">
            <w:pPr>
              <w:rPr>
                <w:szCs w:val="22"/>
              </w:rPr>
            </w:pPr>
          </w:p>
        </w:tc>
      </w:tr>
      <w:tr w:rsidR="00C05E04" w:rsidRPr="00C05E04" w14:paraId="3718FB45" w14:textId="77777777" w:rsidTr="001755E2">
        <w:tc>
          <w:tcPr>
            <w:tcW w:w="567" w:type="dxa"/>
          </w:tcPr>
          <w:p w14:paraId="1DA046A7" w14:textId="77777777" w:rsidR="00C05E04" w:rsidRPr="00C05E04" w:rsidRDefault="00C05E04" w:rsidP="00C05E04">
            <w:pPr>
              <w:numPr>
                <w:ilvl w:val="1"/>
                <w:numId w:val="6"/>
              </w:numPr>
              <w:rPr>
                <w:szCs w:val="22"/>
              </w:rPr>
            </w:pPr>
          </w:p>
        </w:tc>
        <w:tc>
          <w:tcPr>
            <w:tcW w:w="8505" w:type="dxa"/>
          </w:tcPr>
          <w:p w14:paraId="28C344B1" w14:textId="041CD15D" w:rsidR="00C05E04" w:rsidRPr="00C05E04" w:rsidRDefault="00DB36DD" w:rsidP="00C05E04">
            <w:pPr>
              <w:rPr>
                <w:szCs w:val="22"/>
              </w:rPr>
            </w:pPr>
            <w:r>
              <w:rPr>
                <w:szCs w:val="22"/>
              </w:rPr>
              <w:t xml:space="preserve">We agree that the model must operate automatically and </w:t>
            </w:r>
            <w:r w:rsidR="000114E5">
              <w:rPr>
                <w:szCs w:val="22"/>
              </w:rPr>
              <w:t>reliably</w:t>
            </w:r>
            <w:r>
              <w:rPr>
                <w:szCs w:val="22"/>
              </w:rPr>
              <w:t xml:space="preserve">, so that </w:t>
            </w:r>
            <w:r w:rsidR="000114E5">
              <w:rPr>
                <w:szCs w:val="22"/>
              </w:rPr>
              <w:t xml:space="preserve">(as is illustrated in Fig 5.1) </w:t>
            </w:r>
            <w:r>
              <w:rPr>
                <w:szCs w:val="22"/>
              </w:rPr>
              <w:t xml:space="preserve">a </w:t>
            </w:r>
            <w:r w:rsidR="000114E5">
              <w:rPr>
                <w:szCs w:val="22"/>
              </w:rPr>
              <w:t xml:space="preserve">first and second </w:t>
            </w:r>
            <w:r>
              <w:rPr>
                <w:szCs w:val="22"/>
              </w:rPr>
              <w:t>failure</w:t>
            </w:r>
            <w:r w:rsidR="00ED06A9">
              <w:rPr>
                <w:szCs w:val="22"/>
              </w:rPr>
              <w:t xml:space="preserve"> (for example)</w:t>
            </w:r>
            <w:r>
              <w:rPr>
                <w:szCs w:val="22"/>
              </w:rPr>
              <w:t xml:space="preserve"> will </w:t>
            </w:r>
            <w:r w:rsidR="000114E5">
              <w:rPr>
                <w:szCs w:val="22"/>
              </w:rPr>
              <w:t xml:space="preserve">always </w:t>
            </w:r>
            <w:r>
              <w:rPr>
                <w:szCs w:val="22"/>
              </w:rPr>
              <w:t xml:space="preserve">receive an automatic suspension with consistent </w:t>
            </w:r>
            <w:r w:rsidR="00C76BFB">
              <w:rPr>
                <w:szCs w:val="22"/>
              </w:rPr>
              <w:t xml:space="preserve">automatic </w:t>
            </w:r>
            <w:r>
              <w:rPr>
                <w:szCs w:val="22"/>
              </w:rPr>
              <w:t>conditions</w:t>
            </w:r>
            <w:r w:rsidR="00617CC0">
              <w:rPr>
                <w:szCs w:val="22"/>
              </w:rPr>
              <w:t xml:space="preserve"> (principle 5)</w:t>
            </w:r>
            <w:r w:rsidR="005E6985">
              <w:rPr>
                <w:szCs w:val="22"/>
              </w:rPr>
              <w:t xml:space="preserve">. </w:t>
            </w:r>
            <w:r>
              <w:rPr>
                <w:szCs w:val="22"/>
              </w:rPr>
              <w:t xml:space="preserve">This is easy to understand and provides certainty for taxpayers, so they will know </w:t>
            </w:r>
            <w:r w:rsidR="00C76BFB">
              <w:rPr>
                <w:szCs w:val="22"/>
              </w:rPr>
              <w:t xml:space="preserve">and </w:t>
            </w:r>
            <w:r w:rsidR="00F92A18">
              <w:rPr>
                <w:szCs w:val="22"/>
              </w:rPr>
              <w:t>understand the consequences of non-compliance</w:t>
            </w:r>
            <w:r>
              <w:rPr>
                <w:szCs w:val="22"/>
              </w:rPr>
              <w:t>.</w:t>
            </w:r>
          </w:p>
          <w:p w14:paraId="662F13D7" w14:textId="77777777" w:rsidR="00C05E04" w:rsidRPr="00C05E04" w:rsidRDefault="00C05E04" w:rsidP="00C05E04">
            <w:pPr>
              <w:rPr>
                <w:szCs w:val="22"/>
              </w:rPr>
            </w:pPr>
          </w:p>
        </w:tc>
      </w:tr>
      <w:tr w:rsidR="00617CC0" w:rsidRPr="00C05E04" w14:paraId="459714EB" w14:textId="77777777" w:rsidTr="001755E2">
        <w:tc>
          <w:tcPr>
            <w:tcW w:w="567" w:type="dxa"/>
          </w:tcPr>
          <w:p w14:paraId="67DE0C58" w14:textId="77777777" w:rsidR="00617CC0" w:rsidRPr="00C05E04" w:rsidRDefault="00617CC0" w:rsidP="00C05E04">
            <w:pPr>
              <w:numPr>
                <w:ilvl w:val="1"/>
                <w:numId w:val="6"/>
              </w:numPr>
              <w:rPr>
                <w:szCs w:val="22"/>
              </w:rPr>
            </w:pPr>
          </w:p>
        </w:tc>
        <w:tc>
          <w:tcPr>
            <w:tcW w:w="8505" w:type="dxa"/>
          </w:tcPr>
          <w:p w14:paraId="54B330EB" w14:textId="695CF90A" w:rsidR="00873AF9" w:rsidRDefault="00617CC0" w:rsidP="00617CC0">
            <w:r w:rsidRPr="00617CC0">
              <w:rPr>
                <w:rFonts w:eastAsia="Calibri"/>
                <w:szCs w:val="22"/>
              </w:rPr>
              <w:t>One of the main issues will be the length of the ‘specified time’ in which to subm</w:t>
            </w:r>
            <w:r>
              <w:rPr>
                <w:rFonts w:eastAsia="Calibri"/>
                <w:szCs w:val="22"/>
              </w:rPr>
              <w:t xml:space="preserve">it the outstanding submission </w:t>
            </w:r>
            <w:r w:rsidRPr="00617CC0">
              <w:rPr>
                <w:rFonts w:eastAsia="Calibri"/>
                <w:szCs w:val="22"/>
              </w:rPr>
              <w:t>and whether that length of time is adequate.</w:t>
            </w:r>
            <w:r w:rsidR="00873AF9">
              <w:t xml:space="preserve"> It should be viewed from the taxpayer’s perspective so that when they receive the notification there is still sufficient time in which to comply</w:t>
            </w:r>
            <w:r w:rsidR="00873AF9">
              <w:rPr>
                <w:rFonts w:eastAsia="Calibri"/>
                <w:szCs w:val="22"/>
              </w:rPr>
              <w:t>.</w:t>
            </w:r>
            <w:r w:rsidR="00ED06A9">
              <w:t xml:space="preserve"> How the message is worded and presented is therefore going to be a key part of HMRC’s communications strategy in order that the taxpayer will know that they only have a certain period of time to take action.</w:t>
            </w:r>
            <w:r>
              <w:rPr>
                <w:rFonts w:eastAsia="Calibri"/>
                <w:szCs w:val="22"/>
              </w:rPr>
              <w:t xml:space="preserve"> </w:t>
            </w:r>
            <w:r w:rsidR="00873AF9">
              <w:t xml:space="preserve">We recommend that when a person first subscribes to MTD they are provided with various types of guidance, one element of which might be details of the penalty </w:t>
            </w:r>
            <w:r w:rsidR="00873AF9">
              <w:lastRenderedPageBreak/>
              <w:t>regime so they can familiarise themselves with their obligations.</w:t>
            </w:r>
          </w:p>
          <w:p w14:paraId="4C8C8354" w14:textId="77777777" w:rsidR="00617CC0" w:rsidRDefault="00617CC0" w:rsidP="00873AF9">
            <w:pPr>
              <w:rPr>
                <w:szCs w:val="22"/>
              </w:rPr>
            </w:pPr>
          </w:p>
        </w:tc>
      </w:tr>
      <w:tr w:rsidR="00C05E04" w:rsidRPr="00C05E04" w14:paraId="3C9AFEB5" w14:textId="77777777" w:rsidTr="001755E2">
        <w:tc>
          <w:tcPr>
            <w:tcW w:w="567" w:type="dxa"/>
          </w:tcPr>
          <w:p w14:paraId="546C4993" w14:textId="77777777" w:rsidR="00C05E04" w:rsidRPr="00C05E04" w:rsidRDefault="00C05E04" w:rsidP="00C05E04">
            <w:pPr>
              <w:numPr>
                <w:ilvl w:val="1"/>
                <w:numId w:val="6"/>
              </w:numPr>
              <w:rPr>
                <w:szCs w:val="22"/>
              </w:rPr>
            </w:pPr>
          </w:p>
        </w:tc>
        <w:tc>
          <w:tcPr>
            <w:tcW w:w="8505" w:type="dxa"/>
          </w:tcPr>
          <w:p w14:paraId="594F7F7E" w14:textId="56C3B8F1" w:rsidR="00C05E04" w:rsidRPr="00C05E04" w:rsidRDefault="000114E5" w:rsidP="00C05E04">
            <w:pPr>
              <w:rPr>
                <w:szCs w:val="22"/>
              </w:rPr>
            </w:pPr>
            <w:r>
              <w:rPr>
                <w:szCs w:val="22"/>
              </w:rPr>
              <w:t>An automatic and consistent suspension model will presumably be relatively easy for HMRC to administer digitally. There is no need</w:t>
            </w:r>
            <w:r w:rsidR="00F407FA">
              <w:rPr>
                <w:szCs w:val="22"/>
              </w:rPr>
              <w:t xml:space="preserve"> for either HMRC or the taxpayer</w:t>
            </w:r>
            <w:r>
              <w:rPr>
                <w:szCs w:val="22"/>
              </w:rPr>
              <w:t xml:space="preserve"> to keep track of ‘points’</w:t>
            </w:r>
            <w:r w:rsidR="005E6985">
              <w:rPr>
                <w:szCs w:val="22"/>
              </w:rPr>
              <w:t xml:space="preserve">. </w:t>
            </w:r>
          </w:p>
          <w:p w14:paraId="59DADE9C" w14:textId="77777777" w:rsidR="00C05E04" w:rsidRPr="00C05E04" w:rsidRDefault="00C05E04" w:rsidP="00C05E04">
            <w:pPr>
              <w:rPr>
                <w:szCs w:val="22"/>
              </w:rPr>
            </w:pPr>
          </w:p>
        </w:tc>
      </w:tr>
      <w:tr w:rsidR="00B61A5E" w:rsidRPr="00C05E04" w14:paraId="2FBD16EB" w14:textId="77777777" w:rsidTr="001755E2">
        <w:tc>
          <w:tcPr>
            <w:tcW w:w="567" w:type="dxa"/>
          </w:tcPr>
          <w:p w14:paraId="06831593" w14:textId="77777777" w:rsidR="00B61A5E" w:rsidRPr="00C05E04" w:rsidRDefault="00B61A5E" w:rsidP="00C05E04">
            <w:pPr>
              <w:numPr>
                <w:ilvl w:val="1"/>
                <w:numId w:val="6"/>
              </w:numPr>
              <w:rPr>
                <w:szCs w:val="22"/>
              </w:rPr>
            </w:pPr>
          </w:p>
        </w:tc>
        <w:tc>
          <w:tcPr>
            <w:tcW w:w="8505" w:type="dxa"/>
          </w:tcPr>
          <w:p w14:paraId="7FE3A3DC" w14:textId="2B4610A2" w:rsidR="00CF1E61" w:rsidRDefault="00B61A5E" w:rsidP="00C05E04">
            <w:pPr>
              <w:rPr>
                <w:szCs w:val="22"/>
              </w:rPr>
            </w:pPr>
            <w:r>
              <w:rPr>
                <w:szCs w:val="22"/>
              </w:rPr>
              <w:t>However, the suspension model</w:t>
            </w:r>
            <w:r w:rsidR="00CF1E61">
              <w:rPr>
                <w:szCs w:val="22"/>
              </w:rPr>
              <w:t xml:space="preserve"> portrayed in the consultation document</w:t>
            </w:r>
            <w:r>
              <w:rPr>
                <w:szCs w:val="22"/>
              </w:rPr>
              <w:t xml:space="preserve"> is in some respects harsher than the points model in that the taxpayer will receive a penalty as soon as they fail</w:t>
            </w:r>
            <w:r w:rsidR="00ED06A9">
              <w:rPr>
                <w:szCs w:val="22"/>
              </w:rPr>
              <w:t xml:space="preserve"> to</w:t>
            </w:r>
            <w:r>
              <w:rPr>
                <w:szCs w:val="22"/>
              </w:rPr>
              <w:t xml:space="preserve"> meet the suspension condition (albeit that the conditions set will have provided further time to comply); there is no flexibility in the illustration in Fig 5.1 to allow a couple of defaults before charging the penalty unlike with the points model</w:t>
            </w:r>
            <w:r w:rsidR="00C76BFB">
              <w:rPr>
                <w:szCs w:val="22"/>
              </w:rPr>
              <w:t xml:space="preserve"> – we think this should be changed</w:t>
            </w:r>
            <w:r w:rsidR="005E6985">
              <w:rPr>
                <w:szCs w:val="22"/>
              </w:rPr>
              <w:t xml:space="preserve">. </w:t>
            </w:r>
            <w:r w:rsidR="00CF1E61">
              <w:rPr>
                <w:szCs w:val="22"/>
              </w:rPr>
              <w:t xml:space="preserve">As mentioned above, we have tried to devise a </w:t>
            </w:r>
            <w:r w:rsidR="00F92A18">
              <w:rPr>
                <w:szCs w:val="22"/>
              </w:rPr>
              <w:t xml:space="preserve">fair </w:t>
            </w:r>
            <w:r w:rsidR="00CF1E61">
              <w:rPr>
                <w:szCs w:val="22"/>
              </w:rPr>
              <w:t>suspension model</w:t>
            </w:r>
            <w:r w:rsidR="00C76BFB">
              <w:rPr>
                <w:szCs w:val="22"/>
              </w:rPr>
              <w:t>,</w:t>
            </w:r>
            <w:r w:rsidR="00CF1E61">
              <w:rPr>
                <w:szCs w:val="22"/>
              </w:rPr>
              <w:t xml:space="preserve"> which allows for additional suspension opportunities (see attached spreadsheet</w:t>
            </w:r>
            <w:r w:rsidR="0081019C">
              <w:rPr>
                <w:szCs w:val="22"/>
              </w:rPr>
              <w:t>s</w:t>
            </w:r>
            <w:r w:rsidR="00CF1E61">
              <w:rPr>
                <w:szCs w:val="22"/>
              </w:rPr>
              <w:t xml:space="preserve"> and flowcharts).</w:t>
            </w:r>
          </w:p>
          <w:p w14:paraId="6DDF6F48" w14:textId="60F7B16D" w:rsidR="00B61A5E" w:rsidRDefault="00B61A5E" w:rsidP="00CF1E61">
            <w:pPr>
              <w:rPr>
                <w:szCs w:val="22"/>
              </w:rPr>
            </w:pPr>
          </w:p>
        </w:tc>
      </w:tr>
      <w:tr w:rsidR="00CF1E61" w:rsidRPr="00C05E04" w14:paraId="11B14277" w14:textId="77777777" w:rsidTr="001755E2">
        <w:tc>
          <w:tcPr>
            <w:tcW w:w="567" w:type="dxa"/>
          </w:tcPr>
          <w:p w14:paraId="5D8F45F5" w14:textId="5B1224EF" w:rsidR="00CF1E61" w:rsidRPr="00C05E04" w:rsidRDefault="00CF1E61" w:rsidP="00C05E04">
            <w:pPr>
              <w:numPr>
                <w:ilvl w:val="1"/>
                <w:numId w:val="6"/>
              </w:numPr>
              <w:rPr>
                <w:szCs w:val="22"/>
              </w:rPr>
            </w:pPr>
          </w:p>
        </w:tc>
        <w:tc>
          <w:tcPr>
            <w:tcW w:w="8505" w:type="dxa"/>
          </w:tcPr>
          <w:p w14:paraId="257F5E30" w14:textId="1D229464" w:rsidR="00CF1E61" w:rsidRPr="00CF1E61" w:rsidRDefault="00CF1E61" w:rsidP="00CF1E61">
            <w:pPr>
              <w:pStyle w:val="CommentText"/>
              <w:rPr>
                <w:sz w:val="22"/>
              </w:rPr>
            </w:pPr>
            <w:r>
              <w:rPr>
                <w:sz w:val="22"/>
              </w:rPr>
              <w:t>Another possibility would be to allow</w:t>
            </w:r>
            <w:r w:rsidRPr="00CF1E61">
              <w:rPr>
                <w:sz w:val="22"/>
              </w:rPr>
              <w:t xml:space="preserve"> the smallest (to be defined) businesses an additional suspension opportunity</w:t>
            </w:r>
            <w:r w:rsidR="00F92A18">
              <w:rPr>
                <w:sz w:val="22"/>
              </w:rPr>
              <w:t>, before</w:t>
            </w:r>
            <w:r w:rsidRPr="00CF1E61">
              <w:rPr>
                <w:sz w:val="22"/>
              </w:rPr>
              <w:t xml:space="preserve"> </w:t>
            </w:r>
            <w:r w:rsidR="00F92A18">
              <w:rPr>
                <w:sz w:val="22"/>
              </w:rPr>
              <w:t>they enter</w:t>
            </w:r>
            <w:r w:rsidR="00B85964">
              <w:rPr>
                <w:sz w:val="22"/>
              </w:rPr>
              <w:t xml:space="preserve"> </w:t>
            </w:r>
            <w:r w:rsidRPr="00CF1E61">
              <w:rPr>
                <w:sz w:val="22"/>
              </w:rPr>
              <w:t>the ‘probation’ period, rather like what happens now with the VAT default surcharge</w:t>
            </w:r>
            <w:r w:rsidR="005E6985">
              <w:rPr>
                <w:sz w:val="22"/>
              </w:rPr>
              <w:t xml:space="preserve">. </w:t>
            </w:r>
          </w:p>
          <w:p w14:paraId="5C7BBA91" w14:textId="77777777" w:rsidR="00CF1E61" w:rsidRDefault="00CF1E61" w:rsidP="00C05E04">
            <w:pPr>
              <w:rPr>
                <w:szCs w:val="22"/>
              </w:rPr>
            </w:pPr>
          </w:p>
        </w:tc>
      </w:tr>
      <w:tr w:rsidR="000114E5" w:rsidRPr="00C05E04" w14:paraId="2687388F" w14:textId="77777777" w:rsidTr="005E6985">
        <w:tc>
          <w:tcPr>
            <w:tcW w:w="567" w:type="dxa"/>
          </w:tcPr>
          <w:p w14:paraId="77FFC0DF" w14:textId="77777777" w:rsidR="000114E5" w:rsidRPr="00C05E04" w:rsidRDefault="000114E5" w:rsidP="00C05E04">
            <w:pPr>
              <w:numPr>
                <w:ilvl w:val="1"/>
                <w:numId w:val="6"/>
              </w:numPr>
              <w:rPr>
                <w:szCs w:val="22"/>
              </w:rPr>
            </w:pPr>
          </w:p>
        </w:tc>
        <w:tc>
          <w:tcPr>
            <w:tcW w:w="8505" w:type="dxa"/>
          </w:tcPr>
          <w:p w14:paraId="710F6067" w14:textId="65592397" w:rsidR="004E59E1" w:rsidRDefault="00AF0960" w:rsidP="00AF0960">
            <w:pPr>
              <w:rPr>
                <w:szCs w:val="22"/>
              </w:rPr>
            </w:pPr>
            <w:r>
              <w:rPr>
                <w:szCs w:val="22"/>
              </w:rPr>
              <w:t>The suspension model</w:t>
            </w:r>
            <w:r w:rsidR="000114E5">
              <w:rPr>
                <w:szCs w:val="22"/>
              </w:rPr>
              <w:t xml:space="preserve"> keeps the issue of the penalty closer to the time of the original failure than the other models</w:t>
            </w:r>
            <w:r w:rsidR="005E6985">
              <w:rPr>
                <w:szCs w:val="22"/>
              </w:rPr>
              <w:t xml:space="preserve">. </w:t>
            </w:r>
            <w:r w:rsidR="000114E5">
              <w:rPr>
                <w:szCs w:val="22"/>
              </w:rPr>
              <w:t>This makes it easy to understand</w:t>
            </w:r>
            <w:r w:rsidR="00617CC0">
              <w:rPr>
                <w:szCs w:val="22"/>
              </w:rPr>
              <w:t xml:space="preserve"> and provides a credible threat (principle 4).</w:t>
            </w:r>
          </w:p>
          <w:p w14:paraId="29972585" w14:textId="30D2EA4F" w:rsidR="005E6985" w:rsidRDefault="005E6985" w:rsidP="00AF0960">
            <w:pPr>
              <w:rPr>
                <w:szCs w:val="22"/>
              </w:rPr>
            </w:pPr>
          </w:p>
        </w:tc>
      </w:tr>
    </w:tbl>
    <w:p w14:paraId="212A3F25" w14:textId="64A040E8" w:rsidR="00C05E04" w:rsidRDefault="00C05E04">
      <w:pPr>
        <w:rPr>
          <w:szCs w:val="22"/>
        </w:rPr>
      </w:pPr>
    </w:p>
    <w:p w14:paraId="6CC53CAA" w14:textId="77777777" w:rsidR="001A1722" w:rsidRDefault="001A1722">
      <w:pPr>
        <w:rPr>
          <w:szCs w:val="22"/>
        </w:rPr>
      </w:pPr>
    </w:p>
    <w:tbl>
      <w:tblPr>
        <w:tblW w:w="9072" w:type="dxa"/>
        <w:tblLook w:val="0000" w:firstRow="0" w:lastRow="0" w:firstColumn="0" w:lastColumn="0" w:noHBand="0" w:noVBand="0"/>
      </w:tblPr>
      <w:tblGrid>
        <w:gridCol w:w="567"/>
        <w:gridCol w:w="8505"/>
      </w:tblGrid>
      <w:tr w:rsidR="00C05E04" w:rsidRPr="00C05E04" w14:paraId="0AA63574" w14:textId="77777777" w:rsidTr="00F17B89">
        <w:tc>
          <w:tcPr>
            <w:tcW w:w="567" w:type="dxa"/>
          </w:tcPr>
          <w:p w14:paraId="65B537DF" w14:textId="77777777" w:rsidR="00C05E04" w:rsidRPr="00C05E04" w:rsidRDefault="00C05E04" w:rsidP="00C05E04">
            <w:pPr>
              <w:numPr>
                <w:ilvl w:val="0"/>
                <w:numId w:val="6"/>
              </w:numPr>
              <w:rPr>
                <w:szCs w:val="22"/>
              </w:rPr>
            </w:pPr>
          </w:p>
        </w:tc>
        <w:tc>
          <w:tcPr>
            <w:tcW w:w="8505" w:type="dxa"/>
          </w:tcPr>
          <w:p w14:paraId="2E7A9029" w14:textId="77777777" w:rsidR="005873B1" w:rsidRDefault="002C3F9B" w:rsidP="00C05E04">
            <w:pPr>
              <w:rPr>
                <w:b/>
                <w:szCs w:val="22"/>
              </w:rPr>
            </w:pPr>
            <w:r w:rsidRPr="002C3F9B">
              <w:rPr>
                <w:b/>
                <w:szCs w:val="22"/>
              </w:rPr>
              <w:t xml:space="preserve">Question 5.2 </w:t>
            </w:r>
            <w:r w:rsidR="005873B1">
              <w:rPr>
                <w:b/>
                <w:szCs w:val="22"/>
              </w:rPr>
              <w:t>Suspension Model</w:t>
            </w:r>
            <w:r w:rsidR="005873B1" w:rsidRPr="002C3F9B">
              <w:rPr>
                <w:b/>
                <w:szCs w:val="22"/>
              </w:rPr>
              <w:t xml:space="preserve"> </w:t>
            </w:r>
          </w:p>
          <w:p w14:paraId="5FC46A71" w14:textId="2EF94538" w:rsidR="00C05E04" w:rsidRDefault="002C3F9B" w:rsidP="00C05E04">
            <w:pPr>
              <w:rPr>
                <w:b/>
                <w:szCs w:val="22"/>
              </w:rPr>
            </w:pPr>
            <w:r w:rsidRPr="002C3F9B">
              <w:rPr>
                <w:b/>
                <w:szCs w:val="22"/>
              </w:rPr>
              <w:t>Could any changes be made to the suspension model to make it fairer, simpler or more effective?</w:t>
            </w:r>
          </w:p>
          <w:p w14:paraId="742D586D" w14:textId="3EA3CC64" w:rsidR="002C3F9B" w:rsidRPr="00C05E04" w:rsidRDefault="002C3F9B" w:rsidP="00C05E04">
            <w:pPr>
              <w:rPr>
                <w:szCs w:val="22"/>
              </w:rPr>
            </w:pPr>
          </w:p>
        </w:tc>
      </w:tr>
      <w:tr w:rsidR="00C05E04" w:rsidRPr="00C05E04" w14:paraId="7259CAAB" w14:textId="77777777" w:rsidTr="00F17B89">
        <w:tc>
          <w:tcPr>
            <w:tcW w:w="567" w:type="dxa"/>
          </w:tcPr>
          <w:p w14:paraId="2FEE838B" w14:textId="22801A0A" w:rsidR="00C05E04" w:rsidRPr="00C05E04" w:rsidRDefault="00C05E04" w:rsidP="00C05E04">
            <w:pPr>
              <w:numPr>
                <w:ilvl w:val="1"/>
                <w:numId w:val="6"/>
              </w:numPr>
              <w:rPr>
                <w:szCs w:val="22"/>
              </w:rPr>
            </w:pPr>
          </w:p>
        </w:tc>
        <w:tc>
          <w:tcPr>
            <w:tcW w:w="8505" w:type="dxa"/>
          </w:tcPr>
          <w:p w14:paraId="6C3945EF" w14:textId="7941B24E" w:rsidR="00C05E04" w:rsidRPr="00C05E04" w:rsidRDefault="00CD35FC" w:rsidP="00C05E04">
            <w:pPr>
              <w:rPr>
                <w:szCs w:val="22"/>
              </w:rPr>
            </w:pPr>
            <w:r>
              <w:t>T</w:t>
            </w:r>
            <w:r w:rsidR="001755E2">
              <w:t xml:space="preserve">he taxpayer will continue to receive automatic penalties without the chance of suspension unless the </w:t>
            </w:r>
            <w:r w:rsidR="001755E2">
              <w:rPr>
                <w:szCs w:val="22"/>
              </w:rPr>
              <w:t xml:space="preserve">‘clock’ can be reset to zero at some point in the future. </w:t>
            </w:r>
            <w:r w:rsidR="001755E2">
              <w:t>The</w:t>
            </w:r>
            <w:r w:rsidR="001755E2" w:rsidRPr="004E59E1">
              <w:t xml:space="preserve"> issue is how to determine w</w:t>
            </w:r>
            <w:r w:rsidR="001755E2">
              <w:t>hat will be regarded as</w:t>
            </w:r>
            <w:r w:rsidR="001755E2" w:rsidRPr="004E59E1">
              <w:t xml:space="preserve"> a ‘sustained period of compliance’</w:t>
            </w:r>
            <w:r w:rsidR="005E6985">
              <w:t xml:space="preserve">. </w:t>
            </w:r>
            <w:r>
              <w:t xml:space="preserve">As with the points </w:t>
            </w:r>
            <w:r w:rsidR="00F9710B">
              <w:t xml:space="preserve">based </w:t>
            </w:r>
            <w:r>
              <w:t xml:space="preserve">model, this should </w:t>
            </w:r>
            <w:r w:rsidR="001755E2">
              <w:t>vary depending upon the frequency of submissions</w:t>
            </w:r>
            <w:r w:rsidR="005E6985">
              <w:t xml:space="preserve">. </w:t>
            </w:r>
            <w:r w:rsidR="001755E2">
              <w:t>It would also be logical and fair to tie it into the taxpayer’s compliance history (principles 2 &amp; 3), but in a consistent and standardised way that can be automated (principle 5).</w:t>
            </w:r>
          </w:p>
          <w:p w14:paraId="6C3CC4E1" w14:textId="77777777" w:rsidR="00C05E04" w:rsidRPr="00C05E04" w:rsidRDefault="00C05E04" w:rsidP="00C05E04">
            <w:pPr>
              <w:rPr>
                <w:szCs w:val="22"/>
              </w:rPr>
            </w:pPr>
          </w:p>
        </w:tc>
      </w:tr>
      <w:tr w:rsidR="001755E2" w:rsidRPr="00C05E04" w14:paraId="50F00A7C" w14:textId="77777777" w:rsidTr="00F17B89">
        <w:tc>
          <w:tcPr>
            <w:tcW w:w="567" w:type="dxa"/>
          </w:tcPr>
          <w:p w14:paraId="477666EE" w14:textId="77777777" w:rsidR="001755E2" w:rsidRPr="00C05E04" w:rsidRDefault="001755E2" w:rsidP="00C05E04">
            <w:pPr>
              <w:numPr>
                <w:ilvl w:val="1"/>
                <w:numId w:val="6"/>
              </w:numPr>
              <w:rPr>
                <w:szCs w:val="22"/>
              </w:rPr>
            </w:pPr>
          </w:p>
        </w:tc>
        <w:tc>
          <w:tcPr>
            <w:tcW w:w="8505" w:type="dxa"/>
          </w:tcPr>
          <w:p w14:paraId="4099260F" w14:textId="1E83458A" w:rsidR="00E86014" w:rsidRDefault="001755E2" w:rsidP="001755E2">
            <w:r>
              <w:t xml:space="preserve">One option, </w:t>
            </w:r>
            <w:r w:rsidR="00E86014">
              <w:t>which we suggest in our examples, is to have a cumulative model which does not look at accounting periods or tax years separately. For the taxpayer making quarterly submissions, we have suggested four consecutive submissions on time would be a reasonable number</w:t>
            </w:r>
            <w:r w:rsidR="005E6985">
              <w:t xml:space="preserve">. </w:t>
            </w:r>
            <w:r w:rsidR="00E86014">
              <w:t>For annual submissions, two consecutive submissions seems reasonable.</w:t>
            </w:r>
            <w:r w:rsidR="0081019C">
              <w:t xml:space="preserve"> Another option, as discussed above, is to reset the clock after each year (where updates are quarterly) or every three years (for annual submissions).</w:t>
            </w:r>
          </w:p>
          <w:p w14:paraId="2457A209" w14:textId="77777777" w:rsidR="001755E2" w:rsidRDefault="001755E2" w:rsidP="00E86014"/>
        </w:tc>
      </w:tr>
      <w:tr w:rsidR="00C05E04" w:rsidRPr="00C05E04" w14:paraId="2AEBF7A9" w14:textId="77777777" w:rsidTr="00F17B89">
        <w:tc>
          <w:tcPr>
            <w:tcW w:w="567" w:type="dxa"/>
          </w:tcPr>
          <w:p w14:paraId="79C107B7" w14:textId="77777777" w:rsidR="00C05E04" w:rsidRPr="00C05E04" w:rsidRDefault="00C05E04" w:rsidP="00C05E04">
            <w:pPr>
              <w:numPr>
                <w:ilvl w:val="1"/>
                <w:numId w:val="6"/>
              </w:numPr>
              <w:rPr>
                <w:szCs w:val="22"/>
              </w:rPr>
            </w:pPr>
          </w:p>
        </w:tc>
        <w:tc>
          <w:tcPr>
            <w:tcW w:w="8505" w:type="dxa"/>
          </w:tcPr>
          <w:p w14:paraId="7C8A0C59" w14:textId="5708B1EF" w:rsidR="00ED06A9" w:rsidRPr="00C05E04" w:rsidRDefault="00923E57" w:rsidP="00C05E04">
            <w:pPr>
              <w:rPr>
                <w:szCs w:val="22"/>
              </w:rPr>
            </w:pPr>
            <w:r>
              <w:rPr>
                <w:szCs w:val="22"/>
              </w:rPr>
              <w:t>To avoid confusion, we would recommend that this suspension model is clearly differentiated from the suspension model that is currently in place for inaccuracy penalties. Perhaps it could be referred to by a different name, such as ‘penalty deferment’ or ‘penalty postponement’</w:t>
            </w:r>
            <w:r w:rsidR="008A40B5">
              <w:rPr>
                <w:szCs w:val="22"/>
              </w:rPr>
              <w:t xml:space="preserve"> or ‘automatic suspension’</w:t>
            </w:r>
            <w:r>
              <w:rPr>
                <w:szCs w:val="22"/>
              </w:rPr>
              <w:t>.</w:t>
            </w:r>
          </w:p>
          <w:p w14:paraId="1D80C809" w14:textId="77777777" w:rsidR="005E6985" w:rsidRDefault="005E6985" w:rsidP="00C05E04">
            <w:pPr>
              <w:rPr>
                <w:szCs w:val="22"/>
              </w:rPr>
            </w:pPr>
          </w:p>
          <w:p w14:paraId="4BD44F1D" w14:textId="77777777" w:rsidR="005E6985" w:rsidRPr="00C05E04" w:rsidRDefault="005E6985" w:rsidP="00C05E04">
            <w:pPr>
              <w:rPr>
                <w:szCs w:val="22"/>
              </w:rPr>
            </w:pPr>
          </w:p>
        </w:tc>
      </w:tr>
      <w:tr w:rsidR="002C3F9B" w:rsidRPr="00C05E04" w14:paraId="46CFE863" w14:textId="77777777" w:rsidTr="00AB00BD">
        <w:tc>
          <w:tcPr>
            <w:tcW w:w="567" w:type="dxa"/>
          </w:tcPr>
          <w:p w14:paraId="79F8E83A" w14:textId="77777777" w:rsidR="002C3F9B" w:rsidRPr="00C05E04" w:rsidRDefault="002C3F9B" w:rsidP="00AB00BD">
            <w:pPr>
              <w:numPr>
                <w:ilvl w:val="0"/>
                <w:numId w:val="6"/>
              </w:numPr>
              <w:rPr>
                <w:szCs w:val="22"/>
              </w:rPr>
            </w:pPr>
          </w:p>
        </w:tc>
        <w:tc>
          <w:tcPr>
            <w:tcW w:w="8505" w:type="dxa"/>
          </w:tcPr>
          <w:p w14:paraId="290025D9" w14:textId="624DDA81" w:rsidR="002C3F9B" w:rsidRDefault="002C3F9B" w:rsidP="002C3F9B">
            <w:pPr>
              <w:rPr>
                <w:b/>
                <w:szCs w:val="22"/>
              </w:rPr>
            </w:pPr>
            <w:r>
              <w:rPr>
                <w:b/>
                <w:szCs w:val="22"/>
              </w:rPr>
              <w:t>Comments on the proposals for penalty Interest</w:t>
            </w:r>
          </w:p>
          <w:p w14:paraId="5CF1E44B" w14:textId="3D2E0199" w:rsidR="002C3F9B" w:rsidRPr="00C05E04" w:rsidRDefault="002C3F9B" w:rsidP="002C3F9B">
            <w:pPr>
              <w:rPr>
                <w:szCs w:val="22"/>
              </w:rPr>
            </w:pPr>
          </w:p>
        </w:tc>
      </w:tr>
      <w:tr w:rsidR="002C3F9B" w:rsidRPr="00C05E04" w14:paraId="7C4CBBBA" w14:textId="77777777" w:rsidTr="00AB00BD">
        <w:tc>
          <w:tcPr>
            <w:tcW w:w="567" w:type="dxa"/>
          </w:tcPr>
          <w:p w14:paraId="31130152" w14:textId="77777777" w:rsidR="002C3F9B" w:rsidRPr="00C05E04" w:rsidRDefault="002C3F9B" w:rsidP="00AB00BD">
            <w:pPr>
              <w:numPr>
                <w:ilvl w:val="1"/>
                <w:numId w:val="6"/>
              </w:numPr>
              <w:rPr>
                <w:szCs w:val="22"/>
              </w:rPr>
            </w:pPr>
          </w:p>
        </w:tc>
        <w:tc>
          <w:tcPr>
            <w:tcW w:w="8505" w:type="dxa"/>
          </w:tcPr>
          <w:p w14:paraId="41267B15" w14:textId="29BA80B9" w:rsidR="00F4722F" w:rsidRPr="005E6985" w:rsidRDefault="00F4722F" w:rsidP="00F4722F">
            <w:r>
              <w:t>We are disappointed that HMRC have not proposed any further specific questions on penalty interest</w:t>
            </w:r>
            <w:r w:rsidR="005E6985">
              <w:t xml:space="preserve">. </w:t>
            </w:r>
            <w:r>
              <w:t>We note however that views are welcome on the proposals.</w:t>
            </w:r>
          </w:p>
        </w:tc>
      </w:tr>
      <w:tr w:rsidR="00F4722F" w:rsidRPr="00C05E04" w14:paraId="4BF6DE79" w14:textId="77777777" w:rsidTr="00AB00BD">
        <w:tc>
          <w:tcPr>
            <w:tcW w:w="567" w:type="dxa"/>
          </w:tcPr>
          <w:p w14:paraId="2888CF1F" w14:textId="56C45CAE" w:rsidR="00F4722F" w:rsidRPr="00C05E04" w:rsidRDefault="00F4722F" w:rsidP="00AB00BD">
            <w:pPr>
              <w:numPr>
                <w:ilvl w:val="1"/>
                <w:numId w:val="6"/>
              </w:numPr>
              <w:rPr>
                <w:szCs w:val="22"/>
              </w:rPr>
            </w:pPr>
          </w:p>
        </w:tc>
        <w:tc>
          <w:tcPr>
            <w:tcW w:w="8505" w:type="dxa"/>
          </w:tcPr>
          <w:p w14:paraId="01F52514" w14:textId="571A5E75" w:rsidR="00F4722F" w:rsidRPr="004C279D" w:rsidRDefault="00F4722F" w:rsidP="00F4722F">
            <w:pPr>
              <w:rPr>
                <w:rFonts w:ascii="Calibri" w:hAnsi="Calibri" w:cs="Times New Roman"/>
                <w:szCs w:val="22"/>
              </w:rPr>
            </w:pPr>
            <w:r w:rsidRPr="004C279D">
              <w:t xml:space="preserve">We would encourage HMRC to take time </w:t>
            </w:r>
            <w:r w:rsidR="00C676AF">
              <w:t>to develop a</w:t>
            </w:r>
            <w:r w:rsidRPr="004C279D">
              <w:t xml:space="preserve"> regime that applies across ALL taxes, not just MTD ones. The due dates for tax under MTD are not changing, so there is no need to rush in a halfway</w:t>
            </w:r>
            <w:r w:rsidR="00C76BFB">
              <w:t>-</w:t>
            </w:r>
            <w:r w:rsidRPr="004C279D">
              <w:t>house new regime.</w:t>
            </w:r>
          </w:p>
          <w:p w14:paraId="237EA118" w14:textId="77777777" w:rsidR="00F4722F" w:rsidRPr="004C279D" w:rsidRDefault="00F4722F" w:rsidP="004C279D"/>
        </w:tc>
      </w:tr>
      <w:tr w:rsidR="004C279D" w:rsidRPr="00C05E04" w14:paraId="24681351" w14:textId="77777777" w:rsidTr="00AB00BD">
        <w:tc>
          <w:tcPr>
            <w:tcW w:w="567" w:type="dxa"/>
          </w:tcPr>
          <w:p w14:paraId="5DB3761F" w14:textId="77777777" w:rsidR="004C279D" w:rsidRPr="00C05E04" w:rsidRDefault="004C279D" w:rsidP="00AB00BD">
            <w:pPr>
              <w:numPr>
                <w:ilvl w:val="1"/>
                <w:numId w:val="6"/>
              </w:numPr>
              <w:rPr>
                <w:szCs w:val="22"/>
              </w:rPr>
            </w:pPr>
          </w:p>
        </w:tc>
        <w:tc>
          <w:tcPr>
            <w:tcW w:w="8505" w:type="dxa"/>
          </w:tcPr>
          <w:p w14:paraId="0D61C200" w14:textId="7F9EF013" w:rsidR="004C279D" w:rsidRDefault="004C279D" w:rsidP="004C279D">
            <w:pPr>
              <w:rPr>
                <w:szCs w:val="22"/>
              </w:rPr>
            </w:pPr>
            <w:r w:rsidRPr="00092061">
              <w:rPr>
                <w:i/>
                <w:szCs w:val="22"/>
              </w:rPr>
              <w:t>Date from which penalty interest would be calculated</w:t>
            </w:r>
            <w:r>
              <w:rPr>
                <w:szCs w:val="22"/>
              </w:rPr>
              <w:t xml:space="preserve"> – we agree that the original proposal of 14 days is too short. In our view, a period of around </w:t>
            </w:r>
            <w:r w:rsidR="001B2906">
              <w:rPr>
                <w:szCs w:val="22"/>
              </w:rPr>
              <w:t>28/</w:t>
            </w:r>
            <w:r w:rsidR="00110C6F">
              <w:rPr>
                <w:szCs w:val="22"/>
              </w:rPr>
              <w:t xml:space="preserve"> </w:t>
            </w:r>
            <w:r w:rsidR="001B2906">
              <w:rPr>
                <w:szCs w:val="22"/>
              </w:rPr>
              <w:t>30</w:t>
            </w:r>
            <w:r>
              <w:rPr>
                <w:szCs w:val="22"/>
              </w:rPr>
              <w:t xml:space="preserve"> days is more reasonable</w:t>
            </w:r>
            <w:r w:rsidR="005E6985">
              <w:rPr>
                <w:szCs w:val="22"/>
              </w:rPr>
              <w:t xml:space="preserve">. </w:t>
            </w:r>
            <w:r>
              <w:rPr>
                <w:szCs w:val="22"/>
              </w:rPr>
              <w:t>This would acknowledge that there will always be factors that could lead to inadvertent late payment (such as workloads, holidays, and postal delays), and also give more time for time to pay arrangements to be put in place where necessary.</w:t>
            </w:r>
            <w:r w:rsidR="00C676AF">
              <w:rPr>
                <w:szCs w:val="22"/>
              </w:rPr>
              <w:t xml:space="preserve"> Normal late payment interest could apply as normal in the interim period.</w:t>
            </w:r>
          </w:p>
          <w:p w14:paraId="48C76485" w14:textId="77777777" w:rsidR="004C279D" w:rsidRPr="00092061" w:rsidRDefault="004C279D" w:rsidP="00AB00BD">
            <w:pPr>
              <w:rPr>
                <w:i/>
                <w:szCs w:val="22"/>
              </w:rPr>
            </w:pPr>
          </w:p>
        </w:tc>
      </w:tr>
      <w:tr w:rsidR="001B2906" w:rsidRPr="00C05E04" w14:paraId="6FEF8EBF" w14:textId="77777777" w:rsidTr="00AB00BD">
        <w:tc>
          <w:tcPr>
            <w:tcW w:w="567" w:type="dxa"/>
          </w:tcPr>
          <w:p w14:paraId="63DA5A3B" w14:textId="77777777" w:rsidR="001B2906" w:rsidRPr="00C05E04" w:rsidRDefault="001B2906" w:rsidP="00AB00BD">
            <w:pPr>
              <w:numPr>
                <w:ilvl w:val="1"/>
                <w:numId w:val="6"/>
              </w:numPr>
              <w:rPr>
                <w:szCs w:val="22"/>
              </w:rPr>
            </w:pPr>
          </w:p>
        </w:tc>
        <w:tc>
          <w:tcPr>
            <w:tcW w:w="8505" w:type="dxa"/>
          </w:tcPr>
          <w:p w14:paraId="7D337D47" w14:textId="7930C98C" w:rsidR="001B2906" w:rsidRPr="001B2906" w:rsidRDefault="001B2906" w:rsidP="001B2906">
            <w:r w:rsidRPr="001B2906">
              <w:t>HMRC recognise at paragraph 6.9 of the consultation document that they need to balance any grace period with the practical effect that this broadly shifts the payment date</w:t>
            </w:r>
            <w:r w:rsidR="005E6985">
              <w:t xml:space="preserve">. </w:t>
            </w:r>
            <w:r w:rsidRPr="001B2906">
              <w:t>A suggestion could be (say) a 28</w:t>
            </w:r>
            <w:r w:rsidR="00ED06A9">
              <w:t>/</w:t>
            </w:r>
            <w:r w:rsidR="00110C6F">
              <w:t xml:space="preserve"> </w:t>
            </w:r>
            <w:r w:rsidR="00ED06A9">
              <w:t>30</w:t>
            </w:r>
            <w:r w:rsidRPr="001B2906">
              <w:t xml:space="preserve"> day grace period for first default, then 14 days thereafter. Or some similar mechanism which gives a longer period for one-off failures to pay, </w:t>
            </w:r>
            <w:r w:rsidR="00110C6F">
              <w:t>but a shorter/</w:t>
            </w:r>
            <w:r w:rsidRPr="001B2906">
              <w:t xml:space="preserve"> no period for subsequent ones.</w:t>
            </w:r>
            <w:r w:rsidR="00ED06A9">
              <w:t xml:space="preserve"> </w:t>
            </w:r>
            <w:r w:rsidR="00CD76C4">
              <w:t>Consideration could be given to linking these periods to the suspension periods if that penalty model is chosen, to promote consistency between the two</w:t>
            </w:r>
            <w:r w:rsidR="00ED06A9">
              <w:t>.</w:t>
            </w:r>
          </w:p>
          <w:p w14:paraId="4AC48357" w14:textId="77777777" w:rsidR="001B2906" w:rsidRPr="00092061" w:rsidRDefault="001B2906" w:rsidP="004C279D">
            <w:pPr>
              <w:rPr>
                <w:i/>
                <w:szCs w:val="22"/>
              </w:rPr>
            </w:pPr>
          </w:p>
        </w:tc>
      </w:tr>
      <w:tr w:rsidR="002C3F9B" w:rsidRPr="00C05E04" w14:paraId="439C58DF" w14:textId="77777777" w:rsidTr="00AB00BD">
        <w:tc>
          <w:tcPr>
            <w:tcW w:w="567" w:type="dxa"/>
          </w:tcPr>
          <w:p w14:paraId="26CACC60" w14:textId="5FC2CCE6" w:rsidR="002C3F9B" w:rsidRPr="00C05E04" w:rsidRDefault="002C3F9B" w:rsidP="00AB00BD">
            <w:pPr>
              <w:numPr>
                <w:ilvl w:val="1"/>
                <w:numId w:val="6"/>
              </w:numPr>
              <w:rPr>
                <w:szCs w:val="22"/>
              </w:rPr>
            </w:pPr>
          </w:p>
        </w:tc>
        <w:tc>
          <w:tcPr>
            <w:tcW w:w="8505" w:type="dxa"/>
          </w:tcPr>
          <w:p w14:paraId="4D0F57D0" w14:textId="5F32D777" w:rsidR="002C3F9B" w:rsidRPr="00C05E04" w:rsidRDefault="00624E29" w:rsidP="00F612B0">
            <w:pPr>
              <w:autoSpaceDE w:val="0"/>
              <w:autoSpaceDN w:val="0"/>
              <w:adjustRightInd w:val="0"/>
              <w:rPr>
                <w:szCs w:val="22"/>
              </w:rPr>
            </w:pPr>
            <w:r w:rsidRPr="00092061">
              <w:rPr>
                <w:i/>
                <w:szCs w:val="22"/>
              </w:rPr>
              <w:t>The rate of interest</w:t>
            </w:r>
            <w:r>
              <w:rPr>
                <w:szCs w:val="22"/>
              </w:rPr>
              <w:t xml:space="preserve"> </w:t>
            </w:r>
            <w:r w:rsidR="00092061">
              <w:rPr>
                <w:szCs w:val="22"/>
              </w:rPr>
              <w:t>–</w:t>
            </w:r>
            <w:r>
              <w:rPr>
                <w:szCs w:val="22"/>
              </w:rPr>
              <w:t xml:space="preserve"> </w:t>
            </w:r>
            <w:r w:rsidR="00092061">
              <w:rPr>
                <w:szCs w:val="22"/>
              </w:rPr>
              <w:t xml:space="preserve">we note that there is ‘double counting’ in the </w:t>
            </w:r>
            <w:r w:rsidR="00F612B0">
              <w:rPr>
                <w:szCs w:val="22"/>
              </w:rPr>
              <w:t xml:space="preserve">proposal at paragraph 6.12 of the consultation document, in that </w:t>
            </w:r>
            <w:r w:rsidR="00FE18ED">
              <w:rPr>
                <w:szCs w:val="22"/>
              </w:rPr>
              <w:t xml:space="preserve">the Bank of England base rate is already factored into </w:t>
            </w:r>
            <w:r w:rsidR="00092061">
              <w:rPr>
                <w:szCs w:val="22"/>
              </w:rPr>
              <w:t>late payment interest</w:t>
            </w:r>
            <w:r w:rsidR="005E6985">
              <w:rPr>
                <w:szCs w:val="22"/>
              </w:rPr>
              <w:t xml:space="preserve">. </w:t>
            </w:r>
            <w:r w:rsidR="00F612B0">
              <w:rPr>
                <w:szCs w:val="22"/>
              </w:rPr>
              <w:t>Therefore it would be unreasonable for the rate of penalty interest to factor in the Bank of England base rate as well.</w:t>
            </w:r>
          </w:p>
          <w:p w14:paraId="60A8B7B4" w14:textId="77777777" w:rsidR="002C3F9B" w:rsidRPr="00C05E04" w:rsidRDefault="002C3F9B" w:rsidP="00AB00BD">
            <w:pPr>
              <w:rPr>
                <w:szCs w:val="22"/>
              </w:rPr>
            </w:pPr>
          </w:p>
        </w:tc>
      </w:tr>
      <w:tr w:rsidR="004C279D" w:rsidRPr="00C05E04" w14:paraId="4C5C3BDE" w14:textId="77777777" w:rsidTr="00AB00BD">
        <w:tc>
          <w:tcPr>
            <w:tcW w:w="567" w:type="dxa"/>
          </w:tcPr>
          <w:p w14:paraId="3A871B32" w14:textId="77777777" w:rsidR="004C279D" w:rsidRPr="00C05E04" w:rsidRDefault="004C279D" w:rsidP="00AB00BD">
            <w:pPr>
              <w:numPr>
                <w:ilvl w:val="1"/>
                <w:numId w:val="6"/>
              </w:numPr>
              <w:rPr>
                <w:szCs w:val="22"/>
              </w:rPr>
            </w:pPr>
          </w:p>
        </w:tc>
        <w:tc>
          <w:tcPr>
            <w:tcW w:w="8505" w:type="dxa"/>
          </w:tcPr>
          <w:p w14:paraId="62B8251A" w14:textId="128DE061" w:rsidR="004C279D" w:rsidRPr="004C279D" w:rsidRDefault="004C279D" w:rsidP="009E6D64">
            <w:pPr>
              <w:pStyle w:val="CommentText"/>
            </w:pPr>
            <w:r w:rsidRPr="009E6D64">
              <w:rPr>
                <w:sz w:val="22"/>
                <w:szCs w:val="22"/>
              </w:rPr>
              <w:t xml:space="preserve">At paragraph 6.10 of the consultation document, HMRC state that a debt owed to HMRC should not be a lower priority </w:t>
            </w:r>
            <w:r w:rsidR="005B1150" w:rsidRPr="009E6D64">
              <w:rPr>
                <w:sz w:val="22"/>
                <w:szCs w:val="22"/>
              </w:rPr>
              <w:t xml:space="preserve">than </w:t>
            </w:r>
            <w:r w:rsidRPr="009E6D64">
              <w:rPr>
                <w:sz w:val="22"/>
                <w:szCs w:val="22"/>
              </w:rPr>
              <w:t xml:space="preserve">amounts owed to other creditors. Similarly, in our view, debts due to HMRC should not be a </w:t>
            </w:r>
            <w:r w:rsidRPr="009E6D64">
              <w:rPr>
                <w:i/>
                <w:iCs/>
                <w:sz w:val="22"/>
                <w:szCs w:val="22"/>
              </w:rPr>
              <w:t>higher</w:t>
            </w:r>
            <w:r w:rsidRPr="009E6D64">
              <w:rPr>
                <w:sz w:val="22"/>
                <w:szCs w:val="22"/>
              </w:rPr>
              <w:t xml:space="preserve"> priority either</w:t>
            </w:r>
            <w:r w:rsidR="00CD4317" w:rsidRPr="009E6D64">
              <w:rPr>
                <w:rStyle w:val="FootnoteReference"/>
                <w:sz w:val="22"/>
                <w:szCs w:val="22"/>
              </w:rPr>
              <w:footnoteReference w:id="5"/>
            </w:r>
            <w:r w:rsidRPr="009E6D64">
              <w:rPr>
                <w:sz w:val="22"/>
                <w:szCs w:val="22"/>
              </w:rPr>
              <w:t>. The risk with the introduction of penalty interest is that they will become a higher priority than amounts owed to other creditors unless the penalty interest rate is set at a level equivalent to statutory interest or lower.</w:t>
            </w:r>
            <w:r w:rsidR="009E6D64" w:rsidRPr="009E6D64">
              <w:rPr>
                <w:sz w:val="22"/>
                <w:szCs w:val="22"/>
              </w:rPr>
              <w:t xml:space="preserve"> </w:t>
            </w:r>
            <w:r w:rsidR="009E6D64">
              <w:rPr>
                <w:sz w:val="22"/>
                <w:szCs w:val="22"/>
              </w:rPr>
              <w:t>We</w:t>
            </w:r>
            <w:r w:rsidR="009E6D64" w:rsidRPr="009E6D64">
              <w:rPr>
                <w:sz w:val="22"/>
                <w:szCs w:val="22"/>
              </w:rPr>
              <w:t xml:space="preserve"> suggest that the legality of going down any one route should be fully explored with relevant specialists before decisions are taken.</w:t>
            </w:r>
          </w:p>
          <w:p w14:paraId="6C2B189D" w14:textId="77777777" w:rsidR="004C279D" w:rsidRPr="00092061" w:rsidRDefault="004C279D" w:rsidP="00F612B0">
            <w:pPr>
              <w:autoSpaceDE w:val="0"/>
              <w:autoSpaceDN w:val="0"/>
              <w:adjustRightInd w:val="0"/>
              <w:rPr>
                <w:i/>
                <w:szCs w:val="22"/>
              </w:rPr>
            </w:pPr>
          </w:p>
        </w:tc>
      </w:tr>
      <w:tr w:rsidR="00AD5541" w:rsidRPr="00C05E04" w14:paraId="0C7947DE" w14:textId="77777777" w:rsidTr="00AB00BD">
        <w:tc>
          <w:tcPr>
            <w:tcW w:w="567" w:type="dxa"/>
          </w:tcPr>
          <w:p w14:paraId="0D0ACE7D" w14:textId="77777777" w:rsidR="00AD5541" w:rsidRPr="00C05E04" w:rsidRDefault="00AD5541" w:rsidP="00AB00BD">
            <w:pPr>
              <w:numPr>
                <w:ilvl w:val="1"/>
                <w:numId w:val="6"/>
              </w:numPr>
              <w:rPr>
                <w:szCs w:val="22"/>
              </w:rPr>
            </w:pPr>
          </w:p>
        </w:tc>
        <w:tc>
          <w:tcPr>
            <w:tcW w:w="8505" w:type="dxa"/>
          </w:tcPr>
          <w:p w14:paraId="7C6E30CF" w14:textId="33A6E848" w:rsidR="00AD5541" w:rsidRPr="00AD5541" w:rsidRDefault="00AD5541" w:rsidP="00AD5541">
            <w:r w:rsidRPr="00AD5541">
              <w:t xml:space="preserve">We would encourage HMRC to consider taking steps to pay interest (even penalty interest) to taxpayers if HMRC themselves have failed to make repayments within certain periods of time. The </w:t>
            </w:r>
            <w:r w:rsidR="00846BB7">
              <w:t>r</w:t>
            </w:r>
            <w:r w:rsidRPr="00AD5541">
              <w:t xml:space="preserve">epayment </w:t>
            </w:r>
            <w:r w:rsidR="00846BB7">
              <w:t>s</w:t>
            </w:r>
            <w:r w:rsidRPr="00AD5541">
              <w:t xml:space="preserve">upplement regime </w:t>
            </w:r>
            <w:r w:rsidR="00846BB7">
              <w:t xml:space="preserve">on delayed VAT repayments </w:t>
            </w:r>
            <w:r w:rsidRPr="00AD5541">
              <w:t>(a flat 5% of the VAT reclaimed) is a good incentive for HMRC to process repayments promptly</w:t>
            </w:r>
            <w:r w:rsidR="005E6985">
              <w:t xml:space="preserve">. </w:t>
            </w:r>
            <w:r w:rsidRPr="00AD5541">
              <w:t xml:space="preserve">This would help level the playing field between monies owed </w:t>
            </w:r>
            <w:r w:rsidRPr="00AD5541">
              <w:rPr>
                <w:i/>
                <w:iCs/>
              </w:rPr>
              <w:t>to</w:t>
            </w:r>
            <w:r w:rsidRPr="00AD5541">
              <w:t xml:space="preserve"> HMRC, and monies owed </w:t>
            </w:r>
            <w:r w:rsidRPr="00AD5541">
              <w:rPr>
                <w:i/>
                <w:iCs/>
              </w:rPr>
              <w:t>by</w:t>
            </w:r>
            <w:r w:rsidRPr="00AD5541">
              <w:t xml:space="preserve"> HMRC.</w:t>
            </w:r>
            <w:r w:rsidR="005D5D74">
              <w:t xml:space="preserve"> It is reasonable to assume that the penalty principles should encourage good compliance by HMRC, as well as by taxpayers.</w:t>
            </w:r>
          </w:p>
          <w:p w14:paraId="72A058BD" w14:textId="77777777" w:rsidR="00AD5541" w:rsidRPr="004C279D" w:rsidRDefault="00AD5541" w:rsidP="004C279D"/>
        </w:tc>
      </w:tr>
      <w:tr w:rsidR="00092061" w:rsidRPr="00C05E04" w14:paraId="368F4554" w14:textId="77777777" w:rsidTr="00AB00BD">
        <w:tc>
          <w:tcPr>
            <w:tcW w:w="567" w:type="dxa"/>
          </w:tcPr>
          <w:p w14:paraId="64EA1AAE" w14:textId="5B8467ED" w:rsidR="00092061" w:rsidRPr="00C05E04" w:rsidRDefault="00092061" w:rsidP="00AB00BD">
            <w:pPr>
              <w:numPr>
                <w:ilvl w:val="1"/>
                <w:numId w:val="6"/>
              </w:numPr>
              <w:rPr>
                <w:szCs w:val="22"/>
              </w:rPr>
            </w:pPr>
          </w:p>
        </w:tc>
        <w:tc>
          <w:tcPr>
            <w:tcW w:w="8505" w:type="dxa"/>
          </w:tcPr>
          <w:p w14:paraId="7086C36E" w14:textId="77777777" w:rsidR="004C279D" w:rsidRDefault="00092061" w:rsidP="00D67843">
            <w:pPr>
              <w:rPr>
                <w:szCs w:val="22"/>
              </w:rPr>
            </w:pPr>
            <w:r>
              <w:rPr>
                <w:szCs w:val="22"/>
              </w:rPr>
              <w:t>The proposal</w:t>
            </w:r>
            <w:r w:rsidR="008B6FEB">
              <w:rPr>
                <w:szCs w:val="22"/>
              </w:rPr>
              <w:t>s</w:t>
            </w:r>
            <w:r>
              <w:rPr>
                <w:szCs w:val="22"/>
              </w:rPr>
              <w:t xml:space="preserve"> for a system of penalty interest </w:t>
            </w:r>
            <w:r w:rsidR="00D67843">
              <w:rPr>
                <w:szCs w:val="22"/>
              </w:rPr>
              <w:t xml:space="preserve">generally </w:t>
            </w:r>
            <w:r>
              <w:rPr>
                <w:szCs w:val="22"/>
              </w:rPr>
              <w:t xml:space="preserve">seem to us to be simpler and more understandable than the current late payment </w:t>
            </w:r>
            <w:r w:rsidR="00A30E68">
              <w:rPr>
                <w:szCs w:val="22"/>
              </w:rPr>
              <w:t>penalty</w:t>
            </w:r>
            <w:r>
              <w:rPr>
                <w:szCs w:val="22"/>
              </w:rPr>
              <w:t xml:space="preserve"> system.</w:t>
            </w:r>
          </w:p>
          <w:p w14:paraId="040E6041" w14:textId="4EC88A4E" w:rsidR="005E6985" w:rsidRPr="00092061" w:rsidRDefault="005E6985" w:rsidP="00D67843">
            <w:pPr>
              <w:rPr>
                <w:szCs w:val="22"/>
              </w:rPr>
            </w:pPr>
          </w:p>
        </w:tc>
      </w:tr>
    </w:tbl>
    <w:p w14:paraId="4F207292" w14:textId="77777777" w:rsidR="001A1722" w:rsidRDefault="001A1722">
      <w:pPr>
        <w:rPr>
          <w:szCs w:val="22"/>
        </w:rPr>
      </w:pPr>
    </w:p>
    <w:p w14:paraId="3184E7DC" w14:textId="77777777" w:rsidR="005E6985" w:rsidRDefault="005E6985">
      <w:pPr>
        <w:rPr>
          <w:szCs w:val="22"/>
        </w:rPr>
      </w:pPr>
    </w:p>
    <w:tbl>
      <w:tblPr>
        <w:tblW w:w="9072" w:type="dxa"/>
        <w:tblLook w:val="0000" w:firstRow="0" w:lastRow="0" w:firstColumn="0" w:lastColumn="0" w:noHBand="0" w:noVBand="0"/>
      </w:tblPr>
      <w:tblGrid>
        <w:gridCol w:w="567"/>
        <w:gridCol w:w="8505"/>
      </w:tblGrid>
      <w:tr w:rsidR="00C05E04" w:rsidRPr="00C05E04" w14:paraId="01E19450" w14:textId="77777777" w:rsidTr="00F17B89">
        <w:tc>
          <w:tcPr>
            <w:tcW w:w="567" w:type="dxa"/>
          </w:tcPr>
          <w:p w14:paraId="2AD827F4" w14:textId="77777777" w:rsidR="00C05E04" w:rsidRPr="00C05E04" w:rsidRDefault="00C05E04" w:rsidP="00C05E04">
            <w:pPr>
              <w:numPr>
                <w:ilvl w:val="0"/>
                <w:numId w:val="6"/>
              </w:numPr>
              <w:rPr>
                <w:szCs w:val="22"/>
              </w:rPr>
            </w:pPr>
          </w:p>
        </w:tc>
        <w:tc>
          <w:tcPr>
            <w:tcW w:w="8505" w:type="dxa"/>
          </w:tcPr>
          <w:p w14:paraId="4181781C" w14:textId="77777777" w:rsidR="005942E1" w:rsidRDefault="005942E1" w:rsidP="005942E1">
            <w:pPr>
              <w:rPr>
                <w:b/>
                <w:bCs/>
                <w:szCs w:val="22"/>
              </w:rPr>
            </w:pPr>
            <w:r>
              <w:rPr>
                <w:b/>
                <w:bCs/>
              </w:rPr>
              <w:t>Acknowledgement of submission</w:t>
            </w:r>
          </w:p>
          <w:p w14:paraId="1EE9940E" w14:textId="77777777" w:rsidR="00C05E04" w:rsidRPr="00C05E04" w:rsidRDefault="00C05E04" w:rsidP="005942E1">
            <w:pPr>
              <w:tabs>
                <w:tab w:val="left" w:pos="1780"/>
              </w:tabs>
              <w:rPr>
                <w:szCs w:val="22"/>
              </w:rPr>
            </w:pPr>
          </w:p>
        </w:tc>
      </w:tr>
      <w:tr w:rsidR="00C05E04" w:rsidRPr="00C05E04" w14:paraId="1381CD03" w14:textId="77777777" w:rsidTr="00F17B89">
        <w:tc>
          <w:tcPr>
            <w:tcW w:w="567" w:type="dxa"/>
          </w:tcPr>
          <w:p w14:paraId="46036F85" w14:textId="77777777" w:rsidR="00C05E04" w:rsidRPr="00C05E04" w:rsidRDefault="00C05E04" w:rsidP="00C05E04">
            <w:pPr>
              <w:numPr>
                <w:ilvl w:val="1"/>
                <w:numId w:val="6"/>
              </w:numPr>
              <w:rPr>
                <w:szCs w:val="22"/>
              </w:rPr>
            </w:pPr>
          </w:p>
        </w:tc>
        <w:tc>
          <w:tcPr>
            <w:tcW w:w="8505" w:type="dxa"/>
          </w:tcPr>
          <w:p w14:paraId="39E422E4" w14:textId="77777777" w:rsidR="00C05E04" w:rsidRDefault="005942E1" w:rsidP="004C279D">
            <w:r w:rsidRPr="003A0D17">
              <w:t xml:space="preserve">We would be grateful if you could acknowledge safe receipt of this submission, and ensure that the Chartered Institute of Taxation is included in the List of Respondents </w:t>
            </w:r>
            <w:r w:rsidRPr="003A0D17">
              <w:lastRenderedPageBreak/>
              <w:t>when any outcome of the consultation is published.</w:t>
            </w:r>
          </w:p>
          <w:p w14:paraId="241D4F8E" w14:textId="698A868D" w:rsidR="005E6985" w:rsidRPr="00C05E04" w:rsidRDefault="005E6985" w:rsidP="004C279D">
            <w:pPr>
              <w:rPr>
                <w:szCs w:val="22"/>
              </w:rPr>
            </w:pPr>
          </w:p>
        </w:tc>
      </w:tr>
    </w:tbl>
    <w:p w14:paraId="75A29812" w14:textId="77777777" w:rsidR="00C05E04" w:rsidRDefault="00C05E04">
      <w:pPr>
        <w:rPr>
          <w:szCs w:val="22"/>
        </w:rPr>
      </w:pPr>
    </w:p>
    <w:p w14:paraId="79B0DC47" w14:textId="77777777" w:rsidR="001A1722" w:rsidRDefault="001A1722">
      <w:pPr>
        <w:rPr>
          <w:szCs w:val="22"/>
        </w:rPr>
      </w:pPr>
    </w:p>
    <w:tbl>
      <w:tblPr>
        <w:tblW w:w="0" w:type="auto"/>
        <w:tblLook w:val="0000" w:firstRow="0" w:lastRow="0" w:firstColumn="0" w:lastColumn="0" w:noHBand="0" w:noVBand="0"/>
      </w:tblPr>
      <w:tblGrid>
        <w:gridCol w:w="567"/>
        <w:gridCol w:w="8613"/>
      </w:tblGrid>
      <w:tr w:rsidR="004D2530" w:rsidRPr="003A03F9" w14:paraId="249311E6" w14:textId="77777777" w:rsidTr="003321E7">
        <w:tc>
          <w:tcPr>
            <w:tcW w:w="567" w:type="dxa"/>
          </w:tcPr>
          <w:p w14:paraId="10FF85CF" w14:textId="77777777" w:rsidR="004D2530" w:rsidRPr="003A03F9" w:rsidRDefault="004D2530" w:rsidP="004D2530">
            <w:pPr>
              <w:numPr>
                <w:ilvl w:val="0"/>
                <w:numId w:val="6"/>
              </w:numPr>
              <w:rPr>
                <w:szCs w:val="22"/>
              </w:rPr>
            </w:pPr>
          </w:p>
        </w:tc>
        <w:tc>
          <w:tcPr>
            <w:tcW w:w="8613" w:type="dxa"/>
          </w:tcPr>
          <w:p w14:paraId="35BD0CF9" w14:textId="77777777" w:rsidR="004D2530" w:rsidRPr="003A03F9" w:rsidRDefault="005B6B56" w:rsidP="004D2530">
            <w:pPr>
              <w:rPr>
                <w:b/>
                <w:szCs w:val="22"/>
              </w:rPr>
            </w:pPr>
            <w:r w:rsidRPr="003A03F9">
              <w:rPr>
                <w:b/>
                <w:szCs w:val="22"/>
              </w:rPr>
              <w:t>The Chartered Institute of Taxation</w:t>
            </w:r>
          </w:p>
          <w:p w14:paraId="30A77DD5" w14:textId="77777777" w:rsidR="004D2530" w:rsidRPr="003A03F9" w:rsidRDefault="004D2530" w:rsidP="004D2530">
            <w:pPr>
              <w:rPr>
                <w:szCs w:val="22"/>
              </w:rPr>
            </w:pPr>
          </w:p>
        </w:tc>
      </w:tr>
      <w:tr w:rsidR="004D2530" w:rsidRPr="003A03F9" w14:paraId="0AB98B7A" w14:textId="77777777" w:rsidTr="003321E7">
        <w:tc>
          <w:tcPr>
            <w:tcW w:w="567" w:type="dxa"/>
          </w:tcPr>
          <w:p w14:paraId="39225CE7" w14:textId="77777777" w:rsidR="004D2530" w:rsidRPr="003A03F9" w:rsidRDefault="004D2530" w:rsidP="004D2530">
            <w:pPr>
              <w:numPr>
                <w:ilvl w:val="1"/>
                <w:numId w:val="6"/>
              </w:numPr>
              <w:rPr>
                <w:szCs w:val="22"/>
              </w:rPr>
            </w:pPr>
          </w:p>
        </w:tc>
        <w:tc>
          <w:tcPr>
            <w:tcW w:w="8613" w:type="dxa"/>
          </w:tcPr>
          <w:p w14:paraId="7652D42B" w14:textId="77777777" w:rsidR="003A03F9" w:rsidRPr="003A03F9" w:rsidRDefault="003A03F9" w:rsidP="003A03F9">
            <w:pPr>
              <w:rPr>
                <w:szCs w:val="22"/>
              </w:rPr>
            </w:pPr>
            <w:r w:rsidRPr="003A03F9">
              <w:rPr>
                <w:szCs w:val="22"/>
              </w:rPr>
              <w:t xml:space="preserve">The Chartered Institute of Taxation (CIOT) is the leading professional body in the United Kingdom concerned solely with taxation. The CIOT is an educational charity, promoting education and study of the administration and practice of taxation. One of our key aims is to work for a better, more efficient, tax system for all affected by it – taxpayers, their advisers and the authorities. The CIOT’s work covers all aspects of taxation, including direct and indirect taxes and duties. Through our Low Incomes Tax Reform Group (LITRG), the CIOT has a particular focus on improving the tax system, including tax credits and benefits, for the unrepresented taxpayer. </w:t>
            </w:r>
          </w:p>
          <w:p w14:paraId="62A2760C" w14:textId="77777777" w:rsidR="003A03F9" w:rsidRPr="003A03F9" w:rsidRDefault="003A03F9" w:rsidP="003A03F9">
            <w:pPr>
              <w:rPr>
                <w:szCs w:val="22"/>
              </w:rPr>
            </w:pPr>
          </w:p>
          <w:p w14:paraId="0D979117" w14:textId="52A03AB5" w:rsidR="003A03F9" w:rsidRPr="003A03F9" w:rsidRDefault="003A03F9" w:rsidP="003A03F9">
            <w:pPr>
              <w:pStyle w:val="Default"/>
              <w:rPr>
                <w:sz w:val="22"/>
                <w:szCs w:val="22"/>
              </w:rPr>
            </w:pPr>
            <w:r w:rsidRPr="003A03F9">
              <w:rPr>
                <w:sz w:val="22"/>
                <w:szCs w:val="22"/>
              </w:rPr>
              <w:t>The CIOT draws on our members’ experience in private practice, commerce and industry, government and academia to improve tax administration and propose and explain how tax policy objectives can most effectively be achieved. We also link to, and draw on, similar leading professional tax bodies in other countries</w:t>
            </w:r>
            <w:r w:rsidR="005E6985">
              <w:rPr>
                <w:sz w:val="22"/>
                <w:szCs w:val="22"/>
              </w:rPr>
              <w:t xml:space="preserve">. </w:t>
            </w:r>
            <w:r w:rsidRPr="003A03F9">
              <w:rPr>
                <w:sz w:val="22"/>
                <w:szCs w:val="22"/>
              </w:rPr>
              <w:t>The CIOT’s comments and recommendations on tax issues are made in line with our charitable objectives: we are politically neutral in our work.</w:t>
            </w:r>
          </w:p>
          <w:p w14:paraId="0AA5D3F5" w14:textId="77777777" w:rsidR="003A03F9" w:rsidRPr="003A03F9" w:rsidRDefault="003A03F9" w:rsidP="003A03F9">
            <w:pPr>
              <w:pStyle w:val="Default"/>
              <w:rPr>
                <w:sz w:val="22"/>
                <w:szCs w:val="22"/>
              </w:rPr>
            </w:pPr>
          </w:p>
          <w:p w14:paraId="001B4F9C" w14:textId="58D4112A" w:rsidR="004D2530" w:rsidRDefault="00031FB9" w:rsidP="004D2530">
            <w:pPr>
              <w:rPr>
                <w:szCs w:val="22"/>
              </w:rPr>
            </w:pPr>
            <w:r>
              <w:rPr>
                <w:szCs w:val="22"/>
              </w:rPr>
              <w:t>The CIOT’s 18</w:t>
            </w:r>
            <w:r w:rsidR="00437F4A">
              <w:rPr>
                <w:szCs w:val="22"/>
              </w:rPr>
              <w:t>,</w:t>
            </w:r>
            <w:r>
              <w:rPr>
                <w:szCs w:val="22"/>
              </w:rPr>
              <w:t>0</w:t>
            </w:r>
            <w:r w:rsidR="003A03F9" w:rsidRPr="003A03F9">
              <w:rPr>
                <w:szCs w:val="22"/>
              </w:rPr>
              <w:t xml:space="preserve">00 members have the practising title of ‘Chartered Tax Adviser’ and the </w:t>
            </w:r>
            <w:proofErr w:type="spellStart"/>
            <w:r w:rsidR="003A03F9" w:rsidRPr="003A03F9">
              <w:rPr>
                <w:szCs w:val="22"/>
              </w:rPr>
              <w:t>designatory</w:t>
            </w:r>
            <w:proofErr w:type="spellEnd"/>
            <w:r w:rsidR="003A03F9" w:rsidRPr="003A03F9">
              <w:rPr>
                <w:szCs w:val="22"/>
              </w:rPr>
              <w:t xml:space="preserve"> letters ‘CTA’, to represent the leading tax qualification</w:t>
            </w:r>
            <w:r w:rsidR="005E6985">
              <w:rPr>
                <w:szCs w:val="22"/>
              </w:rPr>
              <w:t xml:space="preserve">. </w:t>
            </w:r>
          </w:p>
          <w:p w14:paraId="16C1251D" w14:textId="66FCB126" w:rsidR="005E6985" w:rsidRPr="003A03F9" w:rsidRDefault="005E6985" w:rsidP="004D2530">
            <w:pPr>
              <w:rPr>
                <w:szCs w:val="22"/>
              </w:rPr>
            </w:pPr>
          </w:p>
        </w:tc>
      </w:tr>
    </w:tbl>
    <w:p w14:paraId="0B2874CE" w14:textId="77777777" w:rsidR="004D2530" w:rsidRPr="003A03F9" w:rsidRDefault="004D2530">
      <w:pPr>
        <w:rPr>
          <w:szCs w:val="22"/>
        </w:rPr>
      </w:pPr>
    </w:p>
    <w:p w14:paraId="2A15C021" w14:textId="77777777" w:rsidR="00B33F1E" w:rsidRDefault="004D2530">
      <w:pPr>
        <w:rPr>
          <w:szCs w:val="22"/>
        </w:rPr>
      </w:pPr>
      <w:r w:rsidRPr="003A03F9">
        <w:rPr>
          <w:szCs w:val="22"/>
        </w:rPr>
        <w:t>The Chartered Institute of Taxation</w:t>
      </w:r>
    </w:p>
    <w:p w14:paraId="1F787BCC" w14:textId="5F64F09C" w:rsidR="00EA0BE3" w:rsidRDefault="007C3D10">
      <w:pPr>
        <w:rPr>
          <w:szCs w:val="22"/>
        </w:rPr>
      </w:pPr>
      <w:r>
        <w:rPr>
          <w:szCs w:val="22"/>
        </w:rPr>
        <w:fldChar w:fldCharType="begin"/>
      </w:r>
      <w:r w:rsidR="00B33F1E">
        <w:rPr>
          <w:szCs w:val="22"/>
        </w:rPr>
        <w:instrText xml:space="preserve"> DATE  \@ "d MMMM yyyy"  \* MERGEFORMAT </w:instrText>
      </w:r>
      <w:r>
        <w:rPr>
          <w:szCs w:val="22"/>
        </w:rPr>
        <w:fldChar w:fldCharType="separate"/>
      </w:r>
      <w:r w:rsidR="001D6D79">
        <w:rPr>
          <w:noProof/>
          <w:szCs w:val="22"/>
        </w:rPr>
        <w:t>9 June 2017</w:t>
      </w:r>
      <w:r>
        <w:rPr>
          <w:szCs w:val="22"/>
        </w:rPr>
        <w:fldChar w:fldCharType="end"/>
      </w:r>
    </w:p>
    <w:sectPr w:rsidR="00EA0BE3" w:rsidSect="003321E7">
      <w:headerReference w:type="default" r:id="rId12"/>
      <w:footerReference w:type="default" r:id="rId13"/>
      <w:footerReference w:type="first" r:id="rId14"/>
      <w:pgSz w:w="11906" w:h="16838"/>
      <w:pgMar w:top="1440" w:right="1416" w:bottom="29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42503" w14:textId="77777777" w:rsidR="00F9716D" w:rsidRDefault="00F9716D" w:rsidP="002B605B">
      <w:r>
        <w:separator/>
      </w:r>
    </w:p>
  </w:endnote>
  <w:endnote w:type="continuationSeparator" w:id="0">
    <w:p w14:paraId="54BD9B31" w14:textId="77777777" w:rsidR="00F9716D" w:rsidRDefault="00F9716D" w:rsidP="002B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93677384"/>
      <w:docPartObj>
        <w:docPartGallery w:val="Page Numbers (Bottom of Page)"/>
        <w:docPartUnique/>
      </w:docPartObj>
    </w:sdtPr>
    <w:sdtEndPr>
      <w:rPr>
        <w:noProof/>
      </w:rPr>
    </w:sdtEndPr>
    <w:sdtContent>
      <w:p w14:paraId="5DFD5372" w14:textId="77777777" w:rsidR="00F9716D" w:rsidRDefault="00F9716D" w:rsidP="00437F4A">
        <w:pPr>
          <w:pStyle w:val="Footer"/>
          <w:tabs>
            <w:tab w:val="clear" w:pos="8306"/>
            <w:tab w:val="right" w:pos="9214"/>
          </w:tabs>
          <w:ind w:left="-284"/>
          <w:jc w:val="center"/>
          <w:rPr>
            <w:sz w:val="20"/>
            <w:szCs w:val="20"/>
          </w:rPr>
        </w:pPr>
      </w:p>
      <w:p w14:paraId="5A7733EC" w14:textId="79F70248" w:rsidR="00F9716D" w:rsidRPr="00E45A20" w:rsidRDefault="00F9716D" w:rsidP="00437F4A">
        <w:pPr>
          <w:pStyle w:val="Footer"/>
          <w:tabs>
            <w:tab w:val="clear" w:pos="8306"/>
            <w:tab w:val="right" w:pos="9214"/>
          </w:tabs>
          <w:ind w:left="-284"/>
          <w:jc w:val="center"/>
          <w:rPr>
            <w:sz w:val="20"/>
            <w:szCs w:val="20"/>
          </w:rPr>
        </w:pPr>
        <w:r>
          <w:rPr>
            <w:sz w:val="20"/>
            <w:szCs w:val="20"/>
          </w:rPr>
          <w:t>P/tech/</w:t>
        </w:r>
        <w:proofErr w:type="spellStart"/>
        <w:r>
          <w:rPr>
            <w:sz w:val="20"/>
            <w:szCs w:val="20"/>
          </w:rPr>
          <w:t>subsfinal</w:t>
        </w:r>
        <w:proofErr w:type="spellEnd"/>
        <w:r w:rsidR="005E6985">
          <w:rPr>
            <w:sz w:val="20"/>
            <w:szCs w:val="20"/>
          </w:rPr>
          <w:t>/</w:t>
        </w:r>
        <w:r>
          <w:rPr>
            <w:sz w:val="20"/>
            <w:szCs w:val="20"/>
          </w:rPr>
          <w:t>DASWG</w:t>
        </w:r>
        <w:r w:rsidRPr="00E45A20">
          <w:rPr>
            <w:sz w:val="20"/>
            <w:szCs w:val="20"/>
          </w:rPr>
          <w:t>/</w:t>
        </w:r>
        <w:r>
          <w:rPr>
            <w:sz w:val="20"/>
            <w:szCs w:val="20"/>
          </w:rPr>
          <w:t>2017</w:t>
        </w:r>
        <w:r w:rsidRPr="00E45A20">
          <w:rPr>
            <w:sz w:val="20"/>
            <w:szCs w:val="20"/>
          </w:rPr>
          <w:tab/>
        </w:r>
        <w:r w:rsidRPr="00E45A20">
          <w:rPr>
            <w:sz w:val="20"/>
            <w:szCs w:val="20"/>
          </w:rPr>
          <w:tab/>
        </w:r>
        <w:r w:rsidRPr="00E45A20">
          <w:rPr>
            <w:sz w:val="20"/>
            <w:szCs w:val="20"/>
          </w:rPr>
          <w:fldChar w:fldCharType="begin"/>
        </w:r>
        <w:r w:rsidRPr="00E45A20">
          <w:rPr>
            <w:sz w:val="20"/>
            <w:szCs w:val="20"/>
          </w:rPr>
          <w:instrText xml:space="preserve"> PAGE   \* MERGEFORMAT </w:instrText>
        </w:r>
        <w:r w:rsidRPr="00E45A20">
          <w:rPr>
            <w:sz w:val="20"/>
            <w:szCs w:val="20"/>
          </w:rPr>
          <w:fldChar w:fldCharType="separate"/>
        </w:r>
        <w:r w:rsidR="001D6D79">
          <w:rPr>
            <w:noProof/>
            <w:sz w:val="20"/>
            <w:szCs w:val="20"/>
          </w:rPr>
          <w:t>16</w:t>
        </w:r>
        <w:r w:rsidRPr="00E45A20">
          <w:rPr>
            <w:noProof/>
            <w:sz w:val="20"/>
            <w:szCs w:val="20"/>
          </w:rPr>
          <w:fldChar w:fldCharType="end"/>
        </w:r>
      </w:p>
    </w:sdtContent>
  </w:sdt>
  <w:p w14:paraId="2A0FDA13" w14:textId="77777777" w:rsidR="00F9716D" w:rsidRDefault="00F97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2832B" w14:textId="77777777" w:rsidR="00F9716D" w:rsidRDefault="00F9716D" w:rsidP="00F82179">
    <w:pPr>
      <w:pStyle w:val="Footer"/>
      <w:ind w:left="-142"/>
      <w:jc w:val="center"/>
    </w:pPr>
    <w:r>
      <w:rPr>
        <w:noProof/>
        <w:lang w:eastAsia="en-GB"/>
      </w:rPr>
      <w:drawing>
        <wp:inline distT="0" distB="0" distL="0" distR="0" wp14:anchorId="036741C3" wp14:editId="2B528D4A">
          <wp:extent cx="5785402" cy="795130"/>
          <wp:effectExtent l="19050" t="0" r="5798" b="0"/>
          <wp:docPr id="1" name="Picture 1" descr="cfe footer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e footer bw"/>
                  <pic:cNvPicPr>
                    <a:picLocks noChangeAspect="1" noChangeArrowheads="1"/>
                  </pic:cNvPicPr>
                </pic:nvPicPr>
                <pic:blipFill>
                  <a:blip r:embed="rId1"/>
                  <a:srcRect/>
                  <a:stretch>
                    <a:fillRect/>
                  </a:stretch>
                </pic:blipFill>
                <pic:spPr bwMode="auto">
                  <a:xfrm>
                    <a:off x="0" y="0"/>
                    <a:ext cx="5784602" cy="79502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152DE" w14:textId="77777777" w:rsidR="00F9716D" w:rsidRDefault="00F9716D" w:rsidP="002B605B">
      <w:r>
        <w:separator/>
      </w:r>
    </w:p>
  </w:footnote>
  <w:footnote w:type="continuationSeparator" w:id="0">
    <w:p w14:paraId="6996D812" w14:textId="77777777" w:rsidR="00F9716D" w:rsidRDefault="00F9716D" w:rsidP="002B605B">
      <w:r>
        <w:continuationSeparator/>
      </w:r>
    </w:p>
  </w:footnote>
  <w:footnote w:id="1">
    <w:p w14:paraId="60956534" w14:textId="07F52A8B" w:rsidR="00F9716D" w:rsidRPr="005E6985" w:rsidRDefault="00F9716D">
      <w:pPr>
        <w:pStyle w:val="FootnoteText"/>
        <w:rPr>
          <w:sz w:val="18"/>
          <w:szCs w:val="18"/>
        </w:rPr>
      </w:pPr>
      <w:r w:rsidRPr="005E6985">
        <w:rPr>
          <w:rStyle w:val="FootnoteReference"/>
          <w:sz w:val="18"/>
          <w:szCs w:val="18"/>
        </w:rPr>
        <w:footnoteRef/>
      </w:r>
      <w:r w:rsidRPr="005E6985">
        <w:rPr>
          <w:sz w:val="18"/>
          <w:szCs w:val="18"/>
        </w:rPr>
        <w:t xml:space="preserve"> Making Tax Digital: Tax Administration – CIOT comments </w:t>
      </w:r>
      <w:hyperlink r:id="rId1" w:history="1">
        <w:r w:rsidRPr="005E6985">
          <w:rPr>
            <w:rStyle w:val="Hyperlink"/>
            <w:sz w:val="18"/>
            <w:szCs w:val="18"/>
          </w:rPr>
          <w:t>https://www.tax.org.uk/system/files_force/file_uploads/161107%20MTD%20-%20Tax%20Administration%20-%20CIOT%20comments.pdf?download=1</w:t>
        </w:r>
      </w:hyperlink>
    </w:p>
  </w:footnote>
  <w:footnote w:id="2">
    <w:p w14:paraId="37C6034A" w14:textId="31DB33B5" w:rsidR="00F9716D" w:rsidRPr="005E6985" w:rsidRDefault="00F9716D">
      <w:pPr>
        <w:pStyle w:val="FootnoteText"/>
        <w:rPr>
          <w:sz w:val="18"/>
          <w:szCs w:val="18"/>
        </w:rPr>
      </w:pPr>
      <w:r w:rsidRPr="005E6985">
        <w:rPr>
          <w:rStyle w:val="FootnoteReference"/>
          <w:sz w:val="18"/>
          <w:szCs w:val="18"/>
        </w:rPr>
        <w:footnoteRef/>
      </w:r>
      <w:r w:rsidRPr="005E6985">
        <w:rPr>
          <w:sz w:val="18"/>
          <w:szCs w:val="18"/>
        </w:rPr>
        <w:t xml:space="preserve"> HMRC Penalties – a discussion document – CIOT comments </w:t>
      </w:r>
      <w:hyperlink r:id="rId2" w:history="1">
        <w:r w:rsidRPr="005E6985">
          <w:rPr>
            <w:rStyle w:val="Hyperlink"/>
            <w:sz w:val="18"/>
            <w:szCs w:val="18"/>
          </w:rPr>
          <w:t>https://www.tax.org.uk/system/files_force/file_uploads/150511%20HMRC%20Penalties%20-%20a%20discussion%20document%20-%20CIOT%20comments.pdf?download=1</w:t>
        </w:r>
      </w:hyperlink>
    </w:p>
    <w:p w14:paraId="3725C0B4" w14:textId="77777777" w:rsidR="00F9716D" w:rsidRDefault="00F9716D">
      <w:pPr>
        <w:pStyle w:val="FootnoteText"/>
      </w:pPr>
    </w:p>
  </w:footnote>
  <w:footnote w:id="3">
    <w:p w14:paraId="018C73BD" w14:textId="77777777" w:rsidR="00F9716D" w:rsidRPr="005E6985" w:rsidRDefault="00F9716D" w:rsidP="00E563CC">
      <w:pPr>
        <w:autoSpaceDE w:val="0"/>
        <w:autoSpaceDN w:val="0"/>
        <w:adjustRightInd w:val="0"/>
        <w:rPr>
          <w:sz w:val="18"/>
          <w:szCs w:val="18"/>
        </w:rPr>
      </w:pPr>
      <w:r w:rsidRPr="005E6985">
        <w:rPr>
          <w:rStyle w:val="FootnoteReference"/>
          <w:sz w:val="18"/>
          <w:szCs w:val="18"/>
        </w:rPr>
        <w:footnoteRef/>
      </w:r>
      <w:r w:rsidRPr="005E6985">
        <w:rPr>
          <w:sz w:val="18"/>
          <w:szCs w:val="18"/>
        </w:rPr>
        <w:t xml:space="preserve">See paragraph 6 of our response document </w:t>
      </w:r>
      <w:hyperlink r:id="rId3" w:history="1">
        <w:r w:rsidRPr="005E6985">
          <w:rPr>
            <w:rStyle w:val="Hyperlink"/>
            <w:sz w:val="18"/>
            <w:szCs w:val="18"/>
          </w:rPr>
          <w:t>https://www.tax.org.uk/system/files_force/file_uploads/150511%20HMRC%20Penalties%20-%20a%20discussion%20document%20-%20CIOT%20comments.pdf?download=1</w:t>
        </w:r>
      </w:hyperlink>
      <w:r w:rsidRPr="005E6985">
        <w:rPr>
          <w:sz w:val="18"/>
          <w:szCs w:val="18"/>
        </w:rPr>
        <w:t xml:space="preserve"> </w:t>
      </w:r>
    </w:p>
  </w:footnote>
  <w:footnote w:id="4">
    <w:p w14:paraId="34DAF3B2" w14:textId="5F009275" w:rsidR="00F9716D" w:rsidRPr="005E6985" w:rsidRDefault="00F9716D" w:rsidP="00272702">
      <w:pPr>
        <w:pStyle w:val="FootnoteText"/>
        <w:rPr>
          <w:sz w:val="18"/>
          <w:szCs w:val="18"/>
        </w:rPr>
      </w:pPr>
      <w:r w:rsidRPr="005E6985">
        <w:rPr>
          <w:rStyle w:val="FootnoteReference"/>
          <w:sz w:val="18"/>
          <w:szCs w:val="18"/>
        </w:rPr>
        <w:footnoteRef/>
      </w:r>
      <w:r w:rsidRPr="005E6985">
        <w:rPr>
          <w:sz w:val="18"/>
          <w:szCs w:val="18"/>
        </w:rPr>
        <w:t xml:space="preserve"> See the OECD’s </w:t>
      </w:r>
      <w:r w:rsidR="005E6985">
        <w:rPr>
          <w:sz w:val="18"/>
          <w:szCs w:val="18"/>
        </w:rPr>
        <w:t>‘</w:t>
      </w:r>
      <w:r w:rsidRPr="005E6985">
        <w:rPr>
          <w:sz w:val="18"/>
          <w:szCs w:val="18"/>
        </w:rPr>
        <w:t>Technologies for Better Tax Administration A Practical Guide for Revenue Bodes</w:t>
      </w:r>
      <w:r w:rsidR="005E6985">
        <w:rPr>
          <w:sz w:val="18"/>
          <w:szCs w:val="18"/>
        </w:rPr>
        <w:t>’</w:t>
      </w:r>
      <w:r w:rsidRPr="005E6985">
        <w:rPr>
          <w:sz w:val="18"/>
          <w:szCs w:val="18"/>
        </w:rPr>
        <w:t xml:space="preserve"> May 2016 </w:t>
      </w:r>
      <w:hyperlink r:id="rId4" w:history="1">
        <w:r w:rsidRPr="005E6985">
          <w:rPr>
            <w:rStyle w:val="Hyperlink"/>
            <w:sz w:val="18"/>
            <w:szCs w:val="18"/>
          </w:rPr>
          <w:t>http://www.oecd.org/publications/technologies-for-better-tax-administration-9789264256439-en.htm</w:t>
        </w:r>
      </w:hyperlink>
      <w:r w:rsidRPr="005E6985">
        <w:rPr>
          <w:sz w:val="18"/>
          <w:szCs w:val="18"/>
        </w:rPr>
        <w:t xml:space="preserve"> </w:t>
      </w:r>
    </w:p>
  </w:footnote>
  <w:footnote w:id="5">
    <w:p w14:paraId="620CFC4F" w14:textId="650F29BC" w:rsidR="00F9716D" w:rsidRPr="005E6985" w:rsidRDefault="00F9716D">
      <w:pPr>
        <w:pStyle w:val="FootnoteText"/>
        <w:rPr>
          <w:sz w:val="18"/>
          <w:szCs w:val="18"/>
        </w:rPr>
      </w:pPr>
      <w:r w:rsidRPr="005E6985">
        <w:rPr>
          <w:rStyle w:val="FootnoteReference"/>
          <w:sz w:val="18"/>
          <w:szCs w:val="18"/>
        </w:rPr>
        <w:footnoteRef/>
      </w:r>
      <w:r w:rsidRPr="005E6985">
        <w:rPr>
          <w:sz w:val="18"/>
          <w:szCs w:val="18"/>
        </w:rPr>
        <w:t xml:space="preserve"> HMRC lost its status as a preferred creditor in 2003 following the implementation of Section 251 Enterprise Act 2002. The majority of unsecured creditors, including HMRC, now rank equally as non-preferential ordinary unsecured creditors, in insolvency proceedings.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80911" w14:textId="77777777" w:rsidR="00F9716D" w:rsidRDefault="00F9716D" w:rsidP="00421B35">
    <w:pPr>
      <w:pStyle w:val="Heading1"/>
      <w:ind w:hanging="284"/>
      <w:jc w:val="left"/>
      <w:rPr>
        <w:b w:val="0"/>
        <w:sz w:val="20"/>
        <w:szCs w:val="20"/>
      </w:rPr>
    </w:pPr>
    <w:r w:rsidRPr="00421B35">
      <w:rPr>
        <w:b w:val="0"/>
        <w:sz w:val="20"/>
      </w:rPr>
      <w:t xml:space="preserve">Making Tax Digital </w:t>
    </w:r>
    <w:r>
      <w:rPr>
        <w:b w:val="0"/>
        <w:sz w:val="20"/>
      </w:rPr>
      <w:t>–</w:t>
    </w:r>
    <w:r w:rsidRPr="00421B35">
      <w:rPr>
        <w:b w:val="0"/>
        <w:sz w:val="20"/>
      </w:rPr>
      <w:t xml:space="preserve"> sanctions for late submission an</w:t>
    </w:r>
    <w:r>
      <w:rPr>
        <w:b w:val="0"/>
        <w:sz w:val="20"/>
      </w:rPr>
      <w:t>d late payment</w:t>
    </w:r>
    <w:r w:rsidRPr="00421B35">
      <w:rPr>
        <w:b w:val="0"/>
        <w:sz w:val="20"/>
        <w:szCs w:val="20"/>
      </w:rPr>
      <w:t>:</w:t>
    </w:r>
  </w:p>
  <w:p w14:paraId="196DEC7F" w14:textId="3E6F8A22" w:rsidR="00F9716D" w:rsidRPr="00421B35" w:rsidRDefault="00F9716D" w:rsidP="00421B35">
    <w:pPr>
      <w:pStyle w:val="Heading1"/>
      <w:ind w:hanging="284"/>
      <w:jc w:val="left"/>
      <w:rPr>
        <w:b w:val="0"/>
        <w:sz w:val="20"/>
        <w:szCs w:val="20"/>
      </w:rPr>
    </w:pPr>
    <w:r w:rsidRPr="00421B35">
      <w:rPr>
        <w:b w:val="0"/>
        <w:sz w:val="20"/>
        <w:szCs w:val="20"/>
      </w:rPr>
      <w:t xml:space="preserve">CIOT Comments </w:t>
    </w:r>
    <w:r w:rsidRPr="00421B35">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sidRPr="00421B35">
      <w:rPr>
        <w:b w:val="0"/>
        <w:sz w:val="20"/>
        <w:szCs w:val="20"/>
      </w:rPr>
      <w:tab/>
    </w:r>
    <w:r w:rsidRPr="00421B35">
      <w:rPr>
        <w:b w:val="0"/>
        <w:sz w:val="20"/>
        <w:szCs w:val="20"/>
      </w:rPr>
      <w:fldChar w:fldCharType="begin"/>
    </w:r>
    <w:r w:rsidRPr="00421B35">
      <w:rPr>
        <w:b w:val="0"/>
        <w:sz w:val="20"/>
        <w:szCs w:val="20"/>
      </w:rPr>
      <w:instrText xml:space="preserve"> DATE  \@ "d MMMM yyyy"  \* MERGEFORMAT </w:instrText>
    </w:r>
    <w:r w:rsidRPr="00421B35">
      <w:rPr>
        <w:b w:val="0"/>
        <w:sz w:val="20"/>
        <w:szCs w:val="20"/>
      </w:rPr>
      <w:fldChar w:fldCharType="separate"/>
    </w:r>
    <w:r w:rsidR="001D6D79">
      <w:rPr>
        <w:b w:val="0"/>
        <w:noProof/>
        <w:sz w:val="20"/>
        <w:szCs w:val="20"/>
      </w:rPr>
      <w:t>9 June 2017</w:t>
    </w:r>
    <w:r w:rsidRPr="00421B35">
      <w:rPr>
        <w:b w:val="0"/>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4957"/>
    <w:multiLevelType w:val="hybridMultilevel"/>
    <w:tmpl w:val="4D009180"/>
    <w:lvl w:ilvl="0" w:tplc="713814D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17986"/>
    <w:multiLevelType w:val="hybridMultilevel"/>
    <w:tmpl w:val="D102B2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991F24"/>
    <w:multiLevelType w:val="multilevel"/>
    <w:tmpl w:val="99828E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A66F57"/>
    <w:multiLevelType w:val="multilevel"/>
    <w:tmpl w:val="99828E24"/>
    <w:numStyleLink w:val="CIOT"/>
  </w:abstractNum>
  <w:abstractNum w:abstractNumId="4" w15:restartNumberingAfterBreak="0">
    <w:nsid w:val="16660CE6"/>
    <w:multiLevelType w:val="hybridMultilevel"/>
    <w:tmpl w:val="0E00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470E4"/>
    <w:multiLevelType w:val="hybridMultilevel"/>
    <w:tmpl w:val="44D8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57785"/>
    <w:multiLevelType w:val="hybridMultilevel"/>
    <w:tmpl w:val="DD7A3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B27533"/>
    <w:multiLevelType w:val="hybridMultilevel"/>
    <w:tmpl w:val="ED66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43FC2"/>
    <w:multiLevelType w:val="hybridMultilevel"/>
    <w:tmpl w:val="9286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14073"/>
    <w:multiLevelType w:val="hybridMultilevel"/>
    <w:tmpl w:val="5C6E5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925D8"/>
    <w:multiLevelType w:val="hybridMultilevel"/>
    <w:tmpl w:val="CABE7B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57462"/>
    <w:multiLevelType w:val="multilevel"/>
    <w:tmpl w:val="97146F1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05F3475"/>
    <w:multiLevelType w:val="hybridMultilevel"/>
    <w:tmpl w:val="32DCA6D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0F36A94"/>
    <w:multiLevelType w:val="hybridMultilevel"/>
    <w:tmpl w:val="F792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C29E3"/>
    <w:multiLevelType w:val="hybridMultilevel"/>
    <w:tmpl w:val="922C0CDC"/>
    <w:lvl w:ilvl="0" w:tplc="713814D4">
      <w:start w:val="1"/>
      <w:numFmt w:val="decimal"/>
      <w:lvlText w:val="%1."/>
      <w:lvlJc w:val="left"/>
      <w:pPr>
        <w:ind w:left="785"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C16CF0"/>
    <w:multiLevelType w:val="multilevel"/>
    <w:tmpl w:val="99828E24"/>
    <w:styleLink w:val="CIO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BE66F2E"/>
    <w:multiLevelType w:val="multilevel"/>
    <w:tmpl w:val="040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432" w:hanging="432"/>
      </w:pPr>
    </w:lvl>
    <w:lvl w:ilvl="2">
      <w:start w:val="1"/>
      <w:numFmt w:val="decimal"/>
      <w:lvlText w:val="%1.%2.%3."/>
      <w:lvlJc w:val="left"/>
      <w:pPr>
        <w:tabs>
          <w:tab w:val="num" w:pos="1440"/>
        </w:tabs>
        <w:ind w:left="504" w:hanging="504"/>
      </w:pPr>
    </w:lvl>
    <w:lvl w:ilvl="3">
      <w:start w:val="1"/>
      <w:numFmt w:val="decimal"/>
      <w:lvlText w:val="%1.%2.%3.%4."/>
      <w:lvlJc w:val="left"/>
      <w:pPr>
        <w:tabs>
          <w:tab w:val="num" w:pos="216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6344DA5"/>
    <w:multiLevelType w:val="hybridMultilevel"/>
    <w:tmpl w:val="922C0CDC"/>
    <w:lvl w:ilvl="0" w:tplc="713814D4">
      <w:start w:val="1"/>
      <w:numFmt w:val="decimal"/>
      <w:lvlText w:val="%1."/>
      <w:lvlJc w:val="left"/>
      <w:pPr>
        <w:ind w:left="785"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40C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3B5375"/>
    <w:multiLevelType w:val="hybridMultilevel"/>
    <w:tmpl w:val="466A9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375437F"/>
    <w:multiLevelType w:val="multilevel"/>
    <w:tmpl w:val="0409001F"/>
    <w:numStyleLink w:val="111111"/>
  </w:abstractNum>
  <w:abstractNum w:abstractNumId="21" w15:restartNumberingAfterBreak="0">
    <w:nsid w:val="66D95981"/>
    <w:multiLevelType w:val="multilevel"/>
    <w:tmpl w:val="99828E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69A82F7A"/>
    <w:multiLevelType w:val="multilevel"/>
    <w:tmpl w:val="0409001F"/>
    <w:numStyleLink w:val="111111"/>
  </w:abstractNum>
  <w:abstractNum w:abstractNumId="23" w15:restartNumberingAfterBreak="0">
    <w:nsid w:val="6E9464C2"/>
    <w:multiLevelType w:val="hybridMultilevel"/>
    <w:tmpl w:val="0656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FD33D6"/>
    <w:multiLevelType w:val="multilevel"/>
    <w:tmpl w:val="99828E24"/>
    <w:numStyleLink w:val="CIOT"/>
  </w:abstractNum>
  <w:num w:numId="1">
    <w:abstractNumId w:val="16"/>
  </w:num>
  <w:num w:numId="2">
    <w:abstractNumId w:val="18"/>
  </w:num>
  <w:num w:numId="3">
    <w:abstractNumId w:val="22"/>
  </w:num>
  <w:num w:numId="4">
    <w:abstractNumId w:val="3"/>
  </w:num>
  <w:num w:numId="5">
    <w:abstractNumId w:val="15"/>
  </w:num>
  <w:num w:numId="6">
    <w:abstractNumId w:val="11"/>
  </w:num>
  <w:num w:numId="7">
    <w:abstractNumId w:val="24"/>
  </w:num>
  <w:num w:numId="8">
    <w:abstractNumId w:val="21"/>
  </w:num>
  <w:num w:numId="9">
    <w:abstractNumId w:val="2"/>
  </w:num>
  <w:num w:numId="10">
    <w:abstractNumId w:val="7"/>
  </w:num>
  <w:num w:numId="11">
    <w:abstractNumId w:val="5"/>
  </w:num>
  <w:num w:numId="12">
    <w:abstractNumId w:val="1"/>
  </w:num>
  <w:num w:numId="13">
    <w:abstractNumId w:val="19"/>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4"/>
  </w:num>
  <w:num w:numId="17">
    <w:abstractNumId w:val="8"/>
  </w:num>
  <w:num w:numId="18">
    <w:abstractNumId w:val="6"/>
  </w:num>
  <w:num w:numId="19">
    <w:abstractNumId w:val="14"/>
  </w:num>
  <w:num w:numId="20">
    <w:abstractNumId w:val="13"/>
  </w:num>
  <w:num w:numId="21">
    <w:abstractNumId w:val="10"/>
  </w:num>
  <w:num w:numId="22">
    <w:abstractNumId w:val="0"/>
  </w:num>
  <w:num w:numId="23">
    <w:abstractNumId w:val="17"/>
  </w:num>
  <w:num w:numId="24">
    <w:abstractNumId w:val="9"/>
  </w:num>
  <w:num w:numId="25">
    <w:abstractNumId w:val="20"/>
    <w:lvlOverride w:ilvl="0">
      <w:lvl w:ilvl="0">
        <w:start w:val="1"/>
        <w:numFmt w:val="decimal"/>
        <w:lvlText w:val="%1"/>
        <w:lvlJc w:val="left"/>
        <w:pPr>
          <w:tabs>
            <w:tab w:val="num" w:pos="360"/>
          </w:tabs>
          <w:ind w:left="360" w:hanging="360"/>
        </w:pPr>
        <w:rPr>
          <w:i w:val="0"/>
        </w:rPr>
      </w:lvl>
    </w:lvlOverride>
    <w:lvlOverride w:ilvl="1">
      <w:lvl w:ilvl="1">
        <w:start w:val="1"/>
        <w:numFmt w:val="decimal"/>
        <w:lvlText w:val="%1.%2"/>
        <w:lvlJc w:val="left"/>
        <w:pPr>
          <w:tabs>
            <w:tab w:val="num" w:pos="432"/>
          </w:tabs>
          <w:ind w:left="432" w:hanging="432"/>
        </w:pPr>
        <w:rPr>
          <w:b w:val="0"/>
          <w:i w:val="0"/>
        </w:rPr>
      </w:lvl>
    </w:lvlOverride>
    <w:lvlOverride w:ilvl="2">
      <w:lvl w:ilvl="2">
        <w:start w:val="1"/>
        <w:numFmt w:val="decimal"/>
        <w:lvlText w:val="%1.%2.%3"/>
        <w:lvlJc w:val="left"/>
        <w:pPr>
          <w:tabs>
            <w:tab w:val="num" w:pos="504"/>
          </w:tabs>
          <w:ind w:left="504" w:hanging="504"/>
        </w:pPr>
        <w:rPr>
          <w:rFonts w:ascii="Calibri" w:hAnsi="Calibri" w:hint="default"/>
          <w:b w:val="0"/>
          <w:i w:val="0"/>
          <w:sz w:val="22"/>
          <w:szCs w:val="22"/>
        </w:r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DAB"/>
    <w:rsid w:val="0000055D"/>
    <w:rsid w:val="000079F2"/>
    <w:rsid w:val="000114E5"/>
    <w:rsid w:val="00013F8C"/>
    <w:rsid w:val="000174FE"/>
    <w:rsid w:val="00022200"/>
    <w:rsid w:val="000267B3"/>
    <w:rsid w:val="00031F23"/>
    <w:rsid w:val="00031FB9"/>
    <w:rsid w:val="00042C7A"/>
    <w:rsid w:val="00047ED3"/>
    <w:rsid w:val="00052BD9"/>
    <w:rsid w:val="00057E0C"/>
    <w:rsid w:val="0007300F"/>
    <w:rsid w:val="00091700"/>
    <w:rsid w:val="00092061"/>
    <w:rsid w:val="000A3513"/>
    <w:rsid w:val="000A584A"/>
    <w:rsid w:val="000A70E4"/>
    <w:rsid w:val="000B6B82"/>
    <w:rsid w:val="000C647D"/>
    <w:rsid w:val="000E333C"/>
    <w:rsid w:val="00101C46"/>
    <w:rsid w:val="00110C6F"/>
    <w:rsid w:val="001129EE"/>
    <w:rsid w:val="001142A7"/>
    <w:rsid w:val="00114702"/>
    <w:rsid w:val="0011663E"/>
    <w:rsid w:val="00120711"/>
    <w:rsid w:val="0012529E"/>
    <w:rsid w:val="0012568C"/>
    <w:rsid w:val="0012595A"/>
    <w:rsid w:val="001311CB"/>
    <w:rsid w:val="001329BB"/>
    <w:rsid w:val="0013369E"/>
    <w:rsid w:val="00155C3C"/>
    <w:rsid w:val="00165700"/>
    <w:rsid w:val="00170076"/>
    <w:rsid w:val="001755E2"/>
    <w:rsid w:val="00181126"/>
    <w:rsid w:val="001934BC"/>
    <w:rsid w:val="001A0DDD"/>
    <w:rsid w:val="001A1722"/>
    <w:rsid w:val="001A3353"/>
    <w:rsid w:val="001A610D"/>
    <w:rsid w:val="001A6F03"/>
    <w:rsid w:val="001B15C9"/>
    <w:rsid w:val="001B2906"/>
    <w:rsid w:val="001B4E69"/>
    <w:rsid w:val="001C18A9"/>
    <w:rsid w:val="001C501F"/>
    <w:rsid w:val="001D31EA"/>
    <w:rsid w:val="001D3E33"/>
    <w:rsid w:val="001D3FB0"/>
    <w:rsid w:val="001D6D79"/>
    <w:rsid w:val="001E3C8F"/>
    <w:rsid w:val="001E5F64"/>
    <w:rsid w:val="001F1E12"/>
    <w:rsid w:val="001F76B4"/>
    <w:rsid w:val="001F7D70"/>
    <w:rsid w:val="00204AA3"/>
    <w:rsid w:val="002127DE"/>
    <w:rsid w:val="002263DC"/>
    <w:rsid w:val="00244142"/>
    <w:rsid w:val="00246866"/>
    <w:rsid w:val="00247395"/>
    <w:rsid w:val="00247A62"/>
    <w:rsid w:val="0025306C"/>
    <w:rsid w:val="00262553"/>
    <w:rsid w:val="00265067"/>
    <w:rsid w:val="0027010B"/>
    <w:rsid w:val="00272702"/>
    <w:rsid w:val="00273826"/>
    <w:rsid w:val="00274AB3"/>
    <w:rsid w:val="002868F8"/>
    <w:rsid w:val="00286E06"/>
    <w:rsid w:val="002A306E"/>
    <w:rsid w:val="002A439A"/>
    <w:rsid w:val="002B605B"/>
    <w:rsid w:val="002B68CF"/>
    <w:rsid w:val="002B6F3E"/>
    <w:rsid w:val="002C01C3"/>
    <w:rsid w:val="002C2B9D"/>
    <w:rsid w:val="002C33C5"/>
    <w:rsid w:val="002C3F9B"/>
    <w:rsid w:val="002C76EC"/>
    <w:rsid w:val="002E3881"/>
    <w:rsid w:val="002E6259"/>
    <w:rsid w:val="002F3022"/>
    <w:rsid w:val="002F7312"/>
    <w:rsid w:val="002F7BFE"/>
    <w:rsid w:val="00306594"/>
    <w:rsid w:val="00310F4D"/>
    <w:rsid w:val="00314A7A"/>
    <w:rsid w:val="00322D0C"/>
    <w:rsid w:val="003265E8"/>
    <w:rsid w:val="00327078"/>
    <w:rsid w:val="00327ACF"/>
    <w:rsid w:val="003321E7"/>
    <w:rsid w:val="00337BB7"/>
    <w:rsid w:val="003453B8"/>
    <w:rsid w:val="00352EE5"/>
    <w:rsid w:val="00361341"/>
    <w:rsid w:val="003613A4"/>
    <w:rsid w:val="0037428E"/>
    <w:rsid w:val="00384FB4"/>
    <w:rsid w:val="00396873"/>
    <w:rsid w:val="003A03F9"/>
    <w:rsid w:val="003A0D17"/>
    <w:rsid w:val="003A1486"/>
    <w:rsid w:val="003B7245"/>
    <w:rsid w:val="003B72B5"/>
    <w:rsid w:val="003C7160"/>
    <w:rsid w:val="003D189C"/>
    <w:rsid w:val="003D52B4"/>
    <w:rsid w:val="003E237B"/>
    <w:rsid w:val="003F50E9"/>
    <w:rsid w:val="003F7898"/>
    <w:rsid w:val="00401231"/>
    <w:rsid w:val="004038ED"/>
    <w:rsid w:val="00406AB0"/>
    <w:rsid w:val="00415D40"/>
    <w:rsid w:val="00420ADC"/>
    <w:rsid w:val="00421B35"/>
    <w:rsid w:val="00424C39"/>
    <w:rsid w:val="00430575"/>
    <w:rsid w:val="00437F4A"/>
    <w:rsid w:val="004566FE"/>
    <w:rsid w:val="00460F02"/>
    <w:rsid w:val="004624A3"/>
    <w:rsid w:val="004A0EAA"/>
    <w:rsid w:val="004A6A29"/>
    <w:rsid w:val="004B158D"/>
    <w:rsid w:val="004B4FF8"/>
    <w:rsid w:val="004B782D"/>
    <w:rsid w:val="004C0282"/>
    <w:rsid w:val="004C1BDD"/>
    <w:rsid w:val="004C279D"/>
    <w:rsid w:val="004C6627"/>
    <w:rsid w:val="004C73EC"/>
    <w:rsid w:val="004D1F26"/>
    <w:rsid w:val="004D2530"/>
    <w:rsid w:val="004E0C80"/>
    <w:rsid w:val="004E59E1"/>
    <w:rsid w:val="004F117C"/>
    <w:rsid w:val="004F50C3"/>
    <w:rsid w:val="005002C8"/>
    <w:rsid w:val="00513975"/>
    <w:rsid w:val="0052659B"/>
    <w:rsid w:val="0053017F"/>
    <w:rsid w:val="00536AE5"/>
    <w:rsid w:val="005412DA"/>
    <w:rsid w:val="005446F7"/>
    <w:rsid w:val="00546F79"/>
    <w:rsid w:val="00571DB2"/>
    <w:rsid w:val="005727D2"/>
    <w:rsid w:val="00583E27"/>
    <w:rsid w:val="005873B1"/>
    <w:rsid w:val="00587B2B"/>
    <w:rsid w:val="0059047B"/>
    <w:rsid w:val="005933B6"/>
    <w:rsid w:val="005942E1"/>
    <w:rsid w:val="005978F0"/>
    <w:rsid w:val="00597A21"/>
    <w:rsid w:val="00597A5B"/>
    <w:rsid w:val="005A37BB"/>
    <w:rsid w:val="005A676A"/>
    <w:rsid w:val="005A71D3"/>
    <w:rsid w:val="005B1150"/>
    <w:rsid w:val="005B1D87"/>
    <w:rsid w:val="005B44BB"/>
    <w:rsid w:val="005B4988"/>
    <w:rsid w:val="005B6B56"/>
    <w:rsid w:val="005C197F"/>
    <w:rsid w:val="005D19F2"/>
    <w:rsid w:val="005D3746"/>
    <w:rsid w:val="005D5D74"/>
    <w:rsid w:val="005E446F"/>
    <w:rsid w:val="005E44DC"/>
    <w:rsid w:val="005E6985"/>
    <w:rsid w:val="005E7BAC"/>
    <w:rsid w:val="00600BE9"/>
    <w:rsid w:val="006021E2"/>
    <w:rsid w:val="006040EF"/>
    <w:rsid w:val="00605949"/>
    <w:rsid w:val="006141F4"/>
    <w:rsid w:val="00617CC0"/>
    <w:rsid w:val="00624A52"/>
    <w:rsid w:val="00624E29"/>
    <w:rsid w:val="00624FAA"/>
    <w:rsid w:val="00625356"/>
    <w:rsid w:val="00626449"/>
    <w:rsid w:val="0063310C"/>
    <w:rsid w:val="00636DCB"/>
    <w:rsid w:val="00645954"/>
    <w:rsid w:val="00650FB5"/>
    <w:rsid w:val="0065745C"/>
    <w:rsid w:val="00671715"/>
    <w:rsid w:val="006823E4"/>
    <w:rsid w:val="006A427D"/>
    <w:rsid w:val="006A4F32"/>
    <w:rsid w:val="006B4B3B"/>
    <w:rsid w:val="006B5E1C"/>
    <w:rsid w:val="006B794C"/>
    <w:rsid w:val="006B7E91"/>
    <w:rsid w:val="006C1043"/>
    <w:rsid w:val="006C69B9"/>
    <w:rsid w:val="006D4AAF"/>
    <w:rsid w:val="006E3775"/>
    <w:rsid w:val="006E5320"/>
    <w:rsid w:val="0071117F"/>
    <w:rsid w:val="007126D2"/>
    <w:rsid w:val="00714801"/>
    <w:rsid w:val="00714E4A"/>
    <w:rsid w:val="0072491C"/>
    <w:rsid w:val="00740DCE"/>
    <w:rsid w:val="007419D8"/>
    <w:rsid w:val="00745702"/>
    <w:rsid w:val="00751E99"/>
    <w:rsid w:val="00755F46"/>
    <w:rsid w:val="0076079E"/>
    <w:rsid w:val="00764727"/>
    <w:rsid w:val="007658BC"/>
    <w:rsid w:val="00765B96"/>
    <w:rsid w:val="00773DCE"/>
    <w:rsid w:val="00792193"/>
    <w:rsid w:val="0079521C"/>
    <w:rsid w:val="007A204B"/>
    <w:rsid w:val="007A46C0"/>
    <w:rsid w:val="007B26BF"/>
    <w:rsid w:val="007C3D10"/>
    <w:rsid w:val="007D1EB4"/>
    <w:rsid w:val="007E2CD0"/>
    <w:rsid w:val="007F1DE1"/>
    <w:rsid w:val="007F2566"/>
    <w:rsid w:val="007F35B1"/>
    <w:rsid w:val="00801FFA"/>
    <w:rsid w:val="008036F8"/>
    <w:rsid w:val="0081019C"/>
    <w:rsid w:val="00816F66"/>
    <w:rsid w:val="00823101"/>
    <w:rsid w:val="00832D19"/>
    <w:rsid w:val="00841348"/>
    <w:rsid w:val="00846BB7"/>
    <w:rsid w:val="00862B04"/>
    <w:rsid w:val="00873AF9"/>
    <w:rsid w:val="00884F81"/>
    <w:rsid w:val="00890F1F"/>
    <w:rsid w:val="00891683"/>
    <w:rsid w:val="008942BB"/>
    <w:rsid w:val="00897826"/>
    <w:rsid w:val="008A40B5"/>
    <w:rsid w:val="008A74F3"/>
    <w:rsid w:val="008B6FEB"/>
    <w:rsid w:val="008F0C2A"/>
    <w:rsid w:val="008F5218"/>
    <w:rsid w:val="008F59DE"/>
    <w:rsid w:val="008F659E"/>
    <w:rsid w:val="00902C48"/>
    <w:rsid w:val="00905DD4"/>
    <w:rsid w:val="00915A3F"/>
    <w:rsid w:val="00920C41"/>
    <w:rsid w:val="00920DDF"/>
    <w:rsid w:val="00923E57"/>
    <w:rsid w:val="00931F7C"/>
    <w:rsid w:val="00934115"/>
    <w:rsid w:val="00944C95"/>
    <w:rsid w:val="0096044F"/>
    <w:rsid w:val="009651B7"/>
    <w:rsid w:val="009674D2"/>
    <w:rsid w:val="00976BF9"/>
    <w:rsid w:val="009800C2"/>
    <w:rsid w:val="00986D49"/>
    <w:rsid w:val="009877A1"/>
    <w:rsid w:val="009961A9"/>
    <w:rsid w:val="009963E0"/>
    <w:rsid w:val="00997AB3"/>
    <w:rsid w:val="009A4BF6"/>
    <w:rsid w:val="009C6A16"/>
    <w:rsid w:val="009D326C"/>
    <w:rsid w:val="009E3A8E"/>
    <w:rsid w:val="009E6D64"/>
    <w:rsid w:val="009E6F3B"/>
    <w:rsid w:val="009F1A3E"/>
    <w:rsid w:val="009F74B7"/>
    <w:rsid w:val="00A14C2A"/>
    <w:rsid w:val="00A1617B"/>
    <w:rsid w:val="00A26A27"/>
    <w:rsid w:val="00A30488"/>
    <w:rsid w:val="00A30E68"/>
    <w:rsid w:val="00A421C2"/>
    <w:rsid w:val="00A43225"/>
    <w:rsid w:val="00A47A14"/>
    <w:rsid w:val="00A52C2E"/>
    <w:rsid w:val="00A556F2"/>
    <w:rsid w:val="00A633F9"/>
    <w:rsid w:val="00A725BF"/>
    <w:rsid w:val="00A80806"/>
    <w:rsid w:val="00A814E2"/>
    <w:rsid w:val="00A8153E"/>
    <w:rsid w:val="00A97B21"/>
    <w:rsid w:val="00AA734C"/>
    <w:rsid w:val="00AB00BD"/>
    <w:rsid w:val="00AB197B"/>
    <w:rsid w:val="00AB4382"/>
    <w:rsid w:val="00AC18E8"/>
    <w:rsid w:val="00AC2025"/>
    <w:rsid w:val="00AD2F9A"/>
    <w:rsid w:val="00AD5541"/>
    <w:rsid w:val="00AD6641"/>
    <w:rsid w:val="00AE5167"/>
    <w:rsid w:val="00AE5AA2"/>
    <w:rsid w:val="00AF0960"/>
    <w:rsid w:val="00AF282A"/>
    <w:rsid w:val="00B051A4"/>
    <w:rsid w:val="00B12CAF"/>
    <w:rsid w:val="00B33F1E"/>
    <w:rsid w:val="00B356F4"/>
    <w:rsid w:val="00B51BEA"/>
    <w:rsid w:val="00B54BF2"/>
    <w:rsid w:val="00B61A5E"/>
    <w:rsid w:val="00B632A5"/>
    <w:rsid w:val="00B75A0E"/>
    <w:rsid w:val="00B841C1"/>
    <w:rsid w:val="00B84F40"/>
    <w:rsid w:val="00B85964"/>
    <w:rsid w:val="00B95801"/>
    <w:rsid w:val="00BA5A67"/>
    <w:rsid w:val="00BB22D6"/>
    <w:rsid w:val="00BB7CCB"/>
    <w:rsid w:val="00BD12AB"/>
    <w:rsid w:val="00BD3123"/>
    <w:rsid w:val="00BE013A"/>
    <w:rsid w:val="00BF730D"/>
    <w:rsid w:val="00C05E04"/>
    <w:rsid w:val="00C1326F"/>
    <w:rsid w:val="00C13B88"/>
    <w:rsid w:val="00C27748"/>
    <w:rsid w:val="00C418FE"/>
    <w:rsid w:val="00C45B43"/>
    <w:rsid w:val="00C54777"/>
    <w:rsid w:val="00C60746"/>
    <w:rsid w:val="00C676AF"/>
    <w:rsid w:val="00C7095D"/>
    <w:rsid w:val="00C72E7E"/>
    <w:rsid w:val="00C76BFB"/>
    <w:rsid w:val="00C76FE6"/>
    <w:rsid w:val="00C80025"/>
    <w:rsid w:val="00CA3E4D"/>
    <w:rsid w:val="00CB2CDC"/>
    <w:rsid w:val="00CB742F"/>
    <w:rsid w:val="00CC1DDC"/>
    <w:rsid w:val="00CC3D6D"/>
    <w:rsid w:val="00CC6586"/>
    <w:rsid w:val="00CD35FC"/>
    <w:rsid w:val="00CD4317"/>
    <w:rsid w:val="00CD5305"/>
    <w:rsid w:val="00CD5940"/>
    <w:rsid w:val="00CD5A4A"/>
    <w:rsid w:val="00CD76A9"/>
    <w:rsid w:val="00CD76C4"/>
    <w:rsid w:val="00CE3525"/>
    <w:rsid w:val="00CE6E22"/>
    <w:rsid w:val="00CF0E27"/>
    <w:rsid w:val="00CF1E61"/>
    <w:rsid w:val="00D061C8"/>
    <w:rsid w:val="00D166D6"/>
    <w:rsid w:val="00D30DF5"/>
    <w:rsid w:val="00D55B45"/>
    <w:rsid w:val="00D67843"/>
    <w:rsid w:val="00D84FD1"/>
    <w:rsid w:val="00D86C89"/>
    <w:rsid w:val="00DB2C80"/>
    <w:rsid w:val="00DB36DD"/>
    <w:rsid w:val="00DB4FEA"/>
    <w:rsid w:val="00DC0DFD"/>
    <w:rsid w:val="00DC15E8"/>
    <w:rsid w:val="00DD2504"/>
    <w:rsid w:val="00DD51DA"/>
    <w:rsid w:val="00DE0B21"/>
    <w:rsid w:val="00DE10FD"/>
    <w:rsid w:val="00E004F5"/>
    <w:rsid w:val="00E05775"/>
    <w:rsid w:val="00E06042"/>
    <w:rsid w:val="00E20705"/>
    <w:rsid w:val="00E30BF0"/>
    <w:rsid w:val="00E31EB0"/>
    <w:rsid w:val="00E32A12"/>
    <w:rsid w:val="00E35939"/>
    <w:rsid w:val="00E40ED5"/>
    <w:rsid w:val="00E45A20"/>
    <w:rsid w:val="00E5076E"/>
    <w:rsid w:val="00E563CC"/>
    <w:rsid w:val="00E74321"/>
    <w:rsid w:val="00E77B35"/>
    <w:rsid w:val="00E827AD"/>
    <w:rsid w:val="00E86014"/>
    <w:rsid w:val="00E95733"/>
    <w:rsid w:val="00EA0BE3"/>
    <w:rsid w:val="00EA0F85"/>
    <w:rsid w:val="00EB0A6C"/>
    <w:rsid w:val="00EB2605"/>
    <w:rsid w:val="00EB4E8A"/>
    <w:rsid w:val="00EC0614"/>
    <w:rsid w:val="00EC1097"/>
    <w:rsid w:val="00ED06A9"/>
    <w:rsid w:val="00ED1A19"/>
    <w:rsid w:val="00ED42A5"/>
    <w:rsid w:val="00ED7E57"/>
    <w:rsid w:val="00EE1593"/>
    <w:rsid w:val="00EE2D00"/>
    <w:rsid w:val="00EE4541"/>
    <w:rsid w:val="00EF12D7"/>
    <w:rsid w:val="00EF38D4"/>
    <w:rsid w:val="00F01742"/>
    <w:rsid w:val="00F029C2"/>
    <w:rsid w:val="00F14800"/>
    <w:rsid w:val="00F1506E"/>
    <w:rsid w:val="00F1597D"/>
    <w:rsid w:val="00F17478"/>
    <w:rsid w:val="00F17959"/>
    <w:rsid w:val="00F17B89"/>
    <w:rsid w:val="00F22936"/>
    <w:rsid w:val="00F277DC"/>
    <w:rsid w:val="00F27CE7"/>
    <w:rsid w:val="00F407FA"/>
    <w:rsid w:val="00F4166C"/>
    <w:rsid w:val="00F4380E"/>
    <w:rsid w:val="00F4722F"/>
    <w:rsid w:val="00F56B43"/>
    <w:rsid w:val="00F612B0"/>
    <w:rsid w:val="00F63DF6"/>
    <w:rsid w:val="00F70C57"/>
    <w:rsid w:val="00F73A21"/>
    <w:rsid w:val="00F772EB"/>
    <w:rsid w:val="00F77B89"/>
    <w:rsid w:val="00F81672"/>
    <w:rsid w:val="00F819D5"/>
    <w:rsid w:val="00F82179"/>
    <w:rsid w:val="00F92A18"/>
    <w:rsid w:val="00F92A32"/>
    <w:rsid w:val="00F9710B"/>
    <w:rsid w:val="00F9716D"/>
    <w:rsid w:val="00FA0A1A"/>
    <w:rsid w:val="00FA0DAB"/>
    <w:rsid w:val="00FA2EEF"/>
    <w:rsid w:val="00FB43CE"/>
    <w:rsid w:val="00FC42BA"/>
    <w:rsid w:val="00FD14CF"/>
    <w:rsid w:val="00FD3217"/>
    <w:rsid w:val="00FD36B8"/>
    <w:rsid w:val="00FE1276"/>
    <w:rsid w:val="00FE1623"/>
    <w:rsid w:val="00FE18ED"/>
    <w:rsid w:val="00FE1EC3"/>
    <w:rsid w:val="00FE4CC1"/>
    <w:rsid w:val="00FF0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60616AE"/>
  <w15:docId w15:val="{37A2AE7A-2322-40B8-A9DE-CFEB1488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E04"/>
    <w:rPr>
      <w:rFonts w:ascii="Arial" w:hAnsi="Arial" w:cs="Arial"/>
      <w:sz w:val="22"/>
      <w:szCs w:val="24"/>
    </w:rPr>
  </w:style>
  <w:style w:type="paragraph" w:styleId="Heading1">
    <w:name w:val="heading 1"/>
    <w:aliases w:val="CIOT Heading"/>
    <w:basedOn w:val="Normal"/>
    <w:next w:val="Normal"/>
    <w:qFormat/>
    <w:rsid w:val="00F82179"/>
    <w:pPr>
      <w:keepNext/>
      <w:jc w:val="center"/>
      <w:outlineLvl w:val="0"/>
    </w:pPr>
    <w:rPr>
      <w:b/>
    </w:rPr>
  </w:style>
  <w:style w:type="paragraph" w:styleId="Heading2">
    <w:name w:val="heading 2"/>
    <w:aliases w:val="CIOT Sub Heading"/>
    <w:basedOn w:val="Normal"/>
    <w:next w:val="Normal"/>
    <w:qFormat/>
    <w:rsid w:val="00F82179"/>
    <w:pPr>
      <w:keepNext/>
      <w:outlineLvl w:val="1"/>
    </w:pPr>
    <w:rPr>
      <w:b/>
      <w:i/>
    </w:rPr>
  </w:style>
  <w:style w:type="paragraph" w:styleId="Heading3">
    <w:name w:val="heading 3"/>
    <w:basedOn w:val="Normal"/>
    <w:next w:val="Normal"/>
    <w:rsid w:val="00F82179"/>
    <w:pPr>
      <w:keepNext/>
      <w:outlineLvl w:val="2"/>
    </w:pPr>
    <w:rPr>
      <w:rFonts w:ascii="StoneSans" w:hAnsi="StoneSan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3D10"/>
    <w:pPr>
      <w:tabs>
        <w:tab w:val="center" w:pos="4153"/>
        <w:tab w:val="right" w:pos="8306"/>
      </w:tabs>
    </w:pPr>
  </w:style>
  <w:style w:type="paragraph" w:styleId="Footer">
    <w:name w:val="footer"/>
    <w:basedOn w:val="Normal"/>
    <w:link w:val="FooterChar"/>
    <w:uiPriority w:val="99"/>
    <w:rsid w:val="007C3D10"/>
    <w:pPr>
      <w:tabs>
        <w:tab w:val="center" w:pos="4153"/>
        <w:tab w:val="right" w:pos="8306"/>
      </w:tabs>
    </w:pPr>
  </w:style>
  <w:style w:type="table" w:styleId="TableGrid">
    <w:name w:val="Table Grid"/>
    <w:basedOn w:val="TableNormal"/>
    <w:rsid w:val="00F15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rsid w:val="00625356"/>
    <w:pPr>
      <w:numPr>
        <w:numId w:val="1"/>
      </w:numPr>
    </w:pPr>
  </w:style>
  <w:style w:type="numbering" w:customStyle="1" w:styleId="CIOT">
    <w:name w:val="CIOT"/>
    <w:rsid w:val="00625356"/>
    <w:pPr>
      <w:numPr>
        <w:numId w:val="5"/>
      </w:numPr>
    </w:pPr>
  </w:style>
  <w:style w:type="character" w:styleId="Emphasis">
    <w:name w:val="Emphasis"/>
    <w:aliases w:val="CIOT Quote"/>
    <w:basedOn w:val="DefaultParagraphFont"/>
    <w:qFormat/>
    <w:rsid w:val="00F82179"/>
    <w:rPr>
      <w:rFonts w:ascii="Arial" w:hAnsi="Arial"/>
      <w:i/>
      <w:iCs/>
      <w:sz w:val="22"/>
    </w:rPr>
  </w:style>
  <w:style w:type="paragraph" w:customStyle="1" w:styleId="Default">
    <w:name w:val="Default"/>
    <w:link w:val="DefaultChar"/>
    <w:rsid w:val="00D061C8"/>
    <w:pPr>
      <w:autoSpaceDE w:val="0"/>
      <w:autoSpaceDN w:val="0"/>
      <w:adjustRightInd w:val="0"/>
    </w:pPr>
    <w:rPr>
      <w:rFonts w:ascii="Arial" w:hAnsi="Arial" w:cs="Arial"/>
      <w:color w:val="000000"/>
      <w:sz w:val="24"/>
      <w:szCs w:val="24"/>
    </w:rPr>
  </w:style>
  <w:style w:type="character" w:customStyle="1" w:styleId="DefaultChar">
    <w:name w:val="Default Char"/>
    <w:basedOn w:val="DefaultParagraphFont"/>
    <w:link w:val="Default"/>
    <w:rsid w:val="00D061C8"/>
    <w:rPr>
      <w:rFonts w:ascii="Arial" w:hAnsi="Arial" w:cs="Arial"/>
      <w:color w:val="000000"/>
      <w:sz w:val="24"/>
      <w:szCs w:val="24"/>
      <w:lang w:val="en-GB" w:eastAsia="en-GB" w:bidi="ar-SA"/>
    </w:rPr>
  </w:style>
  <w:style w:type="paragraph" w:styleId="BalloonText">
    <w:name w:val="Balloon Text"/>
    <w:basedOn w:val="Normal"/>
    <w:link w:val="BalloonTextChar"/>
    <w:rsid w:val="00F82179"/>
    <w:rPr>
      <w:rFonts w:ascii="Tahoma" w:hAnsi="Tahoma" w:cs="Tahoma"/>
      <w:sz w:val="16"/>
      <w:szCs w:val="16"/>
    </w:rPr>
  </w:style>
  <w:style w:type="character" w:customStyle="1" w:styleId="BalloonTextChar">
    <w:name w:val="Balloon Text Char"/>
    <w:basedOn w:val="DefaultParagraphFont"/>
    <w:link w:val="BalloonText"/>
    <w:rsid w:val="00F82179"/>
    <w:rPr>
      <w:rFonts w:ascii="Tahoma" w:hAnsi="Tahoma" w:cs="Tahoma"/>
      <w:sz w:val="16"/>
      <w:szCs w:val="16"/>
    </w:rPr>
  </w:style>
  <w:style w:type="character" w:customStyle="1" w:styleId="FooterChar">
    <w:name w:val="Footer Char"/>
    <w:basedOn w:val="DefaultParagraphFont"/>
    <w:link w:val="Footer"/>
    <w:uiPriority w:val="99"/>
    <w:rsid w:val="000A70E4"/>
    <w:rPr>
      <w:rFonts w:ascii="Arial" w:hAnsi="Arial" w:cs="Arial"/>
      <w:szCs w:val="24"/>
      <w:lang w:eastAsia="en-US"/>
    </w:rPr>
  </w:style>
  <w:style w:type="paragraph" w:styleId="NormalWeb">
    <w:name w:val="Normal (Web)"/>
    <w:basedOn w:val="Normal"/>
    <w:uiPriority w:val="99"/>
    <w:unhideWhenUsed/>
    <w:rsid w:val="00645954"/>
    <w:pPr>
      <w:spacing w:before="100" w:beforeAutospacing="1" w:after="100" w:afterAutospacing="1"/>
    </w:pPr>
    <w:rPr>
      <w:rFonts w:ascii="Times New Roman" w:hAnsi="Times New Roman" w:cs="Times New Roman"/>
      <w:sz w:val="24"/>
      <w:lang w:eastAsia="en-GB"/>
    </w:rPr>
  </w:style>
  <w:style w:type="paragraph" w:styleId="ListParagraph">
    <w:name w:val="List Paragraph"/>
    <w:basedOn w:val="Normal"/>
    <w:uiPriority w:val="34"/>
    <w:qFormat/>
    <w:rsid w:val="004F117C"/>
    <w:pPr>
      <w:spacing w:after="160" w:line="25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semiHidden/>
    <w:unhideWhenUsed/>
    <w:rsid w:val="00CD5940"/>
    <w:rPr>
      <w:sz w:val="16"/>
      <w:szCs w:val="16"/>
    </w:rPr>
  </w:style>
  <w:style w:type="paragraph" w:styleId="CommentText">
    <w:name w:val="annotation text"/>
    <w:basedOn w:val="Normal"/>
    <w:link w:val="CommentTextChar"/>
    <w:unhideWhenUsed/>
    <w:rsid w:val="00CD5940"/>
    <w:rPr>
      <w:sz w:val="20"/>
      <w:szCs w:val="20"/>
    </w:rPr>
  </w:style>
  <w:style w:type="character" w:customStyle="1" w:styleId="CommentTextChar">
    <w:name w:val="Comment Text Char"/>
    <w:basedOn w:val="DefaultParagraphFont"/>
    <w:link w:val="CommentText"/>
    <w:rsid w:val="00CD5940"/>
    <w:rPr>
      <w:rFonts w:ascii="Arial" w:hAnsi="Arial" w:cs="Arial"/>
    </w:rPr>
  </w:style>
  <w:style w:type="paragraph" w:styleId="CommentSubject">
    <w:name w:val="annotation subject"/>
    <w:basedOn w:val="CommentText"/>
    <w:next w:val="CommentText"/>
    <w:link w:val="CommentSubjectChar"/>
    <w:semiHidden/>
    <w:unhideWhenUsed/>
    <w:rsid w:val="00CD5940"/>
    <w:rPr>
      <w:b/>
      <w:bCs/>
    </w:rPr>
  </w:style>
  <w:style w:type="character" w:customStyle="1" w:styleId="CommentSubjectChar">
    <w:name w:val="Comment Subject Char"/>
    <w:basedOn w:val="CommentTextChar"/>
    <w:link w:val="CommentSubject"/>
    <w:semiHidden/>
    <w:rsid w:val="00CD5940"/>
    <w:rPr>
      <w:rFonts w:ascii="Arial" w:hAnsi="Arial" w:cs="Arial"/>
      <w:b/>
      <w:bCs/>
    </w:rPr>
  </w:style>
  <w:style w:type="paragraph" w:styleId="FootnoteText">
    <w:name w:val="footnote text"/>
    <w:basedOn w:val="Normal"/>
    <w:link w:val="FootnoteTextChar"/>
    <w:semiHidden/>
    <w:unhideWhenUsed/>
    <w:rsid w:val="002F7312"/>
    <w:rPr>
      <w:sz w:val="20"/>
      <w:szCs w:val="20"/>
    </w:rPr>
  </w:style>
  <w:style w:type="character" w:customStyle="1" w:styleId="FootnoteTextChar">
    <w:name w:val="Footnote Text Char"/>
    <w:basedOn w:val="DefaultParagraphFont"/>
    <w:link w:val="FootnoteText"/>
    <w:semiHidden/>
    <w:rsid w:val="002F7312"/>
    <w:rPr>
      <w:rFonts w:ascii="Arial" w:hAnsi="Arial" w:cs="Arial"/>
    </w:rPr>
  </w:style>
  <w:style w:type="character" w:styleId="FootnoteReference">
    <w:name w:val="footnote reference"/>
    <w:basedOn w:val="DefaultParagraphFont"/>
    <w:semiHidden/>
    <w:unhideWhenUsed/>
    <w:rsid w:val="002F7312"/>
    <w:rPr>
      <w:vertAlign w:val="superscript"/>
    </w:rPr>
  </w:style>
  <w:style w:type="character" w:styleId="Hyperlink">
    <w:name w:val="Hyperlink"/>
    <w:basedOn w:val="DefaultParagraphFont"/>
    <w:unhideWhenUsed/>
    <w:rsid w:val="002F7312"/>
    <w:rPr>
      <w:color w:val="0000FF" w:themeColor="hyperlink"/>
      <w:u w:val="single"/>
    </w:rPr>
  </w:style>
  <w:style w:type="paragraph" w:styleId="Revision">
    <w:name w:val="Revision"/>
    <w:hidden/>
    <w:uiPriority w:val="99"/>
    <w:semiHidden/>
    <w:rsid w:val="000C647D"/>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05373">
      <w:bodyDiv w:val="1"/>
      <w:marLeft w:val="0"/>
      <w:marRight w:val="0"/>
      <w:marTop w:val="0"/>
      <w:marBottom w:val="0"/>
      <w:divBdr>
        <w:top w:val="none" w:sz="0" w:space="0" w:color="auto"/>
        <w:left w:val="none" w:sz="0" w:space="0" w:color="auto"/>
        <w:bottom w:val="none" w:sz="0" w:space="0" w:color="auto"/>
        <w:right w:val="none" w:sz="0" w:space="0" w:color="auto"/>
      </w:divBdr>
    </w:div>
    <w:div w:id="225997161">
      <w:bodyDiv w:val="1"/>
      <w:marLeft w:val="0"/>
      <w:marRight w:val="0"/>
      <w:marTop w:val="0"/>
      <w:marBottom w:val="0"/>
      <w:divBdr>
        <w:top w:val="none" w:sz="0" w:space="0" w:color="auto"/>
        <w:left w:val="none" w:sz="0" w:space="0" w:color="auto"/>
        <w:bottom w:val="none" w:sz="0" w:space="0" w:color="auto"/>
        <w:right w:val="none" w:sz="0" w:space="0" w:color="auto"/>
      </w:divBdr>
    </w:div>
    <w:div w:id="723992571">
      <w:bodyDiv w:val="1"/>
      <w:marLeft w:val="0"/>
      <w:marRight w:val="0"/>
      <w:marTop w:val="0"/>
      <w:marBottom w:val="0"/>
      <w:divBdr>
        <w:top w:val="none" w:sz="0" w:space="0" w:color="auto"/>
        <w:left w:val="none" w:sz="0" w:space="0" w:color="auto"/>
        <w:bottom w:val="none" w:sz="0" w:space="0" w:color="auto"/>
        <w:right w:val="none" w:sz="0" w:space="0" w:color="auto"/>
      </w:divBdr>
    </w:div>
    <w:div w:id="894656750">
      <w:bodyDiv w:val="1"/>
      <w:marLeft w:val="0"/>
      <w:marRight w:val="0"/>
      <w:marTop w:val="0"/>
      <w:marBottom w:val="0"/>
      <w:divBdr>
        <w:top w:val="none" w:sz="0" w:space="0" w:color="auto"/>
        <w:left w:val="none" w:sz="0" w:space="0" w:color="auto"/>
        <w:bottom w:val="none" w:sz="0" w:space="0" w:color="auto"/>
        <w:right w:val="none" w:sz="0" w:space="0" w:color="auto"/>
      </w:divBdr>
    </w:div>
    <w:div w:id="937979557">
      <w:bodyDiv w:val="1"/>
      <w:marLeft w:val="0"/>
      <w:marRight w:val="0"/>
      <w:marTop w:val="0"/>
      <w:marBottom w:val="0"/>
      <w:divBdr>
        <w:top w:val="none" w:sz="0" w:space="0" w:color="auto"/>
        <w:left w:val="none" w:sz="0" w:space="0" w:color="auto"/>
        <w:bottom w:val="none" w:sz="0" w:space="0" w:color="auto"/>
        <w:right w:val="none" w:sz="0" w:space="0" w:color="auto"/>
      </w:divBdr>
    </w:div>
    <w:div w:id="983006548">
      <w:bodyDiv w:val="1"/>
      <w:marLeft w:val="0"/>
      <w:marRight w:val="0"/>
      <w:marTop w:val="0"/>
      <w:marBottom w:val="0"/>
      <w:divBdr>
        <w:top w:val="none" w:sz="0" w:space="0" w:color="auto"/>
        <w:left w:val="none" w:sz="0" w:space="0" w:color="auto"/>
        <w:bottom w:val="none" w:sz="0" w:space="0" w:color="auto"/>
        <w:right w:val="none" w:sz="0" w:space="0" w:color="auto"/>
      </w:divBdr>
    </w:div>
    <w:div w:id="1029528841">
      <w:bodyDiv w:val="1"/>
      <w:marLeft w:val="0"/>
      <w:marRight w:val="0"/>
      <w:marTop w:val="0"/>
      <w:marBottom w:val="0"/>
      <w:divBdr>
        <w:top w:val="none" w:sz="0" w:space="0" w:color="auto"/>
        <w:left w:val="none" w:sz="0" w:space="0" w:color="auto"/>
        <w:bottom w:val="none" w:sz="0" w:space="0" w:color="auto"/>
        <w:right w:val="none" w:sz="0" w:space="0" w:color="auto"/>
      </w:divBdr>
    </w:div>
    <w:div w:id="1535730501">
      <w:bodyDiv w:val="1"/>
      <w:marLeft w:val="0"/>
      <w:marRight w:val="0"/>
      <w:marTop w:val="0"/>
      <w:marBottom w:val="0"/>
      <w:divBdr>
        <w:top w:val="none" w:sz="0" w:space="0" w:color="auto"/>
        <w:left w:val="none" w:sz="0" w:space="0" w:color="auto"/>
        <w:bottom w:val="none" w:sz="0" w:space="0" w:color="auto"/>
        <w:right w:val="none" w:sz="0" w:space="0" w:color="auto"/>
      </w:divBdr>
    </w:div>
    <w:div w:id="1597136355">
      <w:bodyDiv w:val="1"/>
      <w:marLeft w:val="0"/>
      <w:marRight w:val="0"/>
      <w:marTop w:val="0"/>
      <w:marBottom w:val="0"/>
      <w:divBdr>
        <w:top w:val="none" w:sz="0" w:space="0" w:color="auto"/>
        <w:left w:val="none" w:sz="0" w:space="0" w:color="auto"/>
        <w:bottom w:val="none" w:sz="0" w:space="0" w:color="auto"/>
        <w:right w:val="none" w:sz="0" w:space="0" w:color="auto"/>
      </w:divBdr>
    </w:div>
    <w:div w:id="1698194523">
      <w:bodyDiv w:val="1"/>
      <w:marLeft w:val="0"/>
      <w:marRight w:val="0"/>
      <w:marTop w:val="0"/>
      <w:marBottom w:val="0"/>
      <w:divBdr>
        <w:top w:val="none" w:sz="0" w:space="0" w:color="auto"/>
        <w:left w:val="none" w:sz="0" w:space="0" w:color="auto"/>
        <w:bottom w:val="none" w:sz="0" w:space="0" w:color="auto"/>
        <w:right w:val="none" w:sz="0" w:space="0" w:color="auto"/>
      </w:divBdr>
    </w:div>
    <w:div w:id="1818570329">
      <w:bodyDiv w:val="1"/>
      <w:marLeft w:val="0"/>
      <w:marRight w:val="0"/>
      <w:marTop w:val="0"/>
      <w:marBottom w:val="0"/>
      <w:divBdr>
        <w:top w:val="none" w:sz="0" w:space="0" w:color="auto"/>
        <w:left w:val="none" w:sz="0" w:space="0" w:color="auto"/>
        <w:bottom w:val="none" w:sz="0" w:space="0" w:color="auto"/>
        <w:right w:val="none" w:sz="0" w:space="0" w:color="auto"/>
      </w:divBdr>
    </w:div>
    <w:div w:id="1863087713">
      <w:bodyDiv w:val="1"/>
      <w:marLeft w:val="0"/>
      <w:marRight w:val="0"/>
      <w:marTop w:val="0"/>
      <w:marBottom w:val="0"/>
      <w:divBdr>
        <w:top w:val="none" w:sz="0" w:space="0" w:color="auto"/>
        <w:left w:val="none" w:sz="0" w:space="0" w:color="auto"/>
        <w:bottom w:val="none" w:sz="0" w:space="0" w:color="auto"/>
        <w:right w:val="none" w:sz="0" w:space="0" w:color="auto"/>
      </w:divBdr>
    </w:div>
    <w:div w:id="1888100129">
      <w:bodyDiv w:val="1"/>
      <w:marLeft w:val="0"/>
      <w:marRight w:val="0"/>
      <w:marTop w:val="0"/>
      <w:marBottom w:val="0"/>
      <w:divBdr>
        <w:top w:val="none" w:sz="0" w:space="0" w:color="auto"/>
        <w:left w:val="none" w:sz="0" w:space="0" w:color="auto"/>
        <w:bottom w:val="none" w:sz="0" w:space="0" w:color="auto"/>
        <w:right w:val="none" w:sz="0" w:space="0" w:color="auto"/>
      </w:divBdr>
    </w:div>
    <w:div w:id="1946648343">
      <w:bodyDiv w:val="1"/>
      <w:marLeft w:val="0"/>
      <w:marRight w:val="0"/>
      <w:marTop w:val="0"/>
      <w:marBottom w:val="0"/>
      <w:divBdr>
        <w:top w:val="none" w:sz="0" w:space="0" w:color="auto"/>
        <w:left w:val="none" w:sz="0" w:space="0" w:color="auto"/>
        <w:bottom w:val="none" w:sz="0" w:space="0" w:color="auto"/>
        <w:right w:val="none" w:sz="0" w:space="0" w:color="auto"/>
      </w:divBdr>
    </w:div>
    <w:div w:id="2126121344">
      <w:bodyDiv w:val="1"/>
      <w:marLeft w:val="0"/>
      <w:marRight w:val="0"/>
      <w:marTop w:val="0"/>
      <w:marBottom w:val="0"/>
      <w:divBdr>
        <w:top w:val="none" w:sz="0" w:space="0" w:color="auto"/>
        <w:left w:val="none" w:sz="0" w:space="0" w:color="auto"/>
        <w:bottom w:val="none" w:sz="0" w:space="0" w:color="auto"/>
        <w:right w:val="none" w:sz="0" w:space="0" w:color="auto"/>
      </w:divBdr>
    </w:div>
    <w:div w:id="214345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tax.org.uk/system/files_force/file_uploads/150511%20HMRC%20Penalties%20-%20a%20discussion%20document%20-%20CIOT%20comments.pdf?download=1" TargetMode="External"/><Relationship Id="rId2" Type="http://schemas.openxmlformats.org/officeDocument/2006/relationships/hyperlink" Target="https://www.tax.org.uk/system/files_force/file_uploads/150511%20HMRC%20Penalties%20-%20a%20discussion%20document%20-%20CIOT%20comments.pdf?download=1" TargetMode="External"/><Relationship Id="rId1" Type="http://schemas.openxmlformats.org/officeDocument/2006/relationships/hyperlink" Target="https://www.tax.org.uk/system/files_force/file_uploads/161107%20MTD%20-%20Tax%20Administration%20-%20CIOT%20comments.pdf?download=1" TargetMode="External"/><Relationship Id="rId4" Type="http://schemas.openxmlformats.org/officeDocument/2006/relationships/hyperlink" Target="http://www.oecd.org/publications/technologies-for-better-tax-administration-9789264256439-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ll.CIOTW2K1\AppData\Local\Microsoft\Windows\Temporary%20Internet%20Files\Content.Outlook\TX6PYIVY\Tech%20submissions%20template%20NUMBERED%20ArtHo%203%201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CC0499B352D41B1A2396AB85A74D2" ma:contentTypeVersion="0" ma:contentTypeDescription="Create a new document." ma:contentTypeScope="" ma:versionID="c7c751aa0f4870023a186b8241c616eb">
  <xsd:schema xmlns:xsd="http://www.w3.org/2001/XMLSchema" xmlns:xs="http://www.w3.org/2001/XMLSchema" xmlns:p="http://schemas.microsoft.com/office/2006/metadata/properties" targetNamespace="http://schemas.microsoft.com/office/2006/metadata/properties" ma:root="true" ma:fieldsID="20c7e4745c6b58c222382521ff2ff1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6462E-AA23-4006-9D88-F60C0F2F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D661D3-03CF-4BF8-8FA7-618389048E15}">
  <ds:schemaRefs>
    <ds:schemaRef ds:uri="http://schemas.microsoft.com/sharepoint/v3/contenttype/forms"/>
  </ds:schemaRefs>
</ds:datastoreItem>
</file>

<file path=customXml/itemProps3.xml><?xml version="1.0" encoding="utf-8"?>
<ds:datastoreItem xmlns:ds="http://schemas.openxmlformats.org/officeDocument/2006/customXml" ds:itemID="{065CF176-1E7E-46F3-B4D8-D8AC0838C4EE}">
  <ds:schemaRefs>
    <ds:schemaRef ds:uri="http://purl.org/dc/elements/1.1/"/>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F7996B4-A06C-4097-9348-32DD8D4C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submissions template NUMBERED ArtHo 3 10 12</Template>
  <TotalTime>47</TotalTime>
  <Pages>16</Pages>
  <Words>7069</Words>
  <Characters>40298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To:                  Santos</vt:lpstr>
    </vt:vector>
  </TitlesOfParts>
  <Company>Chartered Institute of Taxation</Company>
  <LinksUpToDate>false</LinksUpToDate>
  <CharactersWithSpaces>47273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Santos</dc:title>
  <dc:creator>Blinehan</dc:creator>
  <cp:lastModifiedBy>Ruth Mace</cp:lastModifiedBy>
  <cp:revision>11</cp:revision>
  <cp:lastPrinted>2017-06-09T11:56:00Z</cp:lastPrinted>
  <dcterms:created xsi:type="dcterms:W3CDTF">2017-06-08T15:44:00Z</dcterms:created>
  <dcterms:modified xsi:type="dcterms:W3CDTF">2017-06-09T11:56:00Z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0x0101007E8CC0499B352D41B1A2396AB85A74D2</vt:lpwstr>
  </property>
</Properties>
</file>