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867" w14:textId="1B759B36" w:rsidR="00E7588D" w:rsidRPr="003C52B8" w:rsidRDefault="008C79DB">
      <w:pPr>
        <w:rPr>
          <w:rFonts w:ascii="Stabil Grotesk" w:hAnsi="Stabil Grotesk"/>
        </w:rPr>
      </w:pPr>
      <w:r w:rsidRPr="003C52B8">
        <w:rPr>
          <w:rFonts w:ascii="Stabil Grotesk" w:hAnsi="Stabil Grotesk"/>
          <w:noProof/>
        </w:rPr>
        <w:drawing>
          <wp:inline distT="0" distB="0" distL="0" distR="0" wp14:anchorId="09D02F14" wp14:editId="1E1838A2">
            <wp:extent cx="842481" cy="176041"/>
            <wp:effectExtent l="0" t="0" r="0" b="1905"/>
            <wp:docPr id="1239704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04620" name="Picture 1239704620"/>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7386" cy="189603"/>
                    </a:xfrm>
                    <a:prstGeom prst="rect">
                      <a:avLst/>
                    </a:prstGeom>
                  </pic:spPr>
                </pic:pic>
              </a:graphicData>
            </a:graphic>
          </wp:inline>
        </w:drawing>
      </w:r>
    </w:p>
    <w:p w14:paraId="63313915" w14:textId="77777777" w:rsidR="008C79DB" w:rsidRPr="003C52B8" w:rsidRDefault="008C79DB">
      <w:pPr>
        <w:rPr>
          <w:rFonts w:ascii="Stabil Grotesk" w:hAnsi="Stabil Grotesk"/>
        </w:rPr>
      </w:pPr>
    </w:p>
    <w:p w14:paraId="5789B620" w14:textId="77777777" w:rsidR="00854350" w:rsidRDefault="00854350" w:rsidP="00915A3F">
      <w:pPr>
        <w:spacing w:after="100" w:afterAutospacing="1"/>
        <w:outlineLvl w:val="1"/>
        <w:rPr>
          <w:rFonts w:ascii="Arial" w:hAnsi="Arial" w:cs="Arial"/>
          <w:b/>
          <w:bCs/>
          <w:sz w:val="36"/>
          <w:szCs w:val="36"/>
        </w:rPr>
      </w:pPr>
    </w:p>
    <w:p w14:paraId="54469EC9" w14:textId="23037AC6" w:rsidR="00915A3F" w:rsidRPr="00AF690F" w:rsidRDefault="00915A3F" w:rsidP="00915A3F">
      <w:pPr>
        <w:spacing w:after="100" w:afterAutospacing="1"/>
        <w:outlineLvl w:val="1"/>
        <w:rPr>
          <w:rFonts w:ascii="Stabil Grotesk" w:hAnsi="Stabil Grotesk" w:cs="Arial"/>
          <w:b/>
          <w:bCs/>
          <w:sz w:val="36"/>
          <w:szCs w:val="36"/>
        </w:rPr>
      </w:pPr>
      <w:r w:rsidRPr="00AF690F">
        <w:rPr>
          <w:rFonts w:ascii="Stabil Grotesk" w:hAnsi="Stabil Grotesk" w:cs="Arial"/>
          <w:b/>
          <w:bCs/>
          <w:sz w:val="36"/>
          <w:szCs w:val="36"/>
        </w:rPr>
        <w:t>DENTSU SCHOOL OF INFLUENCE INTERNSHIP PROGRAMME</w:t>
      </w:r>
      <w:r w:rsidR="00E85D25" w:rsidRPr="00AF690F">
        <w:rPr>
          <w:rFonts w:ascii="Stabil Grotesk" w:hAnsi="Stabil Grotesk" w:cs="Arial"/>
          <w:b/>
          <w:bCs/>
          <w:sz w:val="36"/>
          <w:szCs w:val="36"/>
        </w:rPr>
        <w:t xml:space="preserve"> 2026</w:t>
      </w:r>
    </w:p>
    <w:p w14:paraId="344661A2"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TERMS AND CONDITIONS</w:t>
      </w:r>
    </w:p>
    <w:p w14:paraId="0B1C4AD0"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1. IMPORTANT NOTICE</w:t>
      </w:r>
    </w:p>
    <w:p w14:paraId="7C102431" w14:textId="77777777" w:rsidR="00E85D25"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1.1 These Terms &amp; Conditions are legally binding and should be carefully considered and noted by the Applicant. </w:t>
      </w:r>
    </w:p>
    <w:p w14:paraId="163BFF86"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1.2 The Applicant hereby acknowledges that by submitting his/her application, he/she has read these Terms &amp; Conditions and that he/she understands and agrees to be bound by these Terms &amp; Conditions. </w:t>
      </w:r>
    </w:p>
    <w:p w14:paraId="576EC190" w14:textId="30646323"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1.3 Should any provision of the Terms &amp; Conditions require interpretation, such provision will be interpreted by Dentsu in its sole and absolute discretion. </w:t>
      </w:r>
    </w:p>
    <w:p w14:paraId="4F048D66"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2. RULES</w:t>
      </w:r>
    </w:p>
    <w:p w14:paraId="548E14C3"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2.1 All applications must be submitted electronically to the agency channel and form submission link, and no hand-delivered applications will be considered. </w:t>
      </w:r>
    </w:p>
    <w:p w14:paraId="6FEB1AA9"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2.2 All supporting documents must be certified and submitted with the electronically submitted application. </w:t>
      </w:r>
    </w:p>
    <w:p w14:paraId="7DC14C0E"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2.3 The final date for applications for the Influencer Programme to be accepted is </w:t>
      </w:r>
      <w:r w:rsidRPr="00AF690F">
        <w:rPr>
          <w:rFonts w:ascii="Stabil Grotesk" w:hAnsi="Stabil Grotesk" w:cs="Arial"/>
          <w:b/>
          <w:bCs/>
        </w:rPr>
        <w:t>[DATE]</w:t>
      </w:r>
      <w:r w:rsidRPr="00AF690F">
        <w:rPr>
          <w:rFonts w:ascii="Stabil Grotesk" w:hAnsi="Stabil Grotesk" w:cs="Arial"/>
        </w:rPr>
        <w:t xml:space="preserve">. </w:t>
      </w:r>
    </w:p>
    <w:p w14:paraId="53A643FE"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2.4 Applications with no or insufficient supporting documentation received by </w:t>
      </w:r>
      <w:r w:rsidRPr="00AF690F">
        <w:rPr>
          <w:rFonts w:ascii="Stabil Grotesk" w:hAnsi="Stabil Grotesk" w:cs="Arial"/>
          <w:b/>
          <w:bCs/>
        </w:rPr>
        <w:t>[DATE]</w:t>
      </w:r>
      <w:r w:rsidRPr="00AF690F">
        <w:rPr>
          <w:rFonts w:ascii="Stabil Grotesk" w:hAnsi="Stabil Grotesk" w:cs="Arial"/>
        </w:rPr>
        <w:t xml:space="preserve"> will be disqualified from consideration. </w:t>
      </w:r>
    </w:p>
    <w:p w14:paraId="776FEEA2"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2.5 Candidates will be selected in the month of </w:t>
      </w:r>
      <w:r w:rsidRPr="00AF690F">
        <w:rPr>
          <w:rFonts w:ascii="Stabil Grotesk" w:hAnsi="Stabil Grotesk" w:cs="Arial"/>
          <w:b/>
          <w:bCs/>
        </w:rPr>
        <w:t>[MONTH]</w:t>
      </w:r>
      <w:r w:rsidRPr="00AF690F">
        <w:rPr>
          <w:rFonts w:ascii="Stabil Grotesk" w:hAnsi="Stabil Grotesk" w:cs="Arial"/>
        </w:rPr>
        <w:t xml:space="preserve"> and notified before </w:t>
      </w:r>
      <w:r w:rsidRPr="00AF690F">
        <w:rPr>
          <w:rFonts w:ascii="Stabil Grotesk" w:hAnsi="Stabil Grotesk" w:cs="Arial"/>
          <w:b/>
          <w:bCs/>
        </w:rPr>
        <w:t>[DATE]</w:t>
      </w:r>
      <w:r w:rsidRPr="00AF690F">
        <w:rPr>
          <w:rFonts w:ascii="Stabil Grotesk" w:hAnsi="Stabil Grotesk" w:cs="Arial"/>
        </w:rPr>
        <w:t xml:space="preserve">. </w:t>
      </w:r>
    </w:p>
    <w:p w14:paraId="794EAFC4"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2.6 Successful candidates who have not confirmed acceptance and completed any Dentsu onboarding process prior to </w:t>
      </w:r>
      <w:r w:rsidRPr="00AF690F">
        <w:rPr>
          <w:rFonts w:ascii="Stabil Grotesk" w:hAnsi="Stabil Grotesk" w:cs="Arial"/>
          <w:b/>
          <w:bCs/>
        </w:rPr>
        <w:t>[DATE]</w:t>
      </w:r>
      <w:r w:rsidRPr="00AF690F">
        <w:rPr>
          <w:rFonts w:ascii="Stabil Grotesk" w:hAnsi="Stabil Grotesk" w:cs="Arial"/>
        </w:rPr>
        <w:t xml:space="preserve"> will forfeit their placement. </w:t>
      </w:r>
    </w:p>
    <w:p w14:paraId="26FA9AF8" w14:textId="77777777" w:rsidR="005E61E4"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2.7 Placement applies only for commencement in the year of application and may not be carried forward to the following or any subsequent year. Candidates who, for any reason following a placement offer and acceptance, are not able to commence in the year relating to the offer, must re-apply for placement in a subsequent year. </w:t>
      </w:r>
    </w:p>
    <w:p w14:paraId="7CB164F5" w14:textId="5AB9DA5A"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2.8 All shortlisted candidates shall be required to adhere to Dentsu's commercial contracting terms including, but not limited to, exclusivity and restraints of trade, as may be applicable. </w:t>
      </w:r>
    </w:p>
    <w:p w14:paraId="3C7B0237"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3. SELECTION CRITERIA</w:t>
      </w:r>
    </w:p>
    <w:p w14:paraId="5610D185" w14:textId="77777777"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3.1 In order to be eligible as a candidate for the Dentsu School of Influence: </w:t>
      </w:r>
    </w:p>
    <w:p w14:paraId="5E42B77A"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3.1.1 The Applicant must be a citizen or legal resident of the Republic of Ghana and over the age of 18 (eighteen) at the time of submitting his/her application. </w:t>
      </w:r>
    </w:p>
    <w:p w14:paraId="4085AD32"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3.1.2 The Applicant must provide a valid Ghana Card number (National Identity Card) or equivalent official Ghanaian identity documentation. </w:t>
      </w:r>
    </w:p>
    <w:p w14:paraId="635223E4"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3.1.3 The Applicant must provide correct and full personal details, as may be required. </w:t>
      </w:r>
    </w:p>
    <w:p w14:paraId="6137BBAA"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3.1.4 The Applicant must have a minimum of 1,500 followers on TikTok and/or Instagram and/or YouTube, and a maximum of 10,000 followers on TikTok and/or Instagram and/or YouTube. </w:t>
      </w:r>
    </w:p>
    <w:p w14:paraId="322760CB"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3.1.5 The Applicant must have completed secondary education with a West African Senior School Certificate Examination (WASSCE) certificate or equivalent secondary qualification. </w:t>
      </w:r>
    </w:p>
    <w:p w14:paraId="2BB92523" w14:textId="77777777" w:rsidR="00915A3F" w:rsidRPr="00AF690F" w:rsidRDefault="00915A3F" w:rsidP="00915A3F">
      <w:pPr>
        <w:numPr>
          <w:ilvl w:val="0"/>
          <w:numId w:val="3"/>
        </w:numPr>
        <w:spacing w:after="100" w:afterAutospacing="1"/>
        <w:rPr>
          <w:rFonts w:ascii="Stabil Grotesk" w:hAnsi="Stabil Grotesk" w:cs="Arial"/>
        </w:rPr>
      </w:pPr>
      <w:r w:rsidRPr="00AF690F">
        <w:rPr>
          <w:rFonts w:ascii="Stabil Grotesk" w:hAnsi="Stabil Grotesk" w:cs="Arial"/>
        </w:rPr>
        <w:t xml:space="preserve">3.1.6 The Applicant must have a smartphone or suitable device on which to create content. </w:t>
      </w:r>
    </w:p>
    <w:p w14:paraId="582C6CF8" w14:textId="77777777" w:rsidR="00E079E2"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3.2 As part of the application process, all Applicants will be required to complete a content creation task as provided for by Dentsu, within a requisite time period. </w:t>
      </w:r>
    </w:p>
    <w:p w14:paraId="78D27DF0" w14:textId="15682A53"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3.3 Dentsu reserves the right to conduct background checks and other vetting processes to verify any particulars of an Applicant, which shall be in accordance with clauses 6.8 and 6.9 below. </w:t>
      </w:r>
    </w:p>
    <w:p w14:paraId="3E36524E"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4. SELECTION OF SUCCESSFUL CANDIDATES</w:t>
      </w:r>
    </w:p>
    <w:p w14:paraId="4DC8EADC"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4.1 Applicants shall be judged on the content creation task submitted, on set criteria as determined by Dentsu. </w:t>
      </w:r>
    </w:p>
    <w:p w14:paraId="44CFA30E"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4.2 Adjudication shall take place by a panel of judges at the Dentsu offices. The decision by the adjudication panel is final and no further deliberation will be entered into. </w:t>
      </w:r>
    </w:p>
    <w:p w14:paraId="15EB4627"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4.3 Applicants shall be shortlisted, and successful candidates will be notified by Dentsu in writing of their shortlisting. This is subject to change. </w:t>
      </w:r>
    </w:p>
    <w:p w14:paraId="5675A362"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4.4 Only shortlisted candidates will be contacted. </w:t>
      </w:r>
    </w:p>
    <w:p w14:paraId="673ED1A5"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4.5 Dentsu reserves the right to revoke a shortlisting if the candidate does not respond by email or telephone call within 7 (seven) days of the receipt of the notification from Dentsu of their shortlisting. </w:t>
      </w:r>
    </w:p>
    <w:p w14:paraId="705B4F9D" w14:textId="77777777" w:rsidR="00C332B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4.6 Any candidate who fails to respond and as a result a subsequent candidate is selected, the former candidate shall not have any recourse against Dentsu in this regard. </w:t>
      </w:r>
    </w:p>
    <w:p w14:paraId="45004663" w14:textId="6FFDA2CC"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4.7 Any successful candidate who is, at the date of shortlisting, either: </w:t>
      </w:r>
    </w:p>
    <w:p w14:paraId="36992BD1" w14:textId="77777777" w:rsidR="00915A3F" w:rsidRPr="00AF690F" w:rsidRDefault="00915A3F" w:rsidP="00915A3F">
      <w:pPr>
        <w:numPr>
          <w:ilvl w:val="0"/>
          <w:numId w:val="4"/>
        </w:numPr>
        <w:spacing w:after="100" w:afterAutospacing="1"/>
        <w:rPr>
          <w:rFonts w:ascii="Stabil Grotesk" w:hAnsi="Stabil Grotesk" w:cs="Arial"/>
        </w:rPr>
      </w:pPr>
      <w:r w:rsidRPr="00AF690F">
        <w:rPr>
          <w:rFonts w:ascii="Stabil Grotesk" w:hAnsi="Stabil Grotesk" w:cs="Arial"/>
        </w:rPr>
        <w:t xml:space="preserve">4.7.1 A director, member, partner, employee, agent of, or consultant of Dentsu (or any of its subsidiaries, holding companies, and other subsidiaries of its holding companies); or </w:t>
      </w:r>
    </w:p>
    <w:p w14:paraId="2D32C153" w14:textId="77777777" w:rsidR="00915A3F" w:rsidRPr="00AF690F" w:rsidRDefault="00915A3F" w:rsidP="00915A3F">
      <w:pPr>
        <w:numPr>
          <w:ilvl w:val="0"/>
          <w:numId w:val="4"/>
        </w:numPr>
        <w:spacing w:after="100" w:afterAutospacing="1"/>
        <w:rPr>
          <w:rFonts w:ascii="Stabil Grotesk" w:hAnsi="Stabil Grotesk" w:cs="Arial"/>
        </w:rPr>
      </w:pPr>
      <w:r w:rsidRPr="00AF690F">
        <w:rPr>
          <w:rFonts w:ascii="Stabil Grotesk" w:hAnsi="Stabil Grotesk" w:cs="Arial"/>
        </w:rPr>
        <w:t xml:space="preserve">4.7.2 A spouse, life partner, parent, brother, sister, business partner, or associate of any person contemplated in clause 4.7.1 above; or </w:t>
      </w:r>
    </w:p>
    <w:p w14:paraId="0F2F632C" w14:textId="77777777" w:rsidR="00915A3F" w:rsidRPr="00AF690F" w:rsidRDefault="00915A3F" w:rsidP="00915A3F">
      <w:pPr>
        <w:numPr>
          <w:ilvl w:val="0"/>
          <w:numId w:val="4"/>
        </w:numPr>
        <w:spacing w:after="100" w:afterAutospacing="1"/>
        <w:rPr>
          <w:rFonts w:ascii="Stabil Grotesk" w:hAnsi="Stabil Grotesk" w:cs="Arial"/>
        </w:rPr>
      </w:pPr>
      <w:r w:rsidRPr="00AF690F">
        <w:rPr>
          <w:rFonts w:ascii="Stabil Grotesk" w:hAnsi="Stabil Grotesk" w:cs="Arial"/>
        </w:rPr>
        <w:t xml:space="preserve">4.7.3 A supplier/service provider to Dentsu (or any of its subsidiaries, holding companies, and other subsidiaries of its holding companies) of goods or services; </w:t>
      </w:r>
    </w:p>
    <w:p w14:paraId="27FC568B" w14:textId="77777777"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such candidate shall be ineligible to participate in the Influencer Programme. </w:t>
      </w:r>
    </w:p>
    <w:p w14:paraId="1BC22992" w14:textId="77777777" w:rsidR="00935F2C"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4.8 Non-compliance with the above Terms and Conditions shall render the candidate ineligible to participate in the Influencer Internship Programme, and such person hereby acknowledges that he/she/they will have no recourse or claim of any nature whatsoever against Dentsu and/or its subsidiaries and/or its holding companies or subsidiaries of its holding companies. </w:t>
      </w:r>
    </w:p>
    <w:p w14:paraId="1690D7E2" w14:textId="6F1F385D"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4.9 Dentsu reserves the right to amend the Terms &amp; Conditions as well as terminate the Dentsu School of Influence at any time. In the event of such termination, all candidates hereby waive any rights that they may have in terms of the Dentsu School of Influence and acknowledge that they will have no recourse against Dentsu. </w:t>
      </w:r>
    </w:p>
    <w:p w14:paraId="4DB6B438"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5. OBLIGATIONS OF SUCCESSFUL CANDIDATES</w:t>
      </w:r>
    </w:p>
    <w:p w14:paraId="7979F363"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5.1 Successful candidates shall be required to be present in Accra for the duration of the Influencer Internship Programme, which shall commence from </w:t>
      </w:r>
      <w:r w:rsidRPr="00AF690F">
        <w:rPr>
          <w:rFonts w:ascii="Stabil Grotesk" w:hAnsi="Stabil Grotesk" w:cs="Arial"/>
          <w:b/>
          <w:bCs/>
        </w:rPr>
        <w:t>[START DATE]</w:t>
      </w:r>
      <w:r w:rsidRPr="00AF690F">
        <w:rPr>
          <w:rFonts w:ascii="Stabil Grotesk" w:hAnsi="Stabil Grotesk" w:cs="Arial"/>
        </w:rPr>
        <w:t xml:space="preserve"> until </w:t>
      </w:r>
      <w:r w:rsidRPr="00AF690F">
        <w:rPr>
          <w:rFonts w:ascii="Stabil Grotesk" w:hAnsi="Stabil Grotesk" w:cs="Arial"/>
          <w:b/>
          <w:bCs/>
        </w:rPr>
        <w:t>[END DATE]</w:t>
      </w:r>
      <w:r w:rsidRPr="00AF690F">
        <w:rPr>
          <w:rFonts w:ascii="Stabil Grotesk" w:hAnsi="Stabil Grotesk" w:cs="Arial"/>
        </w:rPr>
        <w:t xml:space="preserve">. </w:t>
      </w:r>
    </w:p>
    <w:p w14:paraId="4C5CE951"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5.2 Travel and accommodation costs as contemplated in clause 5.1 above shall be borne by the candidate, and Dentsu shall not bear any such costs. </w:t>
      </w:r>
    </w:p>
    <w:p w14:paraId="0FAA9A1B"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5.3 Successful candidates shall be required to commit in full to the program duration, where training and workshops will take place during normal working hours, with occasional after-hours work required. </w:t>
      </w:r>
    </w:p>
    <w:p w14:paraId="752CAE3E" w14:textId="236FB61F"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5.4 Successful candidates shall be required to adhere to the Dentsu Code of Conduct and all Dentsu-related policies, which shall be communicated to him/her/them at the onboarding stage. </w:t>
      </w:r>
    </w:p>
    <w:p w14:paraId="4E2581ED" w14:textId="77777777" w:rsidR="00915A3F" w:rsidRPr="00AF690F" w:rsidRDefault="00915A3F" w:rsidP="00915A3F">
      <w:pPr>
        <w:spacing w:after="100" w:afterAutospacing="1"/>
        <w:outlineLvl w:val="2"/>
        <w:rPr>
          <w:rFonts w:ascii="Stabil Grotesk" w:hAnsi="Stabil Grotesk" w:cs="Arial"/>
          <w:b/>
          <w:bCs/>
          <w:sz w:val="27"/>
          <w:szCs w:val="27"/>
        </w:rPr>
      </w:pPr>
      <w:r w:rsidRPr="00AF690F">
        <w:rPr>
          <w:rFonts w:ascii="Stabil Grotesk" w:hAnsi="Stabil Grotesk" w:cs="Arial"/>
          <w:b/>
          <w:bCs/>
          <w:sz w:val="27"/>
          <w:szCs w:val="27"/>
        </w:rPr>
        <w:t>6. GENERAL</w:t>
      </w:r>
    </w:p>
    <w:p w14:paraId="162B8CAA"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6.1 The decision of Dentsu is final and binding, and no correspondence or process of appeal will be entered into. </w:t>
      </w:r>
    </w:p>
    <w:p w14:paraId="26F2602B"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6.2 The Applicant shall take full responsibility to ensure that all documentation has been submitted and received. </w:t>
      </w:r>
    </w:p>
    <w:p w14:paraId="6E65799B"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6.3 All Applicants will receive confirmation of receipt of application and supporting documents. Dentsu will take no responsibility for documents that are not confirmed as received. </w:t>
      </w:r>
    </w:p>
    <w:p w14:paraId="326B99DD"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6.4 Admission is not transferable to any other Dentsu-related programme, other than the one for which it was awarded. </w:t>
      </w:r>
    </w:p>
    <w:p w14:paraId="7A278040"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6.5 Should the successful candidate transgress Dentsu's code of conduct, Dentsu reserves the right to review and cancel the applicant submission. </w:t>
      </w:r>
    </w:p>
    <w:p w14:paraId="60BEDD9C"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6.6 The successful candidate shall conduct him- or herself as a brand ambassador of Dentsu, and his/her conduct shall at all times be above reproach. He/she shall not be entitled to do anything that shall be, or be perceived to be, prejudicial to the good name and reputation of Dentsu or bring the name of Dentsu into disrepute. </w:t>
      </w:r>
    </w:p>
    <w:p w14:paraId="1DF1FBD6"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6.7 The successful candidate hereby grants to Dentsu full rights and permission to refer to and publicise, whether by photographic or written publication or in whatever form, his/her association with Dentsu. </w:t>
      </w:r>
    </w:p>
    <w:p w14:paraId="10539DF5" w14:textId="4A0E351B"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6.8 By applying for the Dentsu Influencer Programme, the Applicant acknowledges and understands that he/she may be required to share personal information. Personal information shall have the meaning given under the </w:t>
      </w:r>
      <w:r w:rsidRPr="00AF690F">
        <w:rPr>
          <w:rFonts w:ascii="Stabil Grotesk" w:hAnsi="Stabil Grotesk" w:cs="Arial"/>
          <w:b/>
          <w:bCs/>
        </w:rPr>
        <w:t>Data Protection Act, 2012 (Act 843)</w:t>
      </w:r>
      <w:r w:rsidRPr="00AF690F">
        <w:rPr>
          <w:rFonts w:ascii="Stabil Grotesk" w:hAnsi="Stabil Grotesk" w:cs="Arial"/>
        </w:rPr>
        <w:t xml:space="preserve"> of the Republic of Ghana, and any other Regulations, Directives, Decisions, or Guidelines on data protection or data privacy issued by the Data Protection Commission of Ghana ("Data Protection </w:t>
      </w:r>
      <w:r w:rsidR="00995F33">
        <w:rPr>
          <w:rFonts w:ascii="Stabil Grotesk" w:hAnsi="Stabil Grotesk" w:cs="Arial"/>
          <w:lang w:val="en-US"/>
        </w:rPr>
        <w:t>Act</w:t>
      </w:r>
      <w:r w:rsidRPr="00AF690F">
        <w:rPr>
          <w:rFonts w:ascii="Stabil Grotesk" w:hAnsi="Stabil Grotesk" w:cs="Arial"/>
        </w:rPr>
        <w:t xml:space="preserve">"). </w:t>
      </w:r>
    </w:p>
    <w:p w14:paraId="7F83BCB1" w14:textId="77777777" w:rsidR="00B44E4E"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6.9 Dentsu and the Applicant shall comply with the requirements applicable to it under the Data Protection Legislation and the data protection principles specified in the Data Protection Legislation that are applicable to it. </w:t>
      </w:r>
    </w:p>
    <w:p w14:paraId="0FF62F40" w14:textId="72DF671D" w:rsidR="00915A3F" w:rsidRPr="00AF690F" w:rsidRDefault="00915A3F" w:rsidP="00915A3F">
      <w:pPr>
        <w:spacing w:after="100" w:afterAutospacing="1"/>
        <w:rPr>
          <w:rFonts w:ascii="Stabil Grotesk" w:hAnsi="Stabil Grotesk" w:cs="Arial"/>
        </w:rPr>
      </w:pPr>
      <w:r w:rsidRPr="00AF690F">
        <w:rPr>
          <w:rFonts w:ascii="Stabil Grotesk" w:hAnsi="Stabil Grotesk" w:cs="Arial"/>
        </w:rPr>
        <w:t xml:space="preserve">6.10 These Terms &amp; Conditions and any dispute pursuant thereto shall be subject to and construed in accordance with the </w:t>
      </w:r>
      <w:r w:rsidRPr="00AF690F">
        <w:rPr>
          <w:rFonts w:ascii="Stabil Grotesk" w:hAnsi="Stabil Grotesk" w:cs="Arial"/>
          <w:b/>
          <w:bCs/>
        </w:rPr>
        <w:t>laws of the Republic of Ghana</w:t>
      </w:r>
      <w:r w:rsidRPr="00AF690F">
        <w:rPr>
          <w:rFonts w:ascii="Stabil Grotesk" w:hAnsi="Stabil Grotesk" w:cs="Arial"/>
        </w:rPr>
        <w:t xml:space="preserve">. The </w:t>
      </w:r>
      <w:r w:rsidRPr="00AF690F">
        <w:rPr>
          <w:rFonts w:ascii="Stabil Grotesk" w:hAnsi="Stabil Grotesk" w:cs="Arial"/>
          <w:b/>
          <w:bCs/>
        </w:rPr>
        <w:t>courts of Ghana</w:t>
      </w:r>
      <w:r w:rsidRPr="00AF690F">
        <w:rPr>
          <w:rFonts w:ascii="Stabil Grotesk" w:hAnsi="Stabil Grotesk" w:cs="Arial"/>
        </w:rPr>
        <w:t xml:space="preserve"> shall have exclusive jurisdiction to determine all/any disputes in respect of/flowing from the application of these Terms &amp; Conditions. </w:t>
      </w:r>
    </w:p>
    <w:p w14:paraId="49C65F9C" w14:textId="27C15BCF" w:rsidR="009062B8" w:rsidRPr="00AF690F" w:rsidRDefault="009062B8" w:rsidP="00915A3F">
      <w:pPr>
        <w:pStyle w:val="NormalWeb"/>
        <w:rPr>
          <w:rFonts w:ascii="Stabil Grotesk" w:hAnsi="Stabil Grotesk"/>
        </w:rPr>
      </w:pPr>
    </w:p>
    <w:sectPr w:rsidR="009062B8" w:rsidRPr="00AF6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tabil Grotesk">
    <w:panose1 w:val="00000000000000000000"/>
    <w:charset w:val="4D"/>
    <w:family w:val="auto"/>
    <w:notTrueType/>
    <w:pitch w:val="variable"/>
    <w:sig w:usb0="A000006F" w:usb1="0000B4E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515BD"/>
    <w:multiLevelType w:val="multilevel"/>
    <w:tmpl w:val="6F7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84F52"/>
    <w:multiLevelType w:val="multilevel"/>
    <w:tmpl w:val="6BC2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0D216E"/>
    <w:multiLevelType w:val="multilevel"/>
    <w:tmpl w:val="7916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150138"/>
    <w:multiLevelType w:val="multilevel"/>
    <w:tmpl w:val="F9E0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0800473">
    <w:abstractNumId w:val="1"/>
  </w:num>
  <w:num w:numId="2" w16cid:durableId="1023483478">
    <w:abstractNumId w:val="3"/>
  </w:num>
  <w:num w:numId="3" w16cid:durableId="202449049">
    <w:abstractNumId w:val="2"/>
  </w:num>
  <w:num w:numId="4" w16cid:durableId="35501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9DB"/>
    <w:rsid w:val="00003F4A"/>
    <w:rsid w:val="00054CBB"/>
    <w:rsid w:val="00057C78"/>
    <w:rsid w:val="00062345"/>
    <w:rsid w:val="000740F1"/>
    <w:rsid w:val="00075844"/>
    <w:rsid w:val="000A0831"/>
    <w:rsid w:val="000A0D37"/>
    <w:rsid w:val="000D1A60"/>
    <w:rsid w:val="000F3153"/>
    <w:rsid w:val="000F7E63"/>
    <w:rsid w:val="001079A0"/>
    <w:rsid w:val="00122487"/>
    <w:rsid w:val="00130E4E"/>
    <w:rsid w:val="00154417"/>
    <w:rsid w:val="001568D2"/>
    <w:rsid w:val="00162743"/>
    <w:rsid w:val="001B3DAF"/>
    <w:rsid w:val="001E24F3"/>
    <w:rsid w:val="001E56C1"/>
    <w:rsid w:val="001F27BB"/>
    <w:rsid w:val="00221096"/>
    <w:rsid w:val="00225B98"/>
    <w:rsid w:val="00234AE1"/>
    <w:rsid w:val="0023647A"/>
    <w:rsid w:val="00243698"/>
    <w:rsid w:val="00247723"/>
    <w:rsid w:val="002C0C63"/>
    <w:rsid w:val="002C4C85"/>
    <w:rsid w:val="002D6D74"/>
    <w:rsid w:val="002E2308"/>
    <w:rsid w:val="002E369B"/>
    <w:rsid w:val="002E7E5D"/>
    <w:rsid w:val="002F1D3D"/>
    <w:rsid w:val="00305095"/>
    <w:rsid w:val="00360EB9"/>
    <w:rsid w:val="003750CC"/>
    <w:rsid w:val="00397E04"/>
    <w:rsid w:val="003C0874"/>
    <w:rsid w:val="003C26F9"/>
    <w:rsid w:val="003C52B8"/>
    <w:rsid w:val="003D12FB"/>
    <w:rsid w:val="003D470A"/>
    <w:rsid w:val="003F198D"/>
    <w:rsid w:val="003F3465"/>
    <w:rsid w:val="00406775"/>
    <w:rsid w:val="00414C17"/>
    <w:rsid w:val="004336BB"/>
    <w:rsid w:val="004377F3"/>
    <w:rsid w:val="00444EE9"/>
    <w:rsid w:val="0047167F"/>
    <w:rsid w:val="004B2CD5"/>
    <w:rsid w:val="004F0FA5"/>
    <w:rsid w:val="0051720E"/>
    <w:rsid w:val="005240F4"/>
    <w:rsid w:val="00540E47"/>
    <w:rsid w:val="00572D3C"/>
    <w:rsid w:val="005738BF"/>
    <w:rsid w:val="0057596F"/>
    <w:rsid w:val="00587AC2"/>
    <w:rsid w:val="0059338A"/>
    <w:rsid w:val="005E267A"/>
    <w:rsid w:val="005E5645"/>
    <w:rsid w:val="005E61E4"/>
    <w:rsid w:val="00611CF4"/>
    <w:rsid w:val="006216F9"/>
    <w:rsid w:val="00652AD4"/>
    <w:rsid w:val="0065331C"/>
    <w:rsid w:val="00655147"/>
    <w:rsid w:val="006A4372"/>
    <w:rsid w:val="006B0BD1"/>
    <w:rsid w:val="006C2617"/>
    <w:rsid w:val="006F0031"/>
    <w:rsid w:val="0074431C"/>
    <w:rsid w:val="00745247"/>
    <w:rsid w:val="00755058"/>
    <w:rsid w:val="00774229"/>
    <w:rsid w:val="00792290"/>
    <w:rsid w:val="00796415"/>
    <w:rsid w:val="007B4478"/>
    <w:rsid w:val="007D050A"/>
    <w:rsid w:val="007D57F2"/>
    <w:rsid w:val="007D7F90"/>
    <w:rsid w:val="007E5616"/>
    <w:rsid w:val="0080117C"/>
    <w:rsid w:val="00814CF9"/>
    <w:rsid w:val="00816A02"/>
    <w:rsid w:val="00824F8D"/>
    <w:rsid w:val="00843CD8"/>
    <w:rsid w:val="00854350"/>
    <w:rsid w:val="008765EB"/>
    <w:rsid w:val="00891719"/>
    <w:rsid w:val="008952D6"/>
    <w:rsid w:val="008953E0"/>
    <w:rsid w:val="008C79DB"/>
    <w:rsid w:val="008F7872"/>
    <w:rsid w:val="009045D8"/>
    <w:rsid w:val="009062B8"/>
    <w:rsid w:val="00915A3F"/>
    <w:rsid w:val="00917C51"/>
    <w:rsid w:val="00935F2C"/>
    <w:rsid w:val="00945601"/>
    <w:rsid w:val="009459F9"/>
    <w:rsid w:val="00951EA0"/>
    <w:rsid w:val="00987614"/>
    <w:rsid w:val="00995F33"/>
    <w:rsid w:val="009C096B"/>
    <w:rsid w:val="009C1C29"/>
    <w:rsid w:val="009C4B61"/>
    <w:rsid w:val="009C7EF6"/>
    <w:rsid w:val="009E3A8B"/>
    <w:rsid w:val="00A10950"/>
    <w:rsid w:val="00A1631E"/>
    <w:rsid w:val="00A23991"/>
    <w:rsid w:val="00A41173"/>
    <w:rsid w:val="00A90B5C"/>
    <w:rsid w:val="00A96936"/>
    <w:rsid w:val="00AA19E2"/>
    <w:rsid w:val="00AA398A"/>
    <w:rsid w:val="00AB5796"/>
    <w:rsid w:val="00AF690F"/>
    <w:rsid w:val="00B10AE4"/>
    <w:rsid w:val="00B12006"/>
    <w:rsid w:val="00B44E4E"/>
    <w:rsid w:val="00B671D4"/>
    <w:rsid w:val="00BB3B92"/>
    <w:rsid w:val="00BB78EB"/>
    <w:rsid w:val="00BC2FE0"/>
    <w:rsid w:val="00C215E0"/>
    <w:rsid w:val="00C21F61"/>
    <w:rsid w:val="00C306FB"/>
    <w:rsid w:val="00C30BC5"/>
    <w:rsid w:val="00C332BC"/>
    <w:rsid w:val="00C54BC0"/>
    <w:rsid w:val="00C746F4"/>
    <w:rsid w:val="00C8159F"/>
    <w:rsid w:val="00C9185E"/>
    <w:rsid w:val="00CA1E49"/>
    <w:rsid w:val="00CA5B47"/>
    <w:rsid w:val="00CC7A43"/>
    <w:rsid w:val="00CD7B3A"/>
    <w:rsid w:val="00CF05C3"/>
    <w:rsid w:val="00CF3E45"/>
    <w:rsid w:val="00D171DB"/>
    <w:rsid w:val="00D216F8"/>
    <w:rsid w:val="00D25630"/>
    <w:rsid w:val="00D3139B"/>
    <w:rsid w:val="00D45405"/>
    <w:rsid w:val="00D63D5F"/>
    <w:rsid w:val="00DA2933"/>
    <w:rsid w:val="00DA2F47"/>
    <w:rsid w:val="00DA571F"/>
    <w:rsid w:val="00DB7A38"/>
    <w:rsid w:val="00E023B7"/>
    <w:rsid w:val="00E079E2"/>
    <w:rsid w:val="00E10B08"/>
    <w:rsid w:val="00E25722"/>
    <w:rsid w:val="00E25B62"/>
    <w:rsid w:val="00E54A04"/>
    <w:rsid w:val="00E64621"/>
    <w:rsid w:val="00E7588D"/>
    <w:rsid w:val="00E75A8F"/>
    <w:rsid w:val="00E85D25"/>
    <w:rsid w:val="00E8771B"/>
    <w:rsid w:val="00E93978"/>
    <w:rsid w:val="00EA5C89"/>
    <w:rsid w:val="00EF43A1"/>
    <w:rsid w:val="00F02A14"/>
    <w:rsid w:val="00F062D1"/>
    <w:rsid w:val="00F07E75"/>
    <w:rsid w:val="00F210C1"/>
    <w:rsid w:val="00F247D5"/>
    <w:rsid w:val="00F3719C"/>
    <w:rsid w:val="00F410AB"/>
    <w:rsid w:val="00F97829"/>
    <w:rsid w:val="00FA5694"/>
    <w:rsid w:val="00FC1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C9B9"/>
  <w15:chartTrackingRefBased/>
  <w15:docId w15:val="{3F46D614-F7D0-4F11-B099-10C3155F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630"/>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C79DB"/>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8C79DB"/>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8C7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9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9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9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9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9D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8C79D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8C79D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C79D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C79D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C79D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C79D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C79D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C79D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C79DB"/>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8C79D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C79DB"/>
    <w:pPr>
      <w:numPr>
        <w:ilvl w:val="1"/>
      </w:numPr>
      <w:spacing w:after="160"/>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8C79D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C79DB"/>
    <w:pPr>
      <w:spacing w:before="160" w:after="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8C79DB"/>
    <w:rPr>
      <w:i/>
      <w:iCs/>
      <w:color w:val="404040" w:themeColor="text1" w:themeTint="BF"/>
      <w:lang w:val="en-GB"/>
    </w:rPr>
  </w:style>
  <w:style w:type="paragraph" w:styleId="ListParagraph">
    <w:name w:val="List Paragraph"/>
    <w:basedOn w:val="Normal"/>
    <w:uiPriority w:val="34"/>
    <w:qFormat/>
    <w:rsid w:val="008C79DB"/>
    <w:pPr>
      <w:ind w:left="720"/>
      <w:contextualSpacing/>
    </w:pPr>
    <w:rPr>
      <w:rFonts w:asciiTheme="minorHAnsi" w:eastAsiaTheme="minorHAnsi" w:hAnsiTheme="minorHAnsi" w:cstheme="minorBidi"/>
      <w:kern w:val="2"/>
      <w:lang w:val="en-GB" w:eastAsia="en-US"/>
      <w14:ligatures w14:val="standardContextual"/>
    </w:rPr>
  </w:style>
  <w:style w:type="character" w:styleId="IntenseEmphasis">
    <w:name w:val="Intense Emphasis"/>
    <w:basedOn w:val="DefaultParagraphFont"/>
    <w:uiPriority w:val="21"/>
    <w:qFormat/>
    <w:rsid w:val="008C79DB"/>
    <w:rPr>
      <w:i/>
      <w:iCs/>
      <w:color w:val="0F4761" w:themeColor="accent1" w:themeShade="BF"/>
    </w:rPr>
  </w:style>
  <w:style w:type="paragraph" w:styleId="IntenseQuote">
    <w:name w:val="Intense Quote"/>
    <w:basedOn w:val="Normal"/>
    <w:next w:val="Normal"/>
    <w:link w:val="IntenseQuoteChar"/>
    <w:uiPriority w:val="30"/>
    <w:qFormat/>
    <w:rsid w:val="008C79D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8C79DB"/>
    <w:rPr>
      <w:i/>
      <w:iCs/>
      <w:color w:val="0F4761" w:themeColor="accent1" w:themeShade="BF"/>
      <w:lang w:val="en-GB"/>
    </w:rPr>
  </w:style>
  <w:style w:type="character" w:styleId="IntenseReference">
    <w:name w:val="Intense Reference"/>
    <w:basedOn w:val="DefaultParagraphFont"/>
    <w:uiPriority w:val="32"/>
    <w:qFormat/>
    <w:rsid w:val="008C79DB"/>
    <w:rPr>
      <w:b/>
      <w:bCs/>
      <w:smallCaps/>
      <w:color w:val="0F4761" w:themeColor="accent1" w:themeShade="BF"/>
      <w:spacing w:val="5"/>
    </w:rPr>
  </w:style>
  <w:style w:type="table" w:styleId="TableGrid">
    <w:name w:val="Table Grid"/>
    <w:basedOn w:val="TableNormal"/>
    <w:uiPriority w:val="39"/>
    <w:rsid w:val="00C21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2290"/>
    <w:pPr>
      <w:spacing w:before="100" w:beforeAutospacing="1" w:after="100" w:afterAutospacing="1"/>
    </w:pPr>
  </w:style>
  <w:style w:type="character" w:styleId="Strong">
    <w:name w:val="Strong"/>
    <w:basedOn w:val="DefaultParagraphFont"/>
    <w:uiPriority w:val="22"/>
    <w:qFormat/>
    <w:rsid w:val="00D256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e8992ec-76d5-4ea5-8eae-b0c5e558749a}" enabled="0" method="" siteId="{6e8992ec-76d5-4ea5-8eae-b0c5e558749a}" removed="1"/>
</clbl:labelList>
</file>

<file path=docProps/app.xml><?xml version="1.0" encoding="utf-8"?>
<Properties xmlns="http://schemas.openxmlformats.org/officeDocument/2006/extended-properties" xmlns:vt="http://schemas.openxmlformats.org/officeDocument/2006/docPropsVTypes">
  <Template>Normal.dotm</Template>
  <TotalTime>134</TotalTime>
  <Pages>1</Pages>
  <Words>1246</Words>
  <Characters>7107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Korkor V Kugblenu</dc:creator>
  <cp:keywords/>
  <dc:description/>
  <cp:lastModifiedBy>Mayfair Maclean</cp:lastModifiedBy>
  <cp:revision>29</cp:revision>
  <dcterms:created xsi:type="dcterms:W3CDTF">2026-07-29T02:00:00Z</dcterms:created>
  <dcterms:modified xsi:type="dcterms:W3CDTF">2026-08-03T14:12:00Z</dcterms:modified>
</cp:coreProperties>
</file>