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smallCaps w:val="1"/>
          <w:color w:val="5d6d7e"/>
          <w:sz w:val="18"/>
          <w:szCs w:val="18"/>
          <w:rtl w:val="0"/>
        </w:rPr>
        <w:t xml:space="preserve">H</w:t>
      </w:r>
      <w:r w:rsidDel="00000000" w:rsidR="00000000" w:rsidRPr="00000000">
        <w:rPr>
          <w:rFonts w:ascii="Titillium Web" w:cs="Titillium Web" w:eastAsia="Titillium Web" w:hAnsi="Titillium Web"/>
          <w:smallCaps w:val="1"/>
          <w:color w:val="5d6d7e"/>
          <w:sz w:val="18"/>
          <w:szCs w:val="18"/>
          <w:rtl w:val="0"/>
        </w:rPr>
        <w:t xml:space="preserve">INTERGRUND</w:t>
      </w:r>
      <w:r w:rsidDel="00000000" w:rsidR="00000000" w:rsidRPr="00000000">
        <w:rPr>
          <w:rtl w:val="0"/>
        </w:rPr>
      </w:r>
    </w:p>
    <w:p w:rsidR="00000000" w:rsidDel="00000000" w:rsidP="00000000" w:rsidRDefault="00000000" w:rsidRPr="00000000" w14:paraId="00000002">
      <w:pPr>
        <w:spacing w:after="200" w:before="0" w:lineRule="auto"/>
        <w:rPr/>
      </w:pPr>
      <w:r w:rsidDel="00000000" w:rsidR="00000000" w:rsidRPr="00000000">
        <w:rPr>
          <w:rFonts w:ascii="Titillium Web" w:cs="Titillium Web" w:eastAsia="Titillium Web" w:hAnsi="Titillium Web"/>
          <w:b w:val="1"/>
          <w:bCs w:val="1"/>
          <w:color w:val="1a5276"/>
          <w:sz w:val="52"/>
          <w:szCs w:val="52"/>
          <w:rtl w:val="0"/>
        </w:rPr>
        <w:t xml:space="preserve">Schlanders – Vanguard City 2026</w:t>
      </w:r>
      <w:r w:rsidDel="00000000" w:rsidR="00000000" w:rsidRPr="00000000">
        <w:rPr>
          <w:rtl w:val="0"/>
        </w:rPr>
      </w:r>
    </w:p>
    <w:p w:rsidR="00000000" w:rsidDel="00000000" w:rsidP="00000000" w:rsidRDefault="00000000" w:rsidRPr="00000000" w14:paraId="00000003">
      <w:pPr>
        <w:spacing w:after="40" w:before="0" w:lineRule="auto"/>
        <w:rPr/>
      </w:pPr>
      <w:r w:rsidDel="00000000" w:rsidR="00000000" w:rsidRPr="00000000">
        <w:rPr>
          <w:rFonts w:ascii="Titillium Web" w:cs="Titillium Web" w:eastAsia="Titillium Web" w:hAnsi="Titillium Web"/>
          <w:i w:val="1"/>
          <w:iCs w:val="1"/>
          <w:color w:val="5d6d7e"/>
          <w:sz w:val="26"/>
          <w:szCs w:val="26"/>
          <w:rtl w:val="0"/>
        </w:rPr>
        <w:t xml:space="preserve">Wie eine </w:t>
      </w:r>
      <w:r w:rsidDel="00000000" w:rsidR="00000000" w:rsidRPr="00000000">
        <w:rPr>
          <w:i w:val="1"/>
          <w:iCs w:val="1"/>
          <w:color w:val="5d6d7e"/>
          <w:sz w:val="26"/>
          <w:szCs w:val="26"/>
          <w:rtl w:val="0"/>
        </w:rPr>
        <w:t xml:space="preserve">Gemeinde</w:t>
      </w:r>
      <w:r w:rsidDel="00000000" w:rsidR="00000000" w:rsidRPr="00000000">
        <w:rPr>
          <w:rFonts w:ascii="Titillium Web" w:cs="Titillium Web" w:eastAsia="Titillium Web" w:hAnsi="Titillium Web"/>
          <w:i w:val="1"/>
          <w:iCs w:val="1"/>
          <w:color w:val="5d6d7e"/>
          <w:sz w:val="26"/>
          <w:szCs w:val="26"/>
          <w:rtl w:val="0"/>
        </w:rPr>
        <w:t xml:space="preserve"> im Vinschgau die europäische Bühne des Handels betrat — und was sie damit vorhat.</w:t>
      </w:r>
      <w:r w:rsidDel="00000000" w:rsidR="00000000" w:rsidRPr="00000000">
        <w:rPr>
          <w:rtl w:val="0"/>
        </w:rPr>
      </w:r>
    </w:p>
    <w:p w:rsidR="00000000" w:rsidDel="00000000" w:rsidP="00000000" w:rsidRDefault="00000000" w:rsidRPr="00000000" w14:paraId="00000004">
      <w:pPr>
        <w:spacing w:after="160" w:before="0" w:lineRule="auto"/>
        <w:rPr>
          <w:color w:val="5d6d7e"/>
          <w:sz w:val="18"/>
          <w:szCs w:val="18"/>
        </w:rPr>
      </w:pPr>
      <w:r w:rsidDel="00000000" w:rsidR="00000000" w:rsidRPr="00000000">
        <w:rPr>
          <w:rtl w:val="0"/>
        </w:rPr>
      </w:r>
    </w:p>
    <w:p w:rsidR="00000000" w:rsidDel="00000000" w:rsidP="00000000" w:rsidRDefault="00000000" w:rsidRPr="00000000" w14:paraId="00000005">
      <w:pPr>
        <w:spacing w:after="160" w:before="0" w:lineRule="auto"/>
        <w:rPr>
          <w:rFonts w:ascii="Titillium Web" w:cs="Titillium Web" w:eastAsia="Titillium Web" w:hAnsi="Titillium Web"/>
          <w:color w:val="5d6d7e"/>
          <w:sz w:val="18"/>
          <w:szCs w:val="18"/>
        </w:rPr>
      </w:pPr>
      <w:r w:rsidDel="00000000" w:rsidR="00000000" w:rsidRPr="00000000">
        <w:rPr>
          <w:rFonts w:ascii="Titillium Web" w:cs="Titillium Web" w:eastAsia="Titillium Web" w:hAnsi="Titillium Web"/>
          <w:color w:val="5d6d7e"/>
          <w:sz w:val="18"/>
          <w:szCs w:val="18"/>
          <w:rtl w:val="0"/>
        </w:rPr>
        <w:t xml:space="preserve">Stand: Mai 2026  |  Kontakt: Thomas Schuster, thomas@schlanders.live, +39 328 9511 824  |  </w:t>
      </w:r>
      <w:hyperlink r:id="rId6">
        <w:r w:rsidDel="00000000" w:rsidR="00000000" w:rsidRPr="00000000">
          <w:rPr>
            <w:rFonts w:ascii="Titillium Web" w:cs="Titillium Web" w:eastAsia="Titillium Web" w:hAnsi="Titillium Web"/>
            <w:color w:val="1155cc"/>
            <w:sz w:val="18"/>
            <w:szCs w:val="18"/>
            <w:u w:val="single"/>
            <w:rtl w:val="0"/>
          </w:rPr>
          <w:t xml:space="preserve">www.schlanders.live</w:t>
        </w:r>
      </w:hyperlink>
      <w:r w:rsidDel="00000000" w:rsidR="00000000" w:rsidRPr="00000000">
        <w:rPr>
          <w:rtl w:val="0"/>
        </w:rPr>
      </w:r>
    </w:p>
    <w:p w:rsidR="00000000" w:rsidDel="00000000" w:rsidP="00000000" w:rsidRDefault="00000000" w:rsidRPr="00000000" w14:paraId="00000006">
      <w:pPr>
        <w:spacing w:after="160" w:before="0" w:lineRule="auto"/>
        <w:rPr>
          <w:color w:val="5d6d7e"/>
          <w:sz w:val="18"/>
          <w:szCs w:val="18"/>
        </w:rPr>
      </w:pPr>
      <w:r w:rsidDel="00000000" w:rsidR="00000000" w:rsidRPr="00000000">
        <w:rPr>
          <w:rtl w:val="0"/>
        </w:rPr>
      </w:r>
    </w:p>
    <w:p w:rsidR="00000000" w:rsidDel="00000000" w:rsidP="00000000" w:rsidRDefault="00000000" w:rsidRPr="00000000" w14:paraId="00000007">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Der Wettbewerb: </w:t>
        <w:br w:type="textWrapping"/>
        <w:t xml:space="preserve">Was sind die European Capitals of Small Retail?</w:t>
      </w:r>
      <w:r w:rsidDel="00000000" w:rsidR="00000000" w:rsidRPr="00000000">
        <w:rPr>
          <w:rtl w:val="0"/>
        </w:rPr>
      </w:r>
    </w:p>
    <w:p w:rsidR="00000000" w:rsidDel="00000000" w:rsidP="00000000" w:rsidRDefault="00000000" w:rsidRPr="00000000" w14:paraId="00000008">
      <w:pPr>
        <w:spacing w:after="120" w:before="80" w:line="276" w:lineRule="auto"/>
        <w:rPr/>
      </w:pPr>
      <w:r w:rsidDel="00000000" w:rsidR="00000000" w:rsidRPr="00000000">
        <w:rPr>
          <w:rFonts w:ascii="Titillium Web" w:cs="Titillium Web" w:eastAsia="Titillium Web" w:hAnsi="Titillium Web"/>
          <w:sz w:val="22"/>
          <w:szCs w:val="22"/>
          <w:rtl w:val="0"/>
        </w:rPr>
        <w:t xml:space="preserve">Der Titel „European Capital of Small Retail“ – kurz ECoSR – ist eine europäische Auszeichnung, die Städte prämiert, die ihren lokalen Einzelhandel nicht nur erhalten, sondern aktiv weiterentwickeln. Der Ursprung des Programms ist ungewöhnlich für eine EU-Initiative: Es geht auf eine Bürgerpetition zurück, die das Europäische Parlament veranlasste, das Programm als sogenannte Preparatory Action vorzuschlagen. Die Umsetzung liegt bei der Europäischen Kommission – konkret bei der Exekutivagentur EISMEA im Auftrag der Generaldirektion Binnenmarkt und Industrie (DG GROW). Ausgezeichnet werden Städte, die zeigen: Lebendiger Einzelhandel ist kein Selbstläufer – er entsteht, wenn eine Gemeinschaft ihn bewusst gestaltet.</w:t>
      </w:r>
      <w:r w:rsidDel="00000000" w:rsidR="00000000" w:rsidRPr="00000000">
        <w:rPr>
          <w:rtl w:val="0"/>
        </w:rPr>
      </w:r>
    </w:p>
    <w:p w:rsidR="00000000" w:rsidDel="00000000" w:rsidP="00000000" w:rsidRDefault="00000000" w:rsidRPr="00000000" w14:paraId="00000009">
      <w:pPr>
        <w:spacing w:after="120" w:before="80" w:line="276" w:lineRule="auto"/>
        <w:rPr/>
      </w:pPr>
      <w:r w:rsidDel="00000000" w:rsidR="00000000" w:rsidRPr="00000000">
        <w:rPr>
          <w:rFonts w:ascii="Titillium Web" w:cs="Titillium Web" w:eastAsia="Titillium Web" w:hAnsi="Titillium Web"/>
          <w:sz w:val="22"/>
          <w:szCs w:val="22"/>
          <w:rtl w:val="0"/>
        </w:rPr>
        <w:t xml:space="preserve">Der Wettbewerb läuft in drei Größenkategorien:</w:t>
      </w:r>
      <w:r w:rsidDel="00000000" w:rsidR="00000000" w:rsidRPr="00000000">
        <w:rPr>
          <w:rtl w:val="0"/>
        </w:rPr>
      </w:r>
    </w:p>
    <w:p w:rsidR="00000000" w:rsidDel="00000000" w:rsidP="00000000" w:rsidRDefault="00000000" w:rsidRPr="00000000" w14:paraId="0000000A">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Vanguard City – für Städte und Gemeinden unter 50.000 Einwohnern</w:t>
      </w:r>
      <w:r w:rsidDel="00000000" w:rsidR="00000000" w:rsidRPr="00000000">
        <w:rPr>
          <w:rtl w:val="0"/>
        </w:rPr>
      </w:r>
    </w:p>
    <w:p w:rsidR="00000000" w:rsidDel="00000000" w:rsidP="00000000" w:rsidRDefault="00000000" w:rsidRPr="00000000" w14:paraId="0000000B">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Vibrant City – für Städte zwischen 50.000 und 250.000 Einwohnern</w:t>
      </w:r>
      <w:r w:rsidDel="00000000" w:rsidR="00000000" w:rsidRPr="00000000">
        <w:rPr>
          <w:rtl w:val="0"/>
        </w:rPr>
      </w:r>
    </w:p>
    <w:p w:rsidR="00000000" w:rsidDel="00000000" w:rsidP="00000000" w:rsidRDefault="00000000" w:rsidRPr="00000000" w14:paraId="0000000C">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Visionary City – für Großstädte</w:t>
      </w:r>
      <w:r w:rsidDel="00000000" w:rsidR="00000000" w:rsidRPr="00000000">
        <w:rPr>
          <w:rtl w:val="0"/>
        </w:rPr>
      </w:r>
    </w:p>
    <w:p w:rsidR="00000000" w:rsidDel="00000000" w:rsidP="00000000" w:rsidRDefault="00000000" w:rsidRPr="00000000" w14:paraId="0000000D">
      <w:pPr>
        <w:spacing w:after="80" w:before="80" w:lineRule="auto"/>
        <w:rPr/>
      </w:pPr>
      <w:r w:rsidDel="00000000" w:rsidR="00000000" w:rsidRPr="00000000">
        <w:rPr>
          <w:rtl w:val="0"/>
        </w:rPr>
      </w:r>
    </w:p>
    <w:p w:rsidR="00000000" w:rsidDel="00000000" w:rsidP="00000000" w:rsidRDefault="00000000" w:rsidRPr="00000000" w14:paraId="0000000E">
      <w:pPr>
        <w:spacing w:after="120" w:before="80" w:line="276" w:lineRule="auto"/>
        <w:rPr/>
      </w:pPr>
      <w:r w:rsidDel="00000000" w:rsidR="00000000" w:rsidRPr="00000000">
        <w:rPr>
          <w:rFonts w:ascii="Titillium Web" w:cs="Titillium Web" w:eastAsia="Titillium Web" w:hAnsi="Titillium Web"/>
          <w:sz w:val="22"/>
          <w:szCs w:val="22"/>
          <w:rtl w:val="0"/>
        </w:rPr>
        <w:t xml:space="preserve">Im Titeljahrgang 2026 sind es drei Gewinnerstädte: </w:t>
      </w:r>
      <w:r w:rsidDel="00000000" w:rsidR="00000000" w:rsidRPr="00000000">
        <w:rPr>
          <w:rFonts w:ascii="Titillium Web" w:cs="Titillium Web" w:eastAsia="Titillium Web" w:hAnsi="Titillium Web"/>
          <w:b w:val="1"/>
          <w:bCs w:val="1"/>
          <w:sz w:val="22"/>
          <w:szCs w:val="22"/>
          <w:rtl w:val="0"/>
        </w:rPr>
        <w:t xml:space="preserve">Schlanders</w:t>
      </w:r>
      <w:r w:rsidDel="00000000" w:rsidR="00000000" w:rsidRPr="00000000">
        <w:rPr>
          <w:rFonts w:ascii="Titillium Web" w:cs="Titillium Web" w:eastAsia="Titillium Web" w:hAnsi="Titillium Web"/>
          <w:sz w:val="22"/>
          <w:szCs w:val="22"/>
          <w:rtl w:val="0"/>
        </w:rPr>
        <w:t xml:space="preserve"> (Vanguard City), </w:t>
      </w:r>
      <w:r w:rsidDel="00000000" w:rsidR="00000000" w:rsidRPr="00000000">
        <w:rPr>
          <w:rFonts w:ascii="Titillium Web" w:cs="Titillium Web" w:eastAsia="Titillium Web" w:hAnsi="Titillium Web"/>
          <w:b w:val="1"/>
          <w:bCs w:val="1"/>
          <w:sz w:val="22"/>
          <w:szCs w:val="22"/>
          <w:rtl w:val="0"/>
        </w:rPr>
        <w:t xml:space="preserve">Caldas da Rainha</w:t>
      </w:r>
      <w:r w:rsidDel="00000000" w:rsidR="00000000" w:rsidRPr="00000000">
        <w:rPr>
          <w:rFonts w:ascii="Titillium Web" w:cs="Titillium Web" w:eastAsia="Titillium Web" w:hAnsi="Titillium Web"/>
          <w:sz w:val="22"/>
          <w:szCs w:val="22"/>
          <w:rtl w:val="0"/>
        </w:rPr>
        <w:t xml:space="preserve"> in Portugal (Vibrant City) und </w:t>
      </w:r>
      <w:r w:rsidDel="00000000" w:rsidR="00000000" w:rsidRPr="00000000">
        <w:rPr>
          <w:rFonts w:ascii="Titillium Web" w:cs="Titillium Web" w:eastAsia="Titillium Web" w:hAnsi="Titillium Web"/>
          <w:b w:val="1"/>
          <w:bCs w:val="1"/>
          <w:sz w:val="22"/>
          <w:szCs w:val="22"/>
          <w:rtl w:val="0"/>
        </w:rPr>
        <w:t xml:space="preserve">Barcelona</w:t>
      </w:r>
      <w:r w:rsidDel="00000000" w:rsidR="00000000" w:rsidRPr="00000000">
        <w:rPr>
          <w:rFonts w:ascii="Titillium Web" w:cs="Titillium Web" w:eastAsia="Titillium Web" w:hAnsi="Titillium Web"/>
          <w:sz w:val="22"/>
          <w:szCs w:val="22"/>
          <w:rtl w:val="0"/>
        </w:rPr>
        <w:t xml:space="preserve"> (Visionary City). Jede Stadt trägt den Titel ein Jahr lang – mit dem Auftrag, ihr Programm umzusetzen, in Europa sichtbar zu werden und am Ende Bilanz zu ziehen.</w:t>
      </w: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Die Bewerbung: Wie kam Schlanders überhaupt dazu?</w:t>
      </w:r>
      <w:r w:rsidDel="00000000" w:rsidR="00000000" w:rsidRPr="00000000">
        <w:rPr>
          <w:rtl w:val="0"/>
        </w:rPr>
      </w:r>
    </w:p>
    <w:p w:rsidR="00000000" w:rsidDel="00000000" w:rsidP="00000000" w:rsidRDefault="00000000" w:rsidRPr="00000000" w14:paraId="00000010">
      <w:pPr>
        <w:spacing w:after="120" w:before="80" w:line="276" w:lineRule="auto"/>
        <w:rPr/>
      </w:pPr>
      <w:r w:rsidDel="00000000" w:rsidR="00000000" w:rsidRPr="00000000">
        <w:rPr>
          <w:rFonts w:ascii="Titillium Web" w:cs="Titillium Web" w:eastAsia="Titillium Web" w:hAnsi="Titillium Web"/>
          <w:sz w:val="22"/>
          <w:szCs w:val="22"/>
          <w:rtl w:val="0"/>
        </w:rPr>
        <w:t xml:space="preserve">Schlanders hatte sich nicht als selbstverständliche Kandidatin aufgestellt. Die Bewerbung entstand aus einer nüchternen Bestandsaufnahme: Der Ortskern lebt, aber er braucht Impulse. Der Einzelhandel ist präsent, aber er steht unter Druck – durch Onlinehandel, durch veränderte Einkaufsgewohnheiten, durch die demografische Entwicklung im ländlichen Raum.</w:t>
      </w:r>
      <w:r w:rsidDel="00000000" w:rsidR="00000000" w:rsidRPr="00000000">
        <w:rPr>
          <w:rtl w:val="0"/>
        </w:rPr>
      </w:r>
    </w:p>
    <w:p w:rsidR="00000000" w:rsidDel="00000000" w:rsidP="00000000" w:rsidRDefault="00000000" w:rsidRPr="00000000" w14:paraId="00000011">
      <w:pPr>
        <w:spacing w:after="120" w:before="80" w:line="276" w:lineRule="auto"/>
        <w:rPr/>
      </w:pPr>
      <w:r w:rsidDel="00000000" w:rsidR="00000000" w:rsidRPr="00000000">
        <w:rPr>
          <w:rFonts w:ascii="Titillium Web" w:cs="Titillium Web" w:eastAsia="Titillium Web" w:hAnsi="Titillium Web"/>
          <w:sz w:val="22"/>
          <w:szCs w:val="22"/>
          <w:rtl w:val="0"/>
        </w:rPr>
        <w:t xml:space="preserve">Was die Bewerbung von Schlanders auszeichnete, war kein schöner Katalog bestehender Maßnahmen, sondern ein ehrliches Programm für das, was noch kommen muss. Vier Flaggschiff-Projekte bildeten das Herzstück:</w:t>
      </w:r>
      <w:r w:rsidDel="00000000" w:rsidR="00000000" w:rsidRPr="00000000">
        <w:rPr>
          <w:rtl w:val="0"/>
        </w:rPr>
      </w:r>
    </w:p>
    <w:p w:rsidR="00000000" w:rsidDel="00000000" w:rsidP="00000000" w:rsidRDefault="00000000" w:rsidRPr="00000000" w14:paraId="00000012">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Retail Futures Lab – ein offenes Innovationsformat, das lokale </w:t>
      </w:r>
      <w:r w:rsidDel="00000000" w:rsidR="00000000" w:rsidRPr="00000000">
        <w:rPr>
          <w:rtl w:val="0"/>
        </w:rPr>
        <w:t xml:space="preserve">Kaufleute</w:t>
      </w:r>
      <w:r w:rsidDel="00000000" w:rsidR="00000000" w:rsidRPr="00000000">
        <w:rPr>
          <w:rFonts w:ascii="Titillium Web" w:cs="Titillium Web" w:eastAsia="Titillium Web" w:hAnsi="Titillium Web"/>
          <w:sz w:val="22"/>
          <w:szCs w:val="22"/>
          <w:rtl w:val="0"/>
        </w:rPr>
        <w:t xml:space="preserve"> als aktive Mitgestalter einbindet, nicht als Zuschauer.</w:t>
      </w:r>
      <w:r w:rsidDel="00000000" w:rsidR="00000000" w:rsidRPr="00000000">
        <w:rPr>
          <w:rtl w:val="0"/>
        </w:rPr>
      </w:r>
    </w:p>
    <w:p w:rsidR="00000000" w:rsidDel="00000000" w:rsidP="00000000" w:rsidRDefault="00000000" w:rsidRPr="00000000" w14:paraId="00000013">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Be the Next Boss – ein Programm zur Nachfolgeförderung, das dem Leerstand entgegenwirkt, bevor er entsteht.</w:t>
      </w:r>
      <w:r w:rsidDel="00000000" w:rsidR="00000000" w:rsidRPr="00000000">
        <w:rPr>
          <w:rtl w:val="0"/>
        </w:rPr>
      </w:r>
    </w:p>
    <w:p w:rsidR="00000000" w:rsidDel="00000000" w:rsidP="00000000" w:rsidRDefault="00000000" w:rsidRPr="00000000" w14:paraId="00000014">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Slow Shopping – eine Dachmarke, die das Einkaufserlebnis in Schlanders mit Lebensqualität und Entschleunigung verknüpft.</w:t>
      </w:r>
      <w:r w:rsidDel="00000000" w:rsidR="00000000" w:rsidRPr="00000000">
        <w:rPr>
          <w:rtl w:val="0"/>
        </w:rPr>
      </w:r>
    </w:p>
    <w:p w:rsidR="00000000" w:rsidDel="00000000" w:rsidP="00000000" w:rsidRDefault="00000000" w:rsidRPr="00000000" w14:paraId="00000015">
      <w:pPr>
        <w:spacing w:after="60" w:before="60" w:lineRule="auto"/>
        <w:ind w:left="480" w:hanging="240"/>
        <w:rPr/>
      </w:pPr>
      <w:r w:rsidDel="00000000" w:rsidR="00000000" w:rsidRPr="00000000">
        <w:rPr>
          <w:rFonts w:ascii="Titillium Web" w:cs="Titillium Web" w:eastAsia="Titillium Web" w:hAnsi="Titillium Web"/>
          <w:color w:val="1a5276"/>
          <w:sz w:val="22"/>
          <w:szCs w:val="22"/>
          <w:rtl w:val="0"/>
        </w:rPr>
        <w:t xml:space="preserve">– </w:t>
      </w:r>
      <w:r w:rsidDel="00000000" w:rsidR="00000000" w:rsidRPr="00000000">
        <w:rPr>
          <w:rFonts w:ascii="Titillium Web" w:cs="Titillium Web" w:eastAsia="Titillium Web" w:hAnsi="Titillium Web"/>
          <w:sz w:val="22"/>
          <w:szCs w:val="22"/>
          <w:rtl w:val="0"/>
        </w:rPr>
        <w:t xml:space="preserve">Digital Twin / MIAr-App des hds – ein digitales Abbild des Ortszentrums, das </w:t>
      </w:r>
      <w:r w:rsidDel="00000000" w:rsidR="00000000" w:rsidRPr="00000000">
        <w:rPr>
          <w:rtl w:val="0"/>
        </w:rPr>
        <w:t xml:space="preserve">Kaufleute</w:t>
      </w:r>
      <w:r w:rsidDel="00000000" w:rsidR="00000000" w:rsidRPr="00000000">
        <w:rPr>
          <w:rFonts w:ascii="Titillium Web" w:cs="Titillium Web" w:eastAsia="Titillium Web" w:hAnsi="Titillium Web"/>
          <w:sz w:val="22"/>
          <w:szCs w:val="22"/>
          <w:rtl w:val="0"/>
        </w:rPr>
        <w:t xml:space="preserve">n, Planern und Besuchern gleichermaßen nutzt.</w:t>
      </w:r>
      <w:r w:rsidDel="00000000" w:rsidR="00000000" w:rsidRPr="00000000">
        <w:rPr>
          <w:rtl w:val="0"/>
        </w:rPr>
      </w:r>
    </w:p>
    <w:p w:rsidR="00000000" w:rsidDel="00000000" w:rsidP="00000000" w:rsidRDefault="00000000" w:rsidRPr="00000000" w14:paraId="00000016">
      <w:pPr>
        <w:spacing w:after="80" w:before="80" w:lineRule="auto"/>
        <w:rPr/>
      </w:pPr>
      <w:r w:rsidDel="00000000" w:rsidR="00000000" w:rsidRPr="00000000">
        <w:rPr>
          <w:rtl w:val="0"/>
        </w:rPr>
      </w:r>
    </w:p>
    <w:p w:rsidR="00000000" w:rsidDel="00000000" w:rsidP="00000000" w:rsidRDefault="00000000" w:rsidRPr="00000000" w14:paraId="00000017">
      <w:pPr>
        <w:spacing w:after="120" w:before="80" w:line="276" w:lineRule="auto"/>
        <w:rPr/>
      </w:pPr>
      <w:r w:rsidDel="00000000" w:rsidR="00000000" w:rsidRPr="00000000">
        <w:rPr>
          <w:rFonts w:ascii="Titillium Web" w:cs="Titillium Web" w:eastAsia="Titillium Web" w:hAnsi="Titillium Web"/>
          <w:sz w:val="22"/>
          <w:szCs w:val="22"/>
          <w:rtl w:val="0"/>
        </w:rPr>
        <w:t xml:space="preserve">Die Jury bestand aus Vertretern europäischer Handelsverbände und Städteorganisationen. Bewertet wurden Originalität des Programms, Einbindung lokaler Akteure, europäische Ausstrahlungskraft und Umsetzbarkeit. </w:t>
      </w:r>
      <w:r w:rsidDel="00000000" w:rsidR="00000000" w:rsidRPr="00000000">
        <w:rPr>
          <w:rFonts w:ascii="Titillium Web" w:cs="Titillium Web" w:eastAsia="Titillium Web" w:hAnsi="Titillium Web"/>
          <w:b w:val="1"/>
          <w:bCs w:val="1"/>
          <w:sz w:val="22"/>
          <w:szCs w:val="22"/>
          <w:rtl w:val="0"/>
        </w:rPr>
        <w:t xml:space="preserve">Schlanders setzte sich gegen 28 Mitbewerberstädte aus 13 europäischen Ländern durch</w:t>
      </w:r>
      <w:r w:rsidDel="00000000" w:rsidR="00000000" w:rsidRPr="00000000">
        <w:rPr>
          <w:rFonts w:ascii="Titillium Web" w:cs="Titillium Web" w:eastAsia="Titillium Web" w:hAnsi="Titillium Web"/>
          <w:sz w:val="22"/>
          <w:szCs w:val="22"/>
          <w:rtl w:val="0"/>
        </w:rPr>
        <w:t xml:space="preserve"> und wurde zur ersten Gemeinde unter 50.000 Einwohnern, die den Vanguard-City-Titel gewonnen hat.</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a5276" w:space="0" w:sz="4" w:val="single"/>
              <w:left w:color="1a5276" w:space="0" w:sz="16" w:val="single"/>
              <w:bottom w:color="1a5276" w:space="0" w:sz="4" w:val="single"/>
              <w:right w:color="000000" w:space="0" w:sz="0" w:val="nil"/>
            </w:tcBorders>
            <w:shd w:fill="ebf5fb" w:val="clear"/>
            <w:tcMar>
              <w:top w:w="120.0" w:type="dxa"/>
              <w:left w:w="200.0" w:type="dxa"/>
              <w:bottom w:w="120.0" w:type="dxa"/>
              <w:right w:w="160.0" w:type="dxa"/>
            </w:tcMar>
          </w:tcPr>
          <w:p w:rsidR="00000000" w:rsidDel="00000000" w:rsidP="00000000" w:rsidRDefault="00000000" w:rsidRPr="00000000" w14:paraId="00000019">
            <w:pPr>
              <w:rPr/>
            </w:pPr>
            <w:r w:rsidDel="00000000" w:rsidR="00000000" w:rsidRPr="00000000">
              <w:rPr>
                <w:rFonts w:ascii="Titillium Web" w:cs="Titillium Web" w:eastAsia="Titillium Web" w:hAnsi="Titillium Web"/>
                <w:b w:val="1"/>
                <w:bCs w:val="1"/>
                <w:color w:val="1a5276"/>
                <w:sz w:val="20"/>
                <w:szCs w:val="20"/>
                <w:rtl w:val="0"/>
              </w:rPr>
              <w:t xml:space="preserve">Einordnung</w:t>
            </w:r>
            <w:r w:rsidDel="00000000" w:rsidR="00000000" w:rsidRPr="00000000">
              <w:rPr>
                <w:rtl w:val="0"/>
              </w:rPr>
            </w:r>
          </w:p>
          <w:p w:rsidR="00000000" w:rsidDel="00000000" w:rsidP="00000000" w:rsidRDefault="00000000" w:rsidRPr="00000000" w14:paraId="0000001A">
            <w:pPr>
              <w:spacing w:before="60" w:lineRule="auto"/>
              <w:rPr/>
            </w:pPr>
            <w:r w:rsidDel="00000000" w:rsidR="00000000" w:rsidRPr="00000000">
              <w:rPr>
                <w:rFonts w:ascii="Titillium Web" w:cs="Titillium Web" w:eastAsia="Titillium Web" w:hAnsi="Titillium Web"/>
                <w:i w:val="1"/>
                <w:iCs w:val="1"/>
                <w:sz w:val="20"/>
                <w:szCs w:val="20"/>
                <w:rtl w:val="0"/>
              </w:rPr>
              <w:t xml:space="preserve">Der Titelgewinn ist kein Gütesiegel für das, was schon ist – er ist ein Auftrag für das, was noch kommt. Schlanders hat sich nicht beworben, weil alles gut läuft, sondern weil es einen Plan hat, wie es besser werden kann.</w:t>
            </w:r>
            <w:r w:rsidDel="00000000" w:rsidR="00000000" w:rsidRPr="00000000">
              <w:rPr>
                <w:rtl w:val="0"/>
              </w:rPr>
            </w:r>
          </w:p>
        </w:tc>
      </w:tr>
    </w:tbl>
    <w:p w:rsidR="00000000" w:rsidDel="00000000" w:rsidP="00000000" w:rsidRDefault="00000000" w:rsidRPr="00000000" w14:paraId="0000001B">
      <w:pPr>
        <w:spacing w:after="80" w:before="80" w:lineRule="auto"/>
        <w:rPr/>
      </w:pPr>
      <w:r w:rsidDel="00000000" w:rsidR="00000000" w:rsidRPr="00000000">
        <w:rPr>
          <w:rtl w:val="0"/>
        </w:rPr>
      </w:r>
    </w:p>
    <w:p w:rsidR="00000000" w:rsidDel="00000000" w:rsidP="00000000" w:rsidRDefault="00000000" w:rsidRPr="00000000" w14:paraId="0000001C">
      <w:pPr>
        <w:spacing w:after="120" w:before="8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120" w:before="80" w:line="276" w:lineRule="auto"/>
        <w:rPr/>
      </w:pPr>
      <w:r w:rsidDel="00000000" w:rsidR="00000000" w:rsidRPr="00000000">
        <w:rPr>
          <w:rFonts w:ascii="Titillium Web" w:cs="Titillium Web" w:eastAsia="Titillium Web" w:hAnsi="Titillium Web"/>
          <w:sz w:val="22"/>
          <w:szCs w:val="22"/>
          <w:rtl w:val="0"/>
        </w:rPr>
        <w:t xml:space="preserve">Ein entscheidender Faktor beim Titelgewinn war die Existenz der BASIS Vinschgau Venosta. In der ehemaligen Drusus-Kaserne am Rand des Ortszentrums ist in den vergangenen Jahren ein hybrider Hub entstanden, der weit über ein Co-working-Angebot hinausgeht: Makerspaces, Werkstätten, Projektwohnungen, Veranstaltungsräume, Gastronomiebetrieb – und eine lebendige Gemeinschaft von Menschen, die an der Zukunft des ländlichen Raums arbeiten.</w:t>
      </w:r>
      <w:r w:rsidDel="00000000" w:rsidR="00000000" w:rsidRPr="00000000">
        <w:rPr>
          <w:rtl w:val="0"/>
        </w:rPr>
      </w:r>
    </w:p>
    <w:p w:rsidR="00000000" w:rsidDel="00000000" w:rsidP="00000000" w:rsidRDefault="00000000" w:rsidRPr="00000000" w14:paraId="0000001E">
      <w:pPr>
        <w:spacing w:after="120" w:before="80" w:line="276" w:lineRule="auto"/>
        <w:rPr/>
      </w:pPr>
      <w:r w:rsidDel="00000000" w:rsidR="00000000" w:rsidRPr="00000000">
        <w:rPr>
          <w:rFonts w:ascii="Titillium Web" w:cs="Titillium Web" w:eastAsia="Titillium Web" w:hAnsi="Titillium Web"/>
          <w:sz w:val="22"/>
          <w:szCs w:val="22"/>
          <w:rtl w:val="0"/>
        </w:rPr>
        <w:t xml:space="preserve">Für die ECoSR-Jury war die BASIS ein starkes Signal: Schlanders hat nicht nur Programme auf dem Papier, sondern eine funktionierende Infrastruktur für Innovation. Die BASIS ist der Ort, an dem Handwerk auf Design trifft, wo Kreativwirtschaft und Einzelhandel keine getrennten Welten sind.</w:t>
      </w:r>
      <w:r w:rsidDel="00000000" w:rsidR="00000000" w:rsidRPr="00000000">
        <w:rPr>
          <w:rtl w:val="0"/>
        </w:rPr>
      </w:r>
    </w:p>
    <w:p w:rsidR="00000000" w:rsidDel="00000000" w:rsidP="00000000" w:rsidRDefault="00000000" w:rsidRPr="00000000" w14:paraId="0000001F">
      <w:pPr>
        <w:spacing w:after="120" w:before="80" w:line="276" w:lineRule="auto"/>
        <w:rPr/>
      </w:pPr>
      <w:r w:rsidDel="00000000" w:rsidR="00000000" w:rsidRPr="00000000">
        <w:rPr>
          <w:rFonts w:ascii="Titillium Web" w:cs="Titillium Web" w:eastAsia="Titillium Web" w:hAnsi="Titillium Web"/>
          <w:sz w:val="22"/>
          <w:szCs w:val="22"/>
          <w:rtl w:val="0"/>
        </w:rPr>
        <w:t xml:space="preserve">Als europäischer Netzwerkanker spielt die BASIS eine strategische Rolle: eingebunden in das Programm des New European Bauhaus, Teil des EU-Projekts Creative FLIP, regelmäßig in internationalen Foren präsent. Schlanders ist über die BASIS bereits in europäischen Netzwerken verankert, die weit über den ECoSR-Kontext hinausreichen. Das Exchange Programme hat das bestätigt: Das ECoSR-Sekretariat bezeichnet die BASIS ausdrücklich als übertragbares Katalysatormodell.</w:t>
      </w:r>
      <w:r w:rsidDel="00000000" w:rsidR="00000000" w:rsidRPr="00000000">
        <w:rPr>
          <w:rtl w:val="0"/>
        </w:rPr>
      </w:r>
    </w:p>
    <w:p w:rsidR="00000000" w:rsidDel="00000000" w:rsidP="00000000" w:rsidRDefault="00000000" w:rsidRPr="00000000" w14:paraId="00000020">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Das Titeljahr 2026: Was ist konkret geplant?</w:t>
      </w:r>
      <w:r w:rsidDel="00000000" w:rsidR="00000000" w:rsidRPr="00000000">
        <w:rPr>
          <w:rtl w:val="0"/>
        </w:rPr>
      </w:r>
    </w:p>
    <w:p w:rsidR="00000000" w:rsidDel="00000000" w:rsidP="00000000" w:rsidRDefault="00000000" w:rsidRPr="00000000" w14:paraId="00000021">
      <w:pPr>
        <w:spacing w:after="120" w:before="80" w:line="276" w:lineRule="auto"/>
        <w:rPr/>
      </w:pPr>
      <w:r w:rsidDel="00000000" w:rsidR="00000000" w:rsidRPr="00000000">
        <w:rPr>
          <w:rFonts w:ascii="Titillium Web" w:cs="Titillium Web" w:eastAsia="Titillium Web" w:hAnsi="Titillium Web"/>
          <w:sz w:val="22"/>
          <w:szCs w:val="22"/>
          <w:rtl w:val="0"/>
        </w:rPr>
        <w:t xml:space="preserve">Das Titeljahr ist kein symbolisches Jahr. Es ist ein Arbeitsjahr mit konkreten </w:t>
      </w:r>
      <w:r w:rsidDel="00000000" w:rsidR="00000000" w:rsidRPr="00000000">
        <w:rPr>
          <w:rtl w:val="0"/>
        </w:rPr>
        <w:t xml:space="preserve">Meilensteinen</w:t>
      </w:r>
      <w:r w:rsidDel="00000000" w:rsidR="00000000" w:rsidRPr="00000000">
        <w:rPr>
          <w:rFonts w:ascii="Titillium Web" w:cs="Titillium Web" w:eastAsia="Titillium Web" w:hAnsi="Titillium Web"/>
          <w:sz w:val="22"/>
          <w:szCs w:val="22"/>
          <w:rtl w:val="0"/>
        </w:rPr>
        <w:t xml:space="preserve">, europäischen Verpflichtungen und einem lokalen Programm, das die Schlanderser Bevölkerung direkt einbezieht.</w:t>
      </w:r>
      <w:r w:rsidDel="00000000" w:rsidR="00000000" w:rsidRPr="00000000">
        <w:rPr>
          <w:rtl w:val="0"/>
        </w:rPr>
      </w:r>
    </w:p>
    <w:p w:rsidR="00000000" w:rsidDel="00000000" w:rsidP="00000000" w:rsidRDefault="00000000" w:rsidRPr="00000000" w14:paraId="00000022">
      <w:pPr>
        <w:pStyle w:val="Heading2"/>
        <w:spacing w:after="120" w:before="320" w:lineRule="auto"/>
        <w:rPr/>
      </w:pPr>
      <w:r w:rsidDel="00000000" w:rsidR="00000000" w:rsidRPr="00000000">
        <w:rPr>
          <w:rFonts w:ascii="Titillium Web" w:cs="Titillium Web" w:eastAsia="Titillium Web" w:hAnsi="Titillium Web"/>
          <w:b w:val="1"/>
          <w:bCs w:val="1"/>
          <w:color w:val="1a5276"/>
          <w:sz w:val="28"/>
          <w:szCs w:val="28"/>
          <w:rtl w:val="0"/>
        </w:rPr>
        <w:t xml:space="preserve">Launch Event – 16. bis 18. April 2026 (abgeschlossen)</w:t>
      </w:r>
      <w:r w:rsidDel="00000000" w:rsidR="00000000" w:rsidRPr="00000000">
        <w:rPr>
          <w:rtl w:val="0"/>
        </w:rPr>
      </w:r>
    </w:p>
    <w:p w:rsidR="00000000" w:rsidDel="00000000" w:rsidP="00000000" w:rsidRDefault="00000000" w:rsidRPr="00000000" w14:paraId="00000023">
      <w:pPr>
        <w:spacing w:after="120" w:before="80" w:line="276" w:lineRule="auto"/>
        <w:rPr/>
      </w:pPr>
      <w:r w:rsidDel="00000000" w:rsidR="00000000" w:rsidRPr="00000000">
        <w:rPr>
          <w:rFonts w:ascii="Titillium Web" w:cs="Titillium Web" w:eastAsia="Titillium Web" w:hAnsi="Titillium Web"/>
          <w:sz w:val="22"/>
          <w:szCs w:val="22"/>
          <w:rtl w:val="0"/>
        </w:rPr>
        <w:t xml:space="preserve">Der offizielle Auftakt zum Titeljahr fand vom 16. bis 18. April 2026 im BASIS lokal Schlanders statt. Das dreitägige Programm brachte europäische Gäste nach Schlanders – Vertreter des ECoSR-Sekretariats aus Brüssel</w:t>
      </w:r>
      <w:r w:rsidDel="00000000" w:rsidR="00000000" w:rsidRPr="00000000">
        <w:rPr>
          <w:rtl w:val="0"/>
        </w:rPr>
        <w:t xml:space="preserve"> und</w:t>
      </w:r>
      <w:r w:rsidDel="00000000" w:rsidR="00000000" w:rsidRPr="00000000">
        <w:rPr>
          <w:rFonts w:ascii="Titillium Web" w:cs="Titillium Web" w:eastAsia="Titillium Web" w:hAnsi="Titillium Web"/>
          <w:sz w:val="22"/>
          <w:szCs w:val="22"/>
          <w:rtl w:val="0"/>
        </w:rPr>
        <w:t xml:space="preserve"> Delegierte der Partnerstädte.</w:t>
      </w:r>
      <w:r w:rsidDel="00000000" w:rsidR="00000000" w:rsidRPr="00000000">
        <w:rPr>
          <w:rtl w:val="0"/>
        </w:rPr>
      </w:r>
    </w:p>
    <w:p w:rsidR="00000000" w:rsidDel="00000000" w:rsidP="00000000" w:rsidRDefault="00000000" w:rsidRPr="00000000" w14:paraId="00000024">
      <w:pPr>
        <w:spacing w:after="120" w:before="80" w:line="276" w:lineRule="auto"/>
        <w:rPr/>
      </w:pPr>
      <w:r w:rsidDel="00000000" w:rsidR="00000000" w:rsidRPr="00000000">
        <w:rPr>
          <w:rFonts w:ascii="Titillium Web" w:cs="Titillium Web" w:eastAsia="Titillium Web" w:hAnsi="Titillium Web"/>
          <w:sz w:val="22"/>
          <w:szCs w:val="22"/>
          <w:rtl w:val="0"/>
        </w:rPr>
        <w:t xml:space="preserve">Der Launch Event war bewusst als Auftakt konzipiert, nicht als Höhepunkt. Die eigentliche Arbeit – die vier Flaggschiff-Projekte, die </w:t>
      </w:r>
      <w:r w:rsidDel="00000000" w:rsidR="00000000" w:rsidRPr="00000000">
        <w:rPr>
          <w:rtl w:val="0"/>
        </w:rPr>
        <w:t xml:space="preserve">E</w:t>
      </w:r>
      <w:r w:rsidDel="00000000" w:rsidR="00000000" w:rsidRPr="00000000">
        <w:rPr>
          <w:rFonts w:ascii="Titillium Web" w:cs="Titillium Web" w:eastAsia="Titillium Web" w:hAnsi="Titillium Web"/>
          <w:sz w:val="22"/>
          <w:szCs w:val="22"/>
          <w:rtl w:val="0"/>
        </w:rPr>
        <w:t xml:space="preserve">inbindung der Kaufleute, die europäischen Austauschformate – beginnt danach.</w:t>
      </w:r>
      <w:r w:rsidDel="00000000" w:rsidR="00000000" w:rsidRPr="00000000">
        <w:rPr>
          <w:rtl w:val="0"/>
        </w:rPr>
      </w:r>
    </w:p>
    <w:p w:rsidR="00000000" w:rsidDel="00000000" w:rsidP="00000000" w:rsidRDefault="00000000" w:rsidRPr="00000000" w14:paraId="00000025">
      <w:pPr>
        <w:spacing w:after="120" w:before="80" w:line="276" w:lineRule="auto"/>
        <w:rPr/>
      </w:pPr>
      <w:r w:rsidDel="00000000" w:rsidR="00000000" w:rsidRPr="00000000">
        <w:rPr>
          <w:rFonts w:ascii="Titillium Web" w:cs="Titillium Web" w:eastAsia="Titillium Web" w:hAnsi="Titillium Web"/>
          <w:sz w:val="22"/>
          <w:szCs w:val="22"/>
          <w:rtl w:val="0"/>
        </w:rPr>
        <w:t xml:space="preserve">Ein zentrales Element des Launch Events war die Unterzeichnung der „Schlanderser Erklärung“ – ein gemeinsames Bekenntnis der Vertreter aller drei Titelstädte zu den Grundwerten des Programms. Die Erklärung hält drei Kernaussagen fest: Nahversorgung ist keine Selbstverständlichkeit, sie ist eine politische Entscheidung und damit eine politische Verantwortung. Kleine Gemeinden sind keine Ausnahmen, die man toleriert – sie können Modelle sein, von denen größere Städte lernen. Und europäische Städte müssen und können  voneinander lernen</w:t>
      </w:r>
      <w:r w:rsidDel="00000000" w:rsidR="00000000" w:rsidRPr="00000000">
        <w:rPr>
          <w:rtl w:val="0"/>
        </w:rPr>
        <w:t xml:space="preserve">, </w:t>
      </w:r>
      <w:r w:rsidDel="00000000" w:rsidR="00000000" w:rsidRPr="00000000">
        <w:rPr>
          <w:rFonts w:ascii="Titillium Web" w:cs="Titillium Web" w:eastAsia="Titillium Web" w:hAnsi="Titillium Web"/>
          <w:sz w:val="22"/>
          <w:szCs w:val="22"/>
          <w:rtl w:val="0"/>
        </w:rPr>
        <w:t xml:space="preserve">durch echten Austausch. Dass die Erklärung den Namen von Schlanders trägt, verstehen die Unterzeichnenden nicht als Auszeichnung, sondern als Verpflichtung.</w:t>
      </w:r>
      <w:r w:rsidDel="00000000" w:rsidR="00000000" w:rsidRPr="00000000">
        <w:rPr>
          <w:rtl w:val="0"/>
        </w:rPr>
      </w:r>
    </w:p>
    <w:p w:rsidR="00000000" w:rsidDel="00000000" w:rsidP="00000000" w:rsidRDefault="00000000" w:rsidRPr="00000000" w14:paraId="00000026">
      <w:pPr>
        <w:pStyle w:val="Heading2"/>
        <w:spacing w:after="120" w:before="320" w:lineRule="auto"/>
        <w:rPr/>
      </w:pPr>
      <w:r w:rsidDel="00000000" w:rsidR="00000000" w:rsidRPr="00000000">
        <w:rPr>
          <w:rFonts w:ascii="Titillium Web" w:cs="Titillium Web" w:eastAsia="Titillium Web" w:hAnsi="Titillium Web"/>
          <w:b w:val="1"/>
          <w:bCs w:val="1"/>
          <w:color w:val="1a5276"/>
          <w:sz w:val="28"/>
          <w:szCs w:val="28"/>
          <w:rtl w:val="0"/>
        </w:rPr>
        <w:t xml:space="preserve">Retail Futures Lab: </w:t>
      </w:r>
      <w:r w:rsidDel="00000000" w:rsidR="00000000" w:rsidRPr="00000000">
        <w:rPr>
          <w:rtl w:val="0"/>
        </w:rPr>
        <w:t xml:space="preserve">Kaufleute</w:t>
      </w:r>
      <w:r w:rsidDel="00000000" w:rsidR="00000000" w:rsidRPr="00000000">
        <w:rPr>
          <w:rFonts w:ascii="Titillium Web" w:cs="Titillium Web" w:eastAsia="Titillium Web" w:hAnsi="Titillium Web"/>
          <w:b w:val="1"/>
          <w:bCs w:val="1"/>
          <w:color w:val="1a5276"/>
          <w:sz w:val="28"/>
          <w:szCs w:val="28"/>
          <w:rtl w:val="0"/>
        </w:rPr>
        <w:t xml:space="preserve"> als Mitdenker</w:t>
      </w:r>
      <w:r w:rsidDel="00000000" w:rsidR="00000000" w:rsidRPr="00000000">
        <w:rPr>
          <w:rtl w:val="0"/>
        </w:rPr>
      </w:r>
    </w:p>
    <w:p w:rsidR="00000000" w:rsidDel="00000000" w:rsidP="00000000" w:rsidRDefault="00000000" w:rsidRPr="00000000" w14:paraId="00000027">
      <w:pPr>
        <w:spacing w:after="120" w:before="80" w:line="276" w:lineRule="auto"/>
        <w:rPr/>
      </w:pPr>
      <w:r w:rsidDel="00000000" w:rsidR="00000000" w:rsidRPr="00000000">
        <w:rPr>
          <w:rFonts w:ascii="Titillium Web" w:cs="Titillium Web" w:eastAsia="Titillium Web" w:hAnsi="Titillium Web"/>
          <w:sz w:val="22"/>
          <w:szCs w:val="22"/>
          <w:rtl w:val="0"/>
        </w:rPr>
        <w:t xml:space="preserve">Das Retail Futures Lab ist das arbeitsintensivste Flaggschiff-Projekt. Vier Workshops, verteilt über das Jahr, bringen lokale </w:t>
      </w:r>
      <w:r w:rsidDel="00000000" w:rsidR="00000000" w:rsidRPr="00000000">
        <w:rPr>
          <w:rtl w:val="0"/>
        </w:rPr>
        <w:t xml:space="preserve">Kaufleute</w:t>
      </w:r>
      <w:r w:rsidDel="00000000" w:rsidR="00000000" w:rsidRPr="00000000">
        <w:rPr>
          <w:rFonts w:ascii="Titillium Web" w:cs="Titillium Web" w:eastAsia="Titillium Web" w:hAnsi="Titillium Web"/>
          <w:sz w:val="22"/>
          <w:szCs w:val="22"/>
          <w:rtl w:val="0"/>
        </w:rPr>
        <w:t xml:space="preserve">, externe Expertinnen und Experten und interessierte Bürgerinnen und Bürger an einen Tisch, um gemeinsam Lösungen zu entwickeln.</w:t>
      </w:r>
      <w:r w:rsidDel="00000000" w:rsidR="00000000" w:rsidRPr="00000000">
        <w:rPr>
          <w:rtl w:val="0"/>
        </w:rPr>
      </w:r>
    </w:p>
    <w:p w:rsidR="00000000" w:rsidDel="00000000" w:rsidP="00000000" w:rsidRDefault="00000000" w:rsidRPr="00000000" w14:paraId="00000028">
      <w:pPr>
        <w:spacing w:after="120" w:before="80" w:line="276" w:lineRule="auto"/>
        <w:rPr/>
      </w:pPr>
      <w:r w:rsidDel="00000000" w:rsidR="00000000" w:rsidRPr="00000000">
        <w:rPr>
          <w:rFonts w:ascii="Titillium Web" w:cs="Titillium Web" w:eastAsia="Titillium Web" w:hAnsi="Titillium Web"/>
          <w:sz w:val="22"/>
          <w:szCs w:val="22"/>
          <w:rtl w:val="0"/>
        </w:rPr>
        <w:t xml:space="preserve">Themen reichen von digitaler Sichtbarkeit und Kundenbindung über neue Ladenflächen-Konzepte bis hin zu Fragen der Sortimentsgestaltung und des Einkaufserlebnisses. Kooperationspartnerin ist BASIS Vinschgau Venosta, das als Inkubator für Innovation im ländlichen Raum bestens positioniert ist.</w:t>
      </w:r>
      <w:r w:rsidDel="00000000" w:rsidR="00000000" w:rsidRPr="00000000">
        <w:rPr>
          <w:rtl w:val="0"/>
        </w:rPr>
      </w:r>
    </w:p>
    <w:p w:rsidR="00000000" w:rsidDel="00000000" w:rsidP="00000000" w:rsidRDefault="00000000" w:rsidRPr="00000000" w14:paraId="00000029">
      <w:pPr>
        <w:pStyle w:val="Heading2"/>
        <w:spacing w:after="120" w:before="320" w:lineRule="auto"/>
        <w:rPr/>
      </w:pPr>
      <w:r w:rsidDel="00000000" w:rsidR="00000000" w:rsidRPr="00000000">
        <w:rPr>
          <w:rtl w:val="0"/>
        </w:rPr>
        <w:t xml:space="preserve">„</w:t>
      </w:r>
      <w:r w:rsidDel="00000000" w:rsidR="00000000" w:rsidRPr="00000000">
        <w:rPr>
          <w:rFonts w:ascii="Titillium Web" w:cs="Titillium Web" w:eastAsia="Titillium Web" w:hAnsi="Titillium Web"/>
          <w:b w:val="1"/>
          <w:bCs w:val="1"/>
          <w:color w:val="1a5276"/>
          <w:sz w:val="28"/>
          <w:szCs w:val="28"/>
          <w:rtl w:val="0"/>
        </w:rPr>
        <w:t xml:space="preserve">B the Next Boss“: Gegen den Leerstand von morgen</w:t>
      </w:r>
      <w:r w:rsidDel="00000000" w:rsidR="00000000" w:rsidRPr="00000000">
        <w:rPr>
          <w:rtl w:val="0"/>
        </w:rPr>
      </w:r>
    </w:p>
    <w:p w:rsidR="00000000" w:rsidDel="00000000" w:rsidP="00000000" w:rsidRDefault="00000000" w:rsidRPr="00000000" w14:paraId="0000002A">
      <w:pPr>
        <w:spacing w:after="120" w:before="80" w:line="276" w:lineRule="auto"/>
        <w:rPr/>
      </w:pPr>
      <w:r w:rsidDel="00000000" w:rsidR="00000000" w:rsidRPr="00000000">
        <w:rPr>
          <w:rFonts w:ascii="Titillium Web" w:cs="Titillium Web" w:eastAsia="Titillium Web" w:hAnsi="Titillium Web"/>
          <w:sz w:val="22"/>
          <w:szCs w:val="22"/>
          <w:rtl w:val="0"/>
        </w:rPr>
        <w:t xml:space="preserve">Leerstand entsteht oft nicht über Nacht – er entsteht, weil eine Nachfolgelösung fehlt. Das Programm „B the Next Boss" setzt genau dort an: Es vernetzt potenzielle Nachfolgerinnen und Nachfolger mit </w:t>
      </w:r>
      <w:r w:rsidDel="00000000" w:rsidR="00000000" w:rsidRPr="00000000">
        <w:rPr>
          <w:rtl w:val="0"/>
        </w:rPr>
        <w:t xml:space="preserve">vor dem Ruhestand stehenden Kaufleuten</w:t>
      </w:r>
      <w:r w:rsidDel="00000000" w:rsidR="00000000" w:rsidRPr="00000000">
        <w:rPr>
          <w:rFonts w:ascii="Titillium Web" w:cs="Titillium Web" w:eastAsia="Titillium Web" w:hAnsi="Titillium Web"/>
          <w:sz w:val="22"/>
          <w:szCs w:val="22"/>
          <w:rtl w:val="0"/>
        </w:rPr>
        <w:t xml:space="preserve">, die ihre Geschäfte kurz- oder mittelfristig übergeben wollen.</w:t>
      </w:r>
      <w:r w:rsidDel="00000000" w:rsidR="00000000" w:rsidRPr="00000000">
        <w:rPr>
          <w:rtl w:val="0"/>
        </w:rPr>
      </w:r>
    </w:p>
    <w:p w:rsidR="00000000" w:rsidDel="00000000" w:rsidP="00000000" w:rsidRDefault="00000000" w:rsidRPr="00000000" w14:paraId="0000002B">
      <w:pPr>
        <w:spacing w:after="120" w:before="80" w:line="276" w:lineRule="auto"/>
        <w:rPr/>
      </w:pPr>
      <w:r w:rsidDel="00000000" w:rsidR="00000000" w:rsidRPr="00000000">
        <w:rPr>
          <w:rFonts w:ascii="Titillium Web" w:cs="Titillium Web" w:eastAsia="Titillium Web" w:hAnsi="Titillium Web"/>
          <w:sz w:val="22"/>
          <w:szCs w:val="22"/>
          <w:rtl w:val="0"/>
        </w:rPr>
        <w:t xml:space="preserve">Koordiniert wird das Projekt durch den hds – Handels- und Dienstleistungsverband Südtirol, der vor Ort durch Bezirksleiter Aaron Pircher vertreten ist. </w:t>
      </w:r>
      <w:r w:rsidDel="00000000" w:rsidR="00000000" w:rsidRPr="00000000">
        <w:rPr>
          <w:rtl w:val="0"/>
        </w:rPr>
        <w:t xml:space="preserve">Nachdem andere Städte aus dem ECoSR-Programm ihr Interesse signalisiert haben, wird auch eine europaweite Ausdehnung bereits angedacht.</w:t>
      </w:r>
    </w:p>
    <w:p w:rsidR="00000000" w:rsidDel="00000000" w:rsidP="00000000" w:rsidRDefault="00000000" w:rsidRPr="00000000" w14:paraId="0000002C">
      <w:pPr>
        <w:pStyle w:val="Heading2"/>
        <w:spacing w:after="120" w:before="320" w:lineRule="auto"/>
        <w:rPr/>
      </w:pPr>
      <w:r w:rsidDel="00000000" w:rsidR="00000000" w:rsidRPr="00000000">
        <w:rPr>
          <w:rFonts w:ascii="Titillium Web" w:cs="Titillium Web" w:eastAsia="Titillium Web" w:hAnsi="Titillium Web"/>
          <w:b w:val="1"/>
          <w:bCs w:val="1"/>
          <w:color w:val="1a5276"/>
          <w:sz w:val="28"/>
          <w:szCs w:val="28"/>
          <w:rtl w:val="0"/>
        </w:rPr>
        <w:t xml:space="preserve">Slow Shopping: Einkaufen als Erlebnis</w:t>
      </w:r>
      <w:r w:rsidDel="00000000" w:rsidR="00000000" w:rsidRPr="00000000">
        <w:rPr>
          <w:rtl w:val="0"/>
        </w:rPr>
      </w:r>
    </w:p>
    <w:p w:rsidR="00000000" w:rsidDel="00000000" w:rsidP="00000000" w:rsidRDefault="00000000" w:rsidRPr="00000000" w14:paraId="0000002D">
      <w:pPr>
        <w:spacing w:after="120" w:before="80" w:line="276" w:lineRule="auto"/>
        <w:rPr/>
      </w:pPr>
      <w:r w:rsidDel="00000000" w:rsidR="00000000" w:rsidRPr="00000000">
        <w:rPr>
          <w:rFonts w:ascii="Titillium Web" w:cs="Titillium Web" w:eastAsia="Titillium Web" w:hAnsi="Titillium Web"/>
          <w:sz w:val="22"/>
          <w:szCs w:val="22"/>
          <w:rtl w:val="0"/>
        </w:rPr>
        <w:t xml:space="preserve">Slow Shopping ist die kommunikativste der vier Initiativen. Sie schafft eine Dachmarke für das Einkaufserlebnis in Schlanders: bewusster einkaufen, lokale Produkte entdecken, den Ortskern als sozialen Raum erleben – nicht als Pflichtprogramm, sondern als Freude.</w:t>
      </w:r>
      <w:r w:rsidDel="00000000" w:rsidR="00000000" w:rsidRPr="00000000">
        <w:rPr>
          <w:rtl w:val="0"/>
        </w:rPr>
      </w:r>
    </w:p>
    <w:p w:rsidR="00000000" w:rsidDel="00000000" w:rsidP="00000000" w:rsidRDefault="00000000" w:rsidRPr="00000000" w14:paraId="0000002E">
      <w:pPr>
        <w:spacing w:after="120" w:before="80" w:line="276" w:lineRule="auto"/>
        <w:rPr/>
      </w:pPr>
      <w:r w:rsidDel="00000000" w:rsidR="00000000" w:rsidRPr="00000000">
        <w:rPr>
          <w:rFonts w:ascii="Titillium Web" w:cs="Titillium Web" w:eastAsia="Titillium Web" w:hAnsi="Titillium Web"/>
          <w:sz w:val="22"/>
          <w:szCs w:val="22"/>
          <w:rtl w:val="0"/>
        </w:rPr>
        <w:t xml:space="preserve">Die Dachmarke wird über das Jahr hinweg mit konkreten Aktionen bespielt: thematische Einkaufstouren, Händlerporträts, Kooperationen mit Gastronomie und Handwerk.</w:t>
      </w:r>
      <w:r w:rsidDel="00000000" w:rsidR="00000000" w:rsidRPr="00000000">
        <w:rPr>
          <w:rtl w:val="0"/>
        </w:rPr>
      </w:r>
    </w:p>
    <w:p w:rsidR="00000000" w:rsidDel="00000000" w:rsidP="00000000" w:rsidRDefault="00000000" w:rsidRPr="00000000" w14:paraId="0000002F">
      <w:pPr>
        <w:spacing w:after="120" w:before="80" w:line="276" w:lineRule="auto"/>
        <w:rPr/>
      </w:pPr>
      <w:r w:rsidDel="00000000" w:rsidR="00000000" w:rsidRPr="00000000">
        <w:rPr>
          <w:rtl w:val="0"/>
        </w:rPr>
        <w:t xml:space="preserve">Begleitend läuft auch eine Wanderausstellung der Vanguard-City-Trophäe, die bereits seit Anfang März in verschiedenen Geschäften in Schlanders gezeigt wird.</w:t>
      </w:r>
    </w:p>
    <w:p w:rsidR="00000000" w:rsidDel="00000000" w:rsidP="00000000" w:rsidRDefault="00000000" w:rsidRPr="00000000" w14:paraId="00000030">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Schlanders und die OECD: Eine Fallstudie mit Gewicht</w:t>
      </w:r>
      <w:r w:rsidDel="00000000" w:rsidR="00000000" w:rsidRPr="00000000">
        <w:rPr>
          <w:rtl w:val="0"/>
        </w:rPr>
      </w:r>
    </w:p>
    <w:p w:rsidR="00000000" w:rsidDel="00000000" w:rsidP="00000000" w:rsidRDefault="00000000" w:rsidRPr="00000000" w14:paraId="00000031">
      <w:pPr>
        <w:spacing w:after="120" w:before="80" w:line="276" w:lineRule="auto"/>
        <w:rPr/>
      </w:pPr>
      <w:r w:rsidDel="00000000" w:rsidR="00000000" w:rsidRPr="00000000">
        <w:rPr>
          <w:rtl w:val="0"/>
        </w:rPr>
        <w:t xml:space="preserve">Mit dem</w:t>
      </w:r>
      <w:r w:rsidDel="00000000" w:rsidR="00000000" w:rsidRPr="00000000">
        <w:rPr>
          <w:rFonts w:ascii="Titillium Web" w:cs="Titillium Web" w:eastAsia="Titillium Web" w:hAnsi="Titillium Web"/>
          <w:sz w:val="22"/>
          <w:szCs w:val="22"/>
          <w:rtl w:val="0"/>
        </w:rPr>
        <w:t xml:space="preserve"> ECoSR-Programm hat Schlanders eine weitere </w:t>
      </w:r>
      <w:r w:rsidDel="00000000" w:rsidR="00000000" w:rsidRPr="00000000">
        <w:rPr>
          <w:rtl w:val="0"/>
        </w:rPr>
        <w:t xml:space="preserve">internationale</w:t>
      </w:r>
      <w:r w:rsidDel="00000000" w:rsidR="00000000" w:rsidRPr="00000000">
        <w:rPr>
          <w:rFonts w:ascii="Titillium Web" w:cs="Titillium Web" w:eastAsia="Titillium Web" w:hAnsi="Titillium Web"/>
          <w:sz w:val="22"/>
          <w:szCs w:val="22"/>
          <w:rtl w:val="0"/>
        </w:rPr>
        <w:t xml:space="preserve"> Bühne betreten: Im Frühjahr 2026 wurde Schlanders als Fallstudie in ein OECD-Programm zu dop</w:t>
      </w:r>
      <w:r w:rsidDel="00000000" w:rsidR="00000000" w:rsidRPr="00000000">
        <w:rPr>
          <w:rtl w:val="0"/>
        </w:rPr>
        <w:t xml:space="preserve">pelten (ökologischen und digitalen Wandel) des Einzelhandels</w:t>
      </w:r>
      <w:r w:rsidDel="00000000" w:rsidR="00000000" w:rsidRPr="00000000">
        <w:rPr>
          <w:rFonts w:ascii="Titillium Web" w:cs="Titillium Web" w:eastAsia="Titillium Web" w:hAnsi="Titillium Web"/>
          <w:sz w:val="22"/>
          <w:szCs w:val="22"/>
          <w:rtl w:val="0"/>
        </w:rPr>
        <w:t xml:space="preserve"> aufgenommen. </w:t>
      </w:r>
      <w:r w:rsidDel="00000000" w:rsidR="00000000" w:rsidRPr="00000000">
        <w:rPr>
          <w:rtl w:val="0"/>
        </w:rPr>
      </w:r>
    </w:p>
    <w:p w:rsidR="00000000" w:rsidDel="00000000" w:rsidP="00000000" w:rsidRDefault="00000000" w:rsidRPr="00000000" w14:paraId="00000032">
      <w:pPr>
        <w:spacing w:after="120" w:before="80" w:line="276" w:lineRule="auto"/>
        <w:rPr/>
      </w:pPr>
      <w:r w:rsidDel="00000000" w:rsidR="00000000" w:rsidRPr="00000000">
        <w:rPr>
          <w:rFonts w:ascii="Titillium Web" w:cs="Titillium Web" w:eastAsia="Titillium Web" w:hAnsi="Titillium Web"/>
          <w:sz w:val="22"/>
          <w:szCs w:val="22"/>
          <w:rtl w:val="0"/>
        </w:rPr>
        <w:t xml:space="preserve">Schlanders wird als Referenzbeispiel für erfolgreiche Einzelhandelsentwicklung in ländlichen Klein- und Mittelstädten dokumentiert. Die Erkenntnisse fließen in OECD-Berichte und Handlungsempfehlungen ein, die politischen Entscheidungsträgerinnen und -trägern in ganz Europa als Grundlage dienen.</w:t>
      </w:r>
      <w:r w:rsidDel="00000000" w:rsidR="00000000" w:rsidRPr="00000000">
        <w:rPr>
          <w:rtl w:val="0"/>
        </w:rPr>
      </w:r>
    </w:p>
    <w:p w:rsidR="00000000" w:rsidDel="00000000" w:rsidP="00000000" w:rsidRDefault="00000000" w:rsidRPr="00000000" w14:paraId="00000033">
      <w:pPr>
        <w:spacing w:after="120" w:before="80" w:line="276" w:lineRule="auto"/>
        <w:rPr>
          <w:rFonts w:ascii="Titillium Web" w:cs="Titillium Web" w:eastAsia="Titillium Web" w:hAnsi="Titillium Web"/>
          <w:sz w:val="22"/>
          <w:szCs w:val="22"/>
        </w:rPr>
      </w:pPr>
      <w:r w:rsidDel="00000000" w:rsidR="00000000" w:rsidRPr="00000000">
        <w:rPr>
          <w:rFonts w:ascii="Titillium Web" w:cs="Titillium Web" w:eastAsia="Titillium Web" w:hAnsi="Titillium Web"/>
          <w:sz w:val="22"/>
          <w:szCs w:val="22"/>
          <w:rtl w:val="0"/>
        </w:rPr>
        <w:t xml:space="preserve">Für Schlanders bedeutet das zweierlei: Zum einen eine Verpflichtung zur Transparenz – was funktioniert, muss ebenso dokumentiert werden, wie das, was nicht funktioniert. Zum anderen eine </w:t>
      </w:r>
      <w:r w:rsidDel="00000000" w:rsidR="00000000" w:rsidRPr="00000000">
        <w:rPr>
          <w:rFonts w:ascii="Titillium Web" w:cs="Titillium Web" w:eastAsia="Titillium Web" w:hAnsi="Titillium Web"/>
          <w:b w:val="1"/>
          <w:bCs w:val="1"/>
          <w:sz w:val="22"/>
          <w:szCs w:val="22"/>
          <w:rtl w:val="0"/>
        </w:rPr>
        <w:t xml:space="preserve">Hebelfunktion</w:t>
      </w:r>
      <w:r w:rsidDel="00000000" w:rsidR="00000000" w:rsidRPr="00000000">
        <w:rPr>
          <w:rFonts w:ascii="Titillium Web" w:cs="Titillium Web" w:eastAsia="Titillium Web" w:hAnsi="Titillium Web"/>
          <w:sz w:val="22"/>
          <w:szCs w:val="22"/>
          <w:rtl w:val="0"/>
        </w:rPr>
        <w:t xml:space="preserve">: Wenn Schlanders in OECD-Berichten als positives Beispiel auftaucht, ist das eine Form von Anerkennung, die weit über Südtirol hinausstrahlt.</w:t>
      </w:r>
    </w:p>
    <w:p w:rsidR="00000000" w:rsidDel="00000000" w:rsidP="00000000" w:rsidRDefault="00000000" w:rsidRPr="00000000" w14:paraId="00000034">
      <w:pPr>
        <w:spacing w:after="120" w:before="80" w:line="276"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a5276" w:space="0" w:sz="4" w:val="single"/>
              <w:left w:color="1a5276" w:space="0" w:sz="16" w:val="single"/>
              <w:bottom w:color="1a5276" w:space="0" w:sz="4" w:val="single"/>
              <w:right w:color="000000" w:space="0" w:sz="0" w:val="nil"/>
            </w:tcBorders>
            <w:shd w:fill="ebf5fb" w:val="clear"/>
            <w:tcMar>
              <w:top w:w="120.0" w:type="dxa"/>
              <w:left w:w="200.0" w:type="dxa"/>
              <w:bottom w:w="120.0" w:type="dxa"/>
              <w:right w:w="160.0" w:type="dxa"/>
            </w:tcMar>
          </w:tcPr>
          <w:p w:rsidR="00000000" w:rsidDel="00000000" w:rsidP="00000000" w:rsidRDefault="00000000" w:rsidRPr="00000000" w14:paraId="00000035">
            <w:pPr>
              <w:ind w:right="0"/>
              <w:rPr/>
            </w:pPr>
            <w:r w:rsidDel="00000000" w:rsidR="00000000" w:rsidRPr="00000000">
              <w:rPr>
                <w:rFonts w:ascii="Titillium Web" w:cs="Titillium Web" w:eastAsia="Titillium Web" w:hAnsi="Titillium Web"/>
                <w:b w:val="1"/>
                <w:bCs w:val="1"/>
                <w:color w:val="1a5276"/>
                <w:sz w:val="20"/>
                <w:szCs w:val="20"/>
                <w:rtl w:val="0"/>
              </w:rPr>
              <w:t xml:space="preserve">Was das für lokale </w:t>
            </w:r>
            <w:r w:rsidDel="00000000" w:rsidR="00000000" w:rsidRPr="00000000">
              <w:rPr>
                <w:b w:val="1"/>
                <w:bCs w:val="1"/>
                <w:color w:val="1a5276"/>
                <w:sz w:val="20"/>
                <w:szCs w:val="20"/>
                <w:rtl w:val="0"/>
              </w:rPr>
              <w:t xml:space="preserve">Kaufleute</w:t>
            </w:r>
            <w:r w:rsidDel="00000000" w:rsidR="00000000" w:rsidRPr="00000000">
              <w:rPr>
                <w:rFonts w:ascii="Titillium Web" w:cs="Titillium Web" w:eastAsia="Titillium Web" w:hAnsi="Titillium Web"/>
                <w:b w:val="1"/>
                <w:bCs w:val="1"/>
                <w:color w:val="1a5276"/>
                <w:sz w:val="20"/>
                <w:szCs w:val="20"/>
                <w:rtl w:val="0"/>
              </w:rPr>
              <w:t xml:space="preserve"> bedeutet</w:t>
            </w:r>
            <w:r w:rsidDel="00000000" w:rsidR="00000000" w:rsidRPr="00000000">
              <w:rPr>
                <w:rtl w:val="0"/>
              </w:rPr>
            </w:r>
          </w:p>
          <w:p w:rsidR="00000000" w:rsidDel="00000000" w:rsidP="00000000" w:rsidRDefault="00000000" w:rsidRPr="00000000" w14:paraId="00000036">
            <w:pPr>
              <w:spacing w:before="60" w:lineRule="auto"/>
              <w:rPr/>
            </w:pPr>
            <w:r w:rsidDel="00000000" w:rsidR="00000000" w:rsidRPr="00000000">
              <w:rPr>
                <w:rFonts w:ascii="Titillium Web" w:cs="Titillium Web" w:eastAsia="Titillium Web" w:hAnsi="Titillium Web"/>
                <w:i w:val="1"/>
                <w:iCs w:val="1"/>
                <w:sz w:val="20"/>
                <w:szCs w:val="20"/>
                <w:rtl w:val="0"/>
              </w:rPr>
              <w:t xml:space="preserve">Sie werden Teil einer Dokumentation, die europaweit gelesen wird. Ihre Erfahrungen, Herausforderungen und Lösungsansätze werden zu Referenzwissen für andere Städte in ähnlichen Situationen.</w:t>
            </w:r>
            <w:r w:rsidDel="00000000" w:rsidR="00000000" w:rsidRPr="00000000">
              <w:rPr>
                <w:rtl w:val="0"/>
              </w:rPr>
            </w:r>
          </w:p>
        </w:tc>
      </w:tr>
    </w:tbl>
    <w:p w:rsidR="00000000" w:rsidDel="00000000" w:rsidP="00000000" w:rsidRDefault="00000000" w:rsidRPr="00000000" w14:paraId="00000037">
      <w:pPr>
        <w:pStyle w:val="Heading1"/>
        <w:pBdr>
          <w:bottom w:color="1a5276" w:space="6" w:sz="8" w:val="single"/>
        </w:pBdr>
        <w:spacing w:after="160" w:before="400" w:lineRule="auto"/>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Das ECoSR Exchange Programme: Europa kommt nach Schlanders – und Schlanders nach Europa</w:t>
      </w:r>
      <w:r w:rsidDel="00000000" w:rsidR="00000000" w:rsidRPr="00000000">
        <w:rPr>
          <w:rtl w:val="0"/>
        </w:rPr>
      </w:r>
    </w:p>
    <w:p w:rsidR="00000000" w:rsidDel="00000000" w:rsidP="00000000" w:rsidRDefault="00000000" w:rsidRPr="00000000" w14:paraId="00000039">
      <w:pPr>
        <w:spacing w:after="120" w:before="80" w:line="276" w:lineRule="auto"/>
        <w:rPr/>
      </w:pPr>
      <w:r w:rsidDel="00000000" w:rsidR="00000000" w:rsidRPr="00000000">
        <w:rPr>
          <w:rFonts w:ascii="Titillium Web" w:cs="Titillium Web" w:eastAsia="Titillium Web" w:hAnsi="Titillium Web"/>
          <w:sz w:val="22"/>
          <w:szCs w:val="22"/>
          <w:rtl w:val="0"/>
        </w:rPr>
        <w:t xml:space="preserve">Eines der </w:t>
      </w:r>
      <w:r w:rsidDel="00000000" w:rsidR="00000000" w:rsidRPr="00000000">
        <w:rPr>
          <w:rtl w:val="0"/>
        </w:rPr>
        <w:t xml:space="preserve">spannendsten</w:t>
      </w:r>
      <w:r w:rsidDel="00000000" w:rsidR="00000000" w:rsidRPr="00000000">
        <w:rPr>
          <w:rFonts w:ascii="Titillium Web" w:cs="Titillium Web" w:eastAsia="Titillium Web" w:hAnsi="Titillium Web"/>
          <w:sz w:val="22"/>
          <w:szCs w:val="22"/>
          <w:rtl w:val="0"/>
        </w:rPr>
        <w:t xml:space="preserve"> Elemente des Titeljahres ist das Exchange Programme – und sein Ausgangspunkt ist ungewöhnlich: Der Wettbewerb endet nicht mit der Siegerehrung. Schlanders, Makarska (Kroatien) und Silla (Spanien) waren die drei Finalstädte in der Kategorie Vanguard City. Alle drei sind im Austauschprogramm dabei. </w:t>
      </w:r>
      <w:r w:rsidDel="00000000" w:rsidR="00000000" w:rsidRPr="00000000">
        <w:rPr>
          <w:rtl w:val="0"/>
        </w:rPr>
        <w:t xml:space="preserve">Jeder, ob er nun gewonnen oder</w:t>
      </w:r>
      <w:r w:rsidDel="00000000" w:rsidR="00000000" w:rsidRPr="00000000">
        <w:rPr>
          <w:rFonts w:ascii="Titillium Web" w:cs="Titillium Web" w:eastAsia="Titillium Web" w:hAnsi="Titillium Web"/>
          <w:sz w:val="22"/>
          <w:szCs w:val="22"/>
          <w:rtl w:val="0"/>
        </w:rPr>
        <w:t xml:space="preserve"> verloren hat, wird Ressource für alle. </w:t>
      </w:r>
      <w:r w:rsidDel="00000000" w:rsidR="00000000" w:rsidRPr="00000000">
        <w:rPr>
          <w:rtl w:val="0"/>
        </w:rPr>
      </w:r>
    </w:p>
    <w:p w:rsidR="00000000" w:rsidDel="00000000" w:rsidP="00000000" w:rsidRDefault="00000000" w:rsidRPr="00000000" w14:paraId="0000003A">
      <w:pPr>
        <w:spacing w:after="120" w:before="80" w:line="276" w:lineRule="auto"/>
        <w:rPr/>
      </w:pPr>
      <w:r w:rsidDel="00000000" w:rsidR="00000000" w:rsidRPr="00000000">
        <w:rPr>
          <w:rFonts w:ascii="Titillium Web" w:cs="Titillium Web" w:eastAsia="Titillium Web" w:hAnsi="Titillium Web"/>
          <w:sz w:val="22"/>
          <w:szCs w:val="22"/>
          <w:rtl w:val="0"/>
        </w:rPr>
        <w:t xml:space="preserve">Der Kick-off des Exchange Programmes fand am 20. März 2026 statt, mit Vertreterinnen und Vertretern aller neun teilnehmenden Städte sowie der Generaldirektion Binnenmarkt der Europäischen Kommission (DG GROW) und des ECoSR-Sekretariats. Das Programm wird überwiegend aus EU-Mitteln finanziert: Reise, Unterkunft, Dolmetschen und Vor-Ort-Kosten aller Delegationen gehen zu Lasten des Programms. Für Schlanders bedeutet das konkret: Makarska kommt auf EU-Kosten nach Schlanders – und Schlanders reist auf EU-Kosten nach Silla.</w:t>
      </w:r>
      <w:r w:rsidDel="00000000" w:rsidR="00000000" w:rsidRPr="00000000">
        <w:rPr>
          <w:rtl w:val="0"/>
        </w:rPr>
      </w:r>
    </w:p>
    <w:p w:rsidR="00000000" w:rsidDel="00000000" w:rsidP="00000000" w:rsidRDefault="00000000" w:rsidRPr="00000000" w14:paraId="0000003B">
      <w:pPr>
        <w:pStyle w:val="Heading2"/>
        <w:spacing w:after="120" w:before="320" w:lineRule="auto"/>
        <w:rPr/>
      </w:pPr>
      <w:r w:rsidDel="00000000" w:rsidR="00000000" w:rsidRPr="00000000">
        <w:rPr>
          <w:rFonts w:ascii="Titillium Web" w:cs="Titillium Web" w:eastAsia="Titillium Web" w:hAnsi="Titillium Web"/>
          <w:b w:val="1"/>
          <w:bCs w:val="1"/>
          <w:color w:val="1a5276"/>
          <w:sz w:val="28"/>
          <w:szCs w:val="28"/>
          <w:rtl w:val="0"/>
        </w:rPr>
        <w:t xml:space="preserve">Schlanders besucht Silla</w:t>
      </w:r>
      <w:r w:rsidDel="00000000" w:rsidR="00000000" w:rsidRPr="00000000">
        <w:rPr>
          <w:rtl w:val="0"/>
        </w:rPr>
      </w:r>
    </w:p>
    <w:p w:rsidR="00000000" w:rsidDel="00000000" w:rsidP="00000000" w:rsidRDefault="00000000" w:rsidRPr="00000000" w14:paraId="0000003C">
      <w:pPr>
        <w:spacing w:after="120" w:before="80" w:line="276" w:lineRule="auto"/>
        <w:rPr/>
      </w:pPr>
      <w:r w:rsidDel="00000000" w:rsidR="00000000" w:rsidRPr="00000000">
        <w:rPr>
          <w:rFonts w:ascii="Titillium Web" w:cs="Titillium Web" w:eastAsia="Titillium Web" w:hAnsi="Titillium Web"/>
          <w:sz w:val="22"/>
          <w:szCs w:val="22"/>
          <w:rtl w:val="0"/>
        </w:rPr>
        <w:t xml:space="preserve">Silla ist eine Gemeinde in der Provinz Valencia mit vergleichbaren Strukturen: überschaubarer Maßstab, Ganzjahreseinzelhandel, starker Digitalisierungsdruck. Das Sekretariat hat den Fokus klar definiert: Digitalisierung im Einzelhandel und das Funktionieren eines Handelsumfelds im Schatten einer Großstadt. Für Schlanders, das auch in Konkurrenz zu Meran und Bozen steht, ist das eine sehr direkt übertragbare Fragestellung.</w:t>
      </w:r>
      <w:r w:rsidDel="00000000" w:rsidR="00000000" w:rsidRPr="00000000">
        <w:rPr>
          <w:rtl w:val="0"/>
        </w:rPr>
      </w:r>
    </w:p>
    <w:p w:rsidR="00000000" w:rsidDel="00000000" w:rsidP="00000000" w:rsidRDefault="00000000" w:rsidRPr="00000000" w14:paraId="0000003D">
      <w:pPr>
        <w:pStyle w:val="Heading2"/>
        <w:spacing w:after="120" w:before="320" w:lineRule="auto"/>
        <w:rPr/>
      </w:pPr>
      <w:r w:rsidDel="00000000" w:rsidR="00000000" w:rsidRPr="00000000">
        <w:rPr>
          <w:rFonts w:ascii="Titillium Web" w:cs="Titillium Web" w:eastAsia="Titillium Web" w:hAnsi="Titillium Web"/>
          <w:b w:val="1"/>
          <w:bCs w:val="1"/>
          <w:color w:val="1a5276"/>
          <w:sz w:val="28"/>
          <w:szCs w:val="28"/>
          <w:rtl w:val="0"/>
        </w:rPr>
        <w:t xml:space="preserve">Makarska kommt nach Schlanders – und lernt</w:t>
      </w:r>
      <w:r w:rsidDel="00000000" w:rsidR="00000000" w:rsidRPr="00000000">
        <w:rPr>
          <w:rtl w:val="0"/>
        </w:rPr>
      </w:r>
    </w:p>
    <w:p w:rsidR="00000000" w:rsidDel="00000000" w:rsidP="00000000" w:rsidRDefault="00000000" w:rsidRPr="00000000" w14:paraId="0000003E">
      <w:pPr>
        <w:spacing w:after="120" w:before="80" w:line="276" w:lineRule="auto"/>
        <w:rPr>
          <w:rFonts w:ascii="Titillium Web" w:cs="Titillium Web" w:eastAsia="Titillium Web" w:hAnsi="Titillium Web"/>
          <w:sz w:val="22"/>
          <w:szCs w:val="22"/>
        </w:rPr>
      </w:pPr>
      <w:r w:rsidDel="00000000" w:rsidR="00000000" w:rsidRPr="00000000">
        <w:rPr>
          <w:rFonts w:ascii="Titillium Web" w:cs="Titillium Web" w:eastAsia="Titillium Web" w:hAnsi="Titillium Web"/>
          <w:sz w:val="22"/>
          <w:szCs w:val="22"/>
          <w:rtl w:val="0"/>
        </w:rPr>
        <w:t xml:space="preserve">Die kroatische Küstenstadt Makarska ist touristisch geprägt – und sucht genau deshalb das Gespräch mit Schlanders: Sie will wissen, wie belastbare Einzelhandelsstrukturen auch ohne </w:t>
      </w:r>
      <w:r w:rsidDel="00000000" w:rsidR="00000000" w:rsidRPr="00000000">
        <w:rPr>
          <w:rtl w:val="0"/>
        </w:rPr>
        <w:t xml:space="preserve">s</w:t>
      </w:r>
      <w:r w:rsidDel="00000000" w:rsidR="00000000" w:rsidRPr="00000000">
        <w:rPr>
          <w:rFonts w:ascii="Titillium Web" w:cs="Titillium Web" w:eastAsia="Titillium Web" w:hAnsi="Titillium Web"/>
          <w:sz w:val="22"/>
          <w:szCs w:val="22"/>
          <w:rtl w:val="0"/>
        </w:rPr>
        <w:t xml:space="preserve">aisonalen </w:t>
      </w:r>
      <w:r w:rsidDel="00000000" w:rsidR="00000000" w:rsidRPr="00000000">
        <w:rPr>
          <w:rtl w:val="0"/>
        </w:rPr>
        <w:t xml:space="preserve">T</w:t>
      </w:r>
      <w:r w:rsidDel="00000000" w:rsidR="00000000" w:rsidRPr="00000000">
        <w:rPr>
          <w:rFonts w:ascii="Titillium Web" w:cs="Titillium Web" w:eastAsia="Titillium Web" w:hAnsi="Titillium Web"/>
          <w:sz w:val="22"/>
          <w:szCs w:val="22"/>
          <w:rtl w:val="0"/>
        </w:rPr>
        <w:t xml:space="preserve">ourismus funktionieren können. Das Sekretariat hat die Lernthemen für diesen Besuch explizit benannt: nicht-metropolitane Einzelhandelsmodelle, Nachhaltigkeit, Mobilität, Aufenthaltsqualität</w:t>
      </w:r>
      <w:r w:rsidDel="00000000" w:rsidR="00000000" w:rsidRPr="00000000">
        <w:rPr>
          <w:rtl w:val="0"/>
        </w:rPr>
        <w:t xml:space="preserve">,</w:t>
      </w:r>
      <w:r w:rsidDel="00000000" w:rsidR="00000000" w:rsidRPr="00000000">
        <w:rPr>
          <w:rFonts w:ascii="Titillium Web" w:cs="Titillium Web" w:eastAsia="Titillium Web" w:hAnsi="Titillium Web"/>
          <w:sz w:val="22"/>
          <w:szCs w:val="22"/>
          <w:rtl w:val="0"/>
        </w:rPr>
        <w:t xml:space="preserve"> und die BASIS als Katalysatormodell.</w:t>
      </w:r>
      <w:r w:rsidDel="00000000" w:rsidR="00000000" w:rsidRPr="00000000">
        <w:br w:type="page"/>
      </w:r>
      <w:r w:rsidDel="00000000" w:rsidR="00000000" w:rsidRPr="00000000">
        <w:rPr>
          <w:rtl w:val="0"/>
        </w:rPr>
      </w:r>
    </w:p>
    <w:p w:rsidR="00000000" w:rsidDel="00000000" w:rsidP="00000000" w:rsidRDefault="00000000" w:rsidRPr="00000000" w14:paraId="0000003F">
      <w:pPr>
        <w:spacing w:after="120" w:before="80" w:line="276" w:lineRule="auto"/>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a5276" w:space="0" w:sz="4" w:val="single"/>
              <w:left w:color="1a5276" w:space="0" w:sz="16" w:val="single"/>
              <w:bottom w:color="1a5276" w:space="0" w:sz="4" w:val="single"/>
              <w:right w:color="000000" w:space="0" w:sz="0" w:val="nil"/>
            </w:tcBorders>
            <w:shd w:fill="ebf5fb" w:val="clear"/>
            <w:tcMar>
              <w:top w:w="120.0" w:type="dxa"/>
              <w:left w:w="200.0" w:type="dxa"/>
              <w:bottom w:w="120.0" w:type="dxa"/>
              <w:right w:w="160.0" w:type="dxa"/>
            </w:tcMar>
          </w:tcPr>
          <w:p w:rsidR="00000000" w:rsidDel="00000000" w:rsidP="00000000" w:rsidRDefault="00000000" w:rsidRPr="00000000" w14:paraId="00000040">
            <w:pPr>
              <w:rPr/>
            </w:pPr>
            <w:r w:rsidDel="00000000" w:rsidR="00000000" w:rsidRPr="00000000">
              <w:rPr>
                <w:rFonts w:ascii="Titillium Web" w:cs="Titillium Web" w:eastAsia="Titillium Web" w:hAnsi="Titillium Web"/>
                <w:b w:val="1"/>
                <w:bCs w:val="1"/>
                <w:color w:val="1a5276"/>
                <w:sz w:val="20"/>
                <w:szCs w:val="20"/>
                <w:rtl w:val="0"/>
              </w:rPr>
              <w:t xml:space="preserve">Was das Sekretariat ausdrücklich betont</w:t>
            </w:r>
            <w:r w:rsidDel="00000000" w:rsidR="00000000" w:rsidRPr="00000000">
              <w:rPr>
                <w:rtl w:val="0"/>
              </w:rPr>
            </w:r>
          </w:p>
          <w:p w:rsidR="00000000" w:rsidDel="00000000" w:rsidP="00000000" w:rsidRDefault="00000000" w:rsidRPr="00000000" w14:paraId="00000041">
            <w:pPr>
              <w:spacing w:before="60" w:lineRule="auto"/>
              <w:rPr/>
            </w:pPr>
            <w:r w:rsidDel="00000000" w:rsidR="00000000" w:rsidRPr="00000000">
              <w:rPr>
                <w:rFonts w:ascii="Titillium Web" w:cs="Titillium Web" w:eastAsia="Titillium Web" w:hAnsi="Titillium Web"/>
                <w:i w:val="1"/>
                <w:iCs w:val="1"/>
                <w:sz w:val="20"/>
                <w:szCs w:val="20"/>
                <w:rtl w:val="0"/>
              </w:rPr>
              <w:t xml:space="preserve">Die Delegation soll zu mindestens 50 % aus lokalen Einzelhändlerinnen und Einzelhändlern bestehen – keine rein politischen Abordnungen. Das Programm ist als direkter Austausch unter Praktikern konzipiert.</w:t>
            </w:r>
            <w:r w:rsidDel="00000000" w:rsidR="00000000" w:rsidRPr="00000000">
              <w:rPr>
                <w:rtl w:val="0"/>
              </w:rPr>
            </w:r>
          </w:p>
        </w:tc>
      </w:tr>
    </w:tbl>
    <w:p w:rsidR="00000000" w:rsidDel="00000000" w:rsidP="00000000" w:rsidRDefault="00000000" w:rsidRPr="00000000" w14:paraId="00000042">
      <w:pPr>
        <w:spacing w:after="120" w:before="80" w:line="276" w:lineRule="auto"/>
        <w:rPr/>
      </w:pPr>
      <w:r w:rsidDel="00000000" w:rsidR="00000000" w:rsidRPr="00000000">
        <w:rPr>
          <w:rFonts w:ascii="Titillium Web" w:cs="Titillium Web" w:eastAsia="Titillium Web" w:hAnsi="Titillium Web"/>
          <w:sz w:val="22"/>
          <w:szCs w:val="22"/>
          <w:rtl w:val="0"/>
        </w:rPr>
        <w:t xml:space="preserve">Die OECD ist strukturell in das Exchange Programme eingebunden: Ihre Vertreterinnen und Vertreter können bei Besuchen in den drei Titelstädten teilnehmen, um Fallstudienanalysen vor Ort durchzuführen. Die Ergebnisse fließen in politische Toolkits ein, die europaweit an Mitgliedstaaten und lokale Behörden weitergegeben werden. Was in Schlanders passiert, wird also Teil von Material, das anderswo in Europa als Grundlage für Entscheidungen dient.</w:t>
      </w:r>
      <w:r w:rsidDel="00000000" w:rsidR="00000000" w:rsidRPr="00000000">
        <w:rPr>
          <w:rtl w:val="0"/>
        </w:rPr>
      </w:r>
    </w:p>
    <w:p w:rsidR="00000000" w:rsidDel="00000000" w:rsidP="00000000" w:rsidRDefault="00000000" w:rsidRPr="00000000" w14:paraId="00000043">
      <w:pPr>
        <w:pStyle w:val="Heading2"/>
        <w:spacing w:after="120" w:before="320" w:lineRule="auto"/>
        <w:rPr/>
      </w:pPr>
      <w:r w:rsidDel="00000000" w:rsidR="00000000" w:rsidRPr="00000000">
        <w:rPr>
          <w:rFonts w:ascii="Titillium Web" w:cs="Titillium Web" w:eastAsia="Titillium Web" w:hAnsi="Titillium Web"/>
          <w:b w:val="1"/>
          <w:bCs w:val="1"/>
          <w:color w:val="1a5276"/>
          <w:sz w:val="28"/>
          <w:szCs w:val="28"/>
          <w:rtl w:val="0"/>
        </w:rPr>
        <w:t xml:space="preserve">Die Reisen nach Caldas da Rainha und B</w:t>
      </w:r>
      <w:r w:rsidDel="00000000" w:rsidR="00000000" w:rsidRPr="00000000">
        <w:rPr>
          <w:rtl w:val="0"/>
        </w:rPr>
        <w:t xml:space="preserve">a</w:t>
      </w:r>
      <w:r w:rsidDel="00000000" w:rsidR="00000000" w:rsidRPr="00000000">
        <w:rPr>
          <w:rFonts w:ascii="Titillium Web" w:cs="Titillium Web" w:eastAsia="Titillium Web" w:hAnsi="Titillium Web"/>
          <w:b w:val="1"/>
          <w:bCs w:val="1"/>
          <w:color w:val="1a5276"/>
          <w:sz w:val="28"/>
          <w:szCs w:val="28"/>
          <w:rtl w:val="0"/>
        </w:rPr>
        <w:t xml:space="preserve">rcelona: ECoSR Launch Events</w:t>
      </w:r>
      <w:r w:rsidDel="00000000" w:rsidR="00000000" w:rsidRPr="00000000">
        <w:rPr>
          <w:rtl w:val="0"/>
        </w:rPr>
      </w:r>
    </w:p>
    <w:p w:rsidR="00000000" w:rsidDel="00000000" w:rsidP="00000000" w:rsidRDefault="00000000" w:rsidRPr="00000000" w14:paraId="00000044">
      <w:pPr>
        <w:spacing w:after="120" w:before="80" w:line="276" w:lineRule="auto"/>
        <w:rPr/>
      </w:pPr>
      <w:r w:rsidDel="00000000" w:rsidR="00000000" w:rsidRPr="00000000">
        <w:rPr>
          <w:rFonts w:ascii="Titillium Web" w:cs="Titillium Web" w:eastAsia="Titillium Web" w:hAnsi="Titillium Web"/>
          <w:sz w:val="22"/>
          <w:szCs w:val="22"/>
          <w:rtl w:val="0"/>
        </w:rPr>
        <w:t xml:space="preserve">Ende März 2026 reiste Thomas Schuster als Vertreter von Schlanders zum ECoSR Launch Event nach Caldas da Rainha in Portugal</w:t>
      </w:r>
      <w:r w:rsidDel="00000000" w:rsidR="00000000" w:rsidRPr="00000000">
        <w:rPr>
          <w:rtl w:val="0"/>
        </w:rPr>
        <w:t xml:space="preserve">,</w:t>
      </w:r>
      <w:r w:rsidDel="00000000" w:rsidR="00000000" w:rsidRPr="00000000">
        <w:rPr>
          <w:rFonts w:ascii="Titillium Web" w:cs="Titillium Web" w:eastAsia="Titillium Web" w:hAnsi="Titillium Web"/>
          <w:sz w:val="22"/>
          <w:szCs w:val="22"/>
          <w:rtl w:val="0"/>
        </w:rPr>
        <w:t xml:space="preserve"> der Stadt, die den Vibrant-City-Titel trägt. Neben dem offiziellen Programm fand ein bilaterales Gespräch statt, das erste konkrete Ansätze für den gegenseitigen Austausch identifizierte. Caldas da Rainha betreibt mit „Prontos“ einen Innovations-Hub für Nähversorgung – ein konzeptioneller Gegenpart zur BASIS Vinschgau Venosta, mit dem eine engere Zusammenarbeit angestrebt wird.</w:t>
      </w:r>
      <w:r w:rsidDel="00000000" w:rsidR="00000000" w:rsidRPr="00000000">
        <w:rPr>
          <w:rtl w:val="0"/>
        </w:rPr>
      </w:r>
    </w:p>
    <w:p w:rsidR="00000000" w:rsidDel="00000000" w:rsidP="00000000" w:rsidRDefault="00000000" w:rsidRPr="00000000" w14:paraId="00000045">
      <w:pPr>
        <w:spacing w:after="120" w:before="80" w:line="276" w:lineRule="auto"/>
        <w:rPr/>
      </w:pPr>
      <w:r w:rsidDel="00000000" w:rsidR="00000000" w:rsidRPr="00000000">
        <w:rPr>
          <w:rtl w:val="0"/>
        </w:rPr>
        <w:t xml:space="preserve">Ende April reiste eine Schlanderser Delegation nach Barcelona zum ECoSR Launch Event der Visionary City. Der Austausch mit der Stadtmarketing-Agentur Barcelona Activa hat den Blick geschärft dafür, wie unterschiedliche Stadtmodelle auf dieselben strukturellen Fragen im Einzelhandel antworten.</w:t>
      </w:r>
    </w:p>
    <w:p w:rsidR="00000000" w:rsidDel="00000000" w:rsidP="00000000" w:rsidRDefault="00000000" w:rsidRPr="00000000" w14:paraId="00000046">
      <w:pPr>
        <w:pStyle w:val="Heading2"/>
        <w:rPr/>
      </w:pPr>
      <w:r w:rsidDel="00000000" w:rsidR="00000000" w:rsidRPr="00000000">
        <w:rPr>
          <w:rtl w:val="0"/>
        </w:rPr>
        <w:t xml:space="preserve">Schlanders auf europäischen Bühnen: Folgetermine 2026</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76" w:lineRule="auto"/>
        <w:ind w:left="0" w:right="0" w:firstLine="0"/>
        <w:jc w:val="left"/>
        <w:rPr/>
      </w:pPr>
      <w:r w:rsidDel="00000000" w:rsidR="00000000" w:rsidRPr="00000000">
        <w:rPr>
          <w:rtl w:val="0"/>
        </w:rPr>
        <w:t xml:space="preserve">Das Titeljahr hat Schlanders in eine Reihe von europäischen Foren und Veranstaltungen geführt, die über den ECoSR-Rahmen hinausgehen: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76" w:lineRule="auto"/>
        <w:ind w:left="0" w:right="0" w:firstLine="0"/>
        <w:jc w:val="left"/>
        <w:rPr/>
      </w:pPr>
      <w:r w:rsidDel="00000000" w:rsidR="00000000" w:rsidRPr="00000000">
        <w:rPr>
          <w:rtl w:val="0"/>
        </w:rPr>
        <w:t xml:space="preserve">Fórum Comércio do Porto (19.–20. Mai 2026, Alfândega do Porto): Thomas Schuster vertritt Schlanders beim bedeutendsten Handelsforums Portugals – eine Einladung, die aus dem Besuch in Caldas da Rainha entstanden ist. Schlanders wird dort als Modell für europäische Einzelhandelsresilienz präsentiert.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76" w:lineRule="auto"/>
        <w:ind w:left="0" w:right="0" w:firstLine="0"/>
        <w:jc w:val="left"/>
        <w:rPr/>
      </w:pPr>
      <w:r w:rsidDel="00000000" w:rsidR="00000000" w:rsidRPr="00000000">
        <w:rPr>
          <w:rtl w:val="0"/>
        </w:rPr>
        <w:t xml:space="preserve">Confesercenti Bologna (16. Juni 2026): Schlanders nimmt an einer Veranstaltung des italienischen Einzelhandelsverbands Confesercenti teil. Das Interesse an Schlanders als Referenzmodell ist in der italienischen Handelslandschaft gestiegen, seit der Titelgewinn auch in nationalen Fachmedien wahrgenommen wurde.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76" w:lineRule="auto"/>
        <w:ind w:left="0" w:right="0" w:firstLine="0"/>
        <w:jc w:val="left"/>
        <w:rPr/>
      </w:pPr>
      <w:r w:rsidDel="00000000" w:rsidR="00000000" w:rsidRPr="00000000">
        <w:rPr>
          <w:rtl w:val="0"/>
        </w:rPr>
        <w:t xml:space="preserve">Europäisches Parlament (24.–25. Juni 2026): Confcommercio-Vizepräsident für europäische Angelegenheiten Carlo Massoletti hat Schlanders zu einer Veranstaltung im Europäischen Parlament eingeladen-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76" w:lineRule="auto"/>
        <w:ind w:left="0" w:right="0" w:firstLine="0"/>
        <w:jc w:val="left"/>
        <w:rPr/>
      </w:pPr>
      <w:r w:rsidDel="00000000" w:rsidR="00000000" w:rsidRPr="00000000">
        <w:rPr>
          <w:rtl w:val="0"/>
        </w:rPr>
        <w:t xml:space="preserve">Europäische Woche der Regionen und Städte, Brüssel (12.–14. Oktober 2026): Schlanders hat gemeinsam mit Caldas da Rainha einen Vorschlag für eine 90-minütige politische Debatte eingereicht, die Nahversorgung als europäische Infrastrukturfrage behandelt. Bestätigung steht aus.</w:t>
      </w:r>
    </w:p>
    <w:p w:rsidR="00000000" w:rsidDel="00000000" w:rsidP="00000000" w:rsidRDefault="00000000" w:rsidRPr="00000000" w14:paraId="0000004C">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Der Blick nach vorne: Was bleibt von 2026?</w:t>
      </w:r>
      <w:r w:rsidDel="00000000" w:rsidR="00000000" w:rsidRPr="00000000">
        <w:rPr>
          <w:rtl w:val="0"/>
        </w:rPr>
      </w:r>
    </w:p>
    <w:p w:rsidR="00000000" w:rsidDel="00000000" w:rsidP="00000000" w:rsidRDefault="00000000" w:rsidRPr="00000000" w14:paraId="0000004D">
      <w:pPr>
        <w:spacing w:after="120" w:before="80" w:line="276" w:lineRule="auto"/>
        <w:rPr/>
      </w:pPr>
      <w:r w:rsidDel="00000000" w:rsidR="00000000" w:rsidRPr="00000000">
        <w:rPr>
          <w:rFonts w:ascii="Titillium Web" w:cs="Titillium Web" w:eastAsia="Titillium Web" w:hAnsi="Titillium Web"/>
          <w:sz w:val="22"/>
          <w:szCs w:val="22"/>
          <w:rtl w:val="0"/>
        </w:rPr>
        <w:t xml:space="preserve">Das Titeljahr ist begrenzt – die Wirkung soll es nicht sein. Schlanders arbeitet an einem Dokument, das am Ende des Jahres stehen wird: dem „Vanguard City Blueprint". Darin wird festgehalten, was das Jahr gebracht hat, welche Strukturen entstanden sind und welche Empfehlungen sich für andere Gemeinden in ähnlicher Lage ableiten lassen.</w:t>
      </w:r>
      <w:r w:rsidDel="00000000" w:rsidR="00000000" w:rsidRPr="00000000">
        <w:rPr>
          <w:rtl w:val="0"/>
        </w:rPr>
      </w:r>
    </w:p>
    <w:p w:rsidR="00000000" w:rsidDel="00000000" w:rsidP="00000000" w:rsidRDefault="00000000" w:rsidRPr="00000000" w14:paraId="0000004E">
      <w:pPr>
        <w:spacing w:after="120" w:before="80" w:line="276" w:lineRule="auto"/>
        <w:rPr/>
      </w:pPr>
      <w:r w:rsidDel="00000000" w:rsidR="00000000" w:rsidRPr="00000000">
        <w:rPr>
          <w:rFonts w:ascii="Titillium Web" w:cs="Titillium Web" w:eastAsia="Titillium Web" w:hAnsi="Titillium Web"/>
          <w:sz w:val="22"/>
          <w:szCs w:val="22"/>
          <w:rtl w:val="0"/>
        </w:rPr>
        <w:t xml:space="preserve">Der Blueprint ist nicht in erster Linie für Schlanders gedacht</w:t>
      </w:r>
      <w:r w:rsidDel="00000000" w:rsidR="00000000" w:rsidRPr="00000000">
        <w:rPr>
          <w:rtl w:val="0"/>
        </w:rPr>
        <w:t xml:space="preserve">, sondern als </w:t>
      </w:r>
      <w:r w:rsidDel="00000000" w:rsidR="00000000" w:rsidRPr="00000000">
        <w:rPr>
          <w:rFonts w:ascii="Titillium Web" w:cs="Titillium Web" w:eastAsia="Titillium Web" w:hAnsi="Titillium Web"/>
          <w:sz w:val="22"/>
          <w:szCs w:val="22"/>
          <w:rtl w:val="0"/>
        </w:rPr>
        <w:t xml:space="preserve">Beitrag an Europa. Ein Beleg dafür, dass eine Gemeinde von 6.000 Einwohnerinnen und Einwohnern in der Lage ist, etwas zu entwickeln, das anderswo angewendet werden kann.</w:t>
      </w:r>
      <w:r w:rsidDel="00000000" w:rsidR="00000000" w:rsidRPr="00000000">
        <w:rPr>
          <w:rtl w:val="0"/>
        </w:rPr>
      </w:r>
    </w:p>
    <w:p w:rsidR="00000000" w:rsidDel="00000000" w:rsidP="00000000" w:rsidRDefault="00000000" w:rsidRPr="00000000" w14:paraId="0000004F">
      <w:pPr>
        <w:spacing w:after="120" w:before="80" w:line="276" w:lineRule="auto"/>
        <w:rPr/>
      </w:pPr>
      <w:r w:rsidDel="00000000" w:rsidR="00000000" w:rsidRPr="00000000">
        <w:rPr>
          <w:rFonts w:ascii="Titillium Web" w:cs="Titillium Web" w:eastAsia="Titillium Web" w:hAnsi="Titillium Web"/>
          <w:sz w:val="22"/>
          <w:szCs w:val="22"/>
          <w:rtl w:val="0"/>
        </w:rPr>
        <w:t xml:space="preserve">Intern liegt der Fokus darauf, zwei Dinge dauerhaft zu verankern: erstens die Überzeugung, dass </w:t>
      </w:r>
      <w:r w:rsidDel="00000000" w:rsidR="00000000" w:rsidRPr="00000000">
        <w:rPr>
          <w:rtl w:val="0"/>
        </w:rPr>
        <w:t xml:space="preserve">Kaufleute</w:t>
      </w:r>
      <w:r w:rsidDel="00000000" w:rsidR="00000000" w:rsidRPr="00000000">
        <w:rPr>
          <w:rFonts w:ascii="Titillium Web" w:cs="Titillium Web" w:eastAsia="Titillium Web" w:hAnsi="Titillium Web"/>
          <w:sz w:val="22"/>
          <w:szCs w:val="22"/>
          <w:rtl w:val="0"/>
        </w:rPr>
        <w:t xml:space="preserve"> aktive Mitgestalter des Ortslebens sind und nicht erst auf Impulse von außen warten müssen. Das Titeljahr soll zeigen, dass Eigeninitiative möglich ist und Wirkung hat. Und zweitens die strukturellen Grundlagen, die während des Titeljahres geschaffen werden: Netzwerke, Formate, Kontakte, Werkzeuge.</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a5276" w:space="0" w:sz="4" w:val="single"/>
              <w:left w:color="1a5276" w:space="0" w:sz="16" w:val="single"/>
              <w:bottom w:color="1a5276" w:space="0" w:sz="4" w:val="single"/>
              <w:right w:color="000000" w:space="0" w:sz="0" w:val="nil"/>
            </w:tcBorders>
            <w:shd w:fill="ebf5fb" w:val="clear"/>
            <w:tcMar>
              <w:top w:w="120.0" w:type="dxa"/>
              <w:left w:w="200.0" w:type="dxa"/>
              <w:bottom w:w="120.0" w:type="dxa"/>
              <w:right w:w="160.0" w:type="dxa"/>
            </w:tcMar>
          </w:tcPr>
          <w:p w:rsidR="00000000" w:rsidDel="00000000" w:rsidP="00000000" w:rsidRDefault="00000000" w:rsidRPr="00000000" w14:paraId="00000050">
            <w:pPr>
              <w:rPr/>
            </w:pPr>
            <w:r w:rsidDel="00000000" w:rsidR="00000000" w:rsidRPr="00000000">
              <w:rPr>
                <w:rFonts w:ascii="Titillium Web" w:cs="Titillium Web" w:eastAsia="Titillium Web" w:hAnsi="Titillium Web"/>
                <w:b w:val="1"/>
                <w:bCs w:val="1"/>
                <w:color w:val="1a5276"/>
                <w:sz w:val="20"/>
                <w:szCs w:val="20"/>
                <w:rtl w:val="0"/>
              </w:rPr>
              <w:t xml:space="preserve">Der Kern des Ganzen – in einem Satz</w:t>
            </w:r>
            <w:r w:rsidDel="00000000" w:rsidR="00000000" w:rsidRPr="00000000">
              <w:rPr>
                <w:rtl w:val="0"/>
              </w:rPr>
            </w:r>
          </w:p>
          <w:p w:rsidR="00000000" w:rsidDel="00000000" w:rsidP="00000000" w:rsidRDefault="00000000" w:rsidRPr="00000000" w14:paraId="00000051">
            <w:pPr>
              <w:spacing w:before="60" w:lineRule="auto"/>
              <w:rPr/>
            </w:pPr>
            <w:r w:rsidDel="00000000" w:rsidR="00000000" w:rsidRPr="00000000">
              <w:rPr>
                <w:rFonts w:ascii="Titillium Web" w:cs="Titillium Web" w:eastAsia="Titillium Web" w:hAnsi="Titillium Web"/>
                <w:i w:val="1"/>
                <w:iCs w:val="1"/>
                <w:sz w:val="20"/>
                <w:szCs w:val="20"/>
                <w:rtl w:val="0"/>
              </w:rPr>
              <w:t xml:space="preserve">Schlanders zeigt, dass es nicht die Größe einer Stadt ist, die darüber entscheidet, ob sie europäisch denken und handeln kann – sondern die Bereitschaft, es zu tun.</w:t>
            </w:r>
            <w:r w:rsidDel="00000000" w:rsidR="00000000" w:rsidRPr="00000000">
              <w:rPr>
                <w:rtl w:val="0"/>
              </w:rPr>
            </w:r>
          </w:p>
        </w:tc>
      </w:tr>
    </w:tbl>
    <w:p w:rsidR="00000000" w:rsidDel="00000000" w:rsidP="00000000" w:rsidRDefault="00000000" w:rsidRPr="00000000" w14:paraId="00000052">
      <w:pPr>
        <w:pBdr>
          <w:bottom w:color="d5d8dc" w:space="4" w:sz="4" w:val="single"/>
        </w:pBdr>
        <w:spacing w:after="160" w:before="160" w:lineRule="auto"/>
        <w:rPr/>
      </w:pPr>
      <w:r w:rsidDel="00000000" w:rsidR="00000000" w:rsidRPr="00000000">
        <w:rPr>
          <w:rtl w:val="0"/>
        </w:rPr>
      </w:r>
    </w:p>
    <w:p w:rsidR="00000000" w:rsidDel="00000000" w:rsidP="00000000" w:rsidRDefault="00000000" w:rsidRPr="00000000" w14:paraId="00000053">
      <w:pPr>
        <w:pStyle w:val="Heading1"/>
        <w:pBdr>
          <w:bottom w:color="1a5276" w:space="6" w:sz="8" w:val="single"/>
        </w:pBdr>
        <w:spacing w:after="160" w:before="400" w:lineRule="auto"/>
        <w:rPr/>
      </w:pPr>
      <w:r w:rsidDel="00000000" w:rsidR="00000000" w:rsidRPr="00000000">
        <w:rPr>
          <w:rFonts w:ascii="Titillium Web" w:cs="Titillium Web" w:eastAsia="Titillium Web" w:hAnsi="Titillium Web"/>
          <w:b w:val="1"/>
          <w:bCs w:val="1"/>
          <w:color w:val="1a5276"/>
          <w:sz w:val="36"/>
          <w:szCs w:val="36"/>
          <w:rtl w:val="0"/>
        </w:rPr>
        <w:t xml:space="preserve">Kontakt und weiterführende Informationen</w:t>
      </w:r>
      <w:r w:rsidDel="00000000" w:rsidR="00000000" w:rsidRPr="00000000">
        <w:rPr>
          <w:rtl w:val="0"/>
        </w:rPr>
      </w:r>
    </w:p>
    <w:p w:rsidR="00000000" w:rsidDel="00000000" w:rsidP="00000000" w:rsidRDefault="00000000" w:rsidRPr="00000000" w14:paraId="00000054">
      <w:pPr>
        <w:spacing w:after="120" w:before="80" w:line="276" w:lineRule="auto"/>
        <w:rPr/>
      </w:pPr>
      <w:r w:rsidDel="00000000" w:rsidR="00000000" w:rsidRPr="00000000">
        <w:rPr>
          <w:rFonts w:ascii="Titillium Web" w:cs="Titillium Web" w:eastAsia="Titillium Web" w:hAnsi="Titillium Web"/>
          <w:b w:val="1"/>
          <w:bCs w:val="1"/>
          <w:sz w:val="22"/>
          <w:szCs w:val="22"/>
          <w:rtl w:val="0"/>
        </w:rPr>
        <w:t xml:space="preserve">Projektkoordination: </w:t>
      </w:r>
      <w:r w:rsidDel="00000000" w:rsidR="00000000" w:rsidRPr="00000000">
        <w:rPr>
          <w:rFonts w:ascii="Titillium Web" w:cs="Titillium Web" w:eastAsia="Titillium Web" w:hAnsi="Titillium Web"/>
          <w:sz w:val="22"/>
          <w:szCs w:val="22"/>
          <w:rtl w:val="0"/>
        </w:rPr>
        <w:t xml:space="preserve">Thomas Schuster</w:t>
      </w:r>
      <w:r w:rsidDel="00000000" w:rsidR="00000000" w:rsidRPr="00000000">
        <w:rPr>
          <w:rtl w:val="0"/>
        </w:rPr>
      </w:r>
    </w:p>
    <w:p w:rsidR="00000000" w:rsidDel="00000000" w:rsidP="00000000" w:rsidRDefault="00000000" w:rsidRPr="00000000" w14:paraId="00000055">
      <w:pPr>
        <w:spacing w:after="120" w:before="80" w:line="276" w:lineRule="auto"/>
        <w:rPr/>
      </w:pPr>
      <w:r w:rsidDel="00000000" w:rsidR="00000000" w:rsidRPr="00000000">
        <w:rPr>
          <w:rFonts w:ascii="Titillium Web" w:cs="Titillium Web" w:eastAsia="Titillium Web" w:hAnsi="Titillium Web"/>
          <w:b w:val="1"/>
          <w:bCs w:val="1"/>
          <w:sz w:val="22"/>
          <w:szCs w:val="22"/>
          <w:rtl w:val="0"/>
        </w:rPr>
        <w:t xml:space="preserve">E-Mail: </w:t>
      </w:r>
      <w:r w:rsidDel="00000000" w:rsidR="00000000" w:rsidRPr="00000000">
        <w:rPr>
          <w:rFonts w:ascii="Titillium Web" w:cs="Titillium Web" w:eastAsia="Titillium Web" w:hAnsi="Titillium Web"/>
          <w:sz w:val="22"/>
          <w:szCs w:val="22"/>
          <w:rtl w:val="0"/>
        </w:rPr>
        <w:t xml:space="preserve">thomas@schlanders.live</w:t>
      </w:r>
      <w:r w:rsidDel="00000000" w:rsidR="00000000" w:rsidRPr="00000000">
        <w:rPr>
          <w:rtl w:val="0"/>
        </w:rPr>
      </w:r>
    </w:p>
    <w:p w:rsidR="00000000" w:rsidDel="00000000" w:rsidP="00000000" w:rsidRDefault="00000000" w:rsidRPr="00000000" w14:paraId="00000056">
      <w:pPr>
        <w:spacing w:after="120" w:before="80" w:line="276" w:lineRule="auto"/>
        <w:rPr/>
      </w:pPr>
      <w:r w:rsidDel="00000000" w:rsidR="00000000" w:rsidRPr="00000000">
        <w:rPr>
          <w:rFonts w:ascii="Titillium Web" w:cs="Titillium Web" w:eastAsia="Titillium Web" w:hAnsi="Titillium Web"/>
          <w:b w:val="1"/>
          <w:bCs w:val="1"/>
          <w:sz w:val="22"/>
          <w:szCs w:val="22"/>
          <w:rtl w:val="0"/>
        </w:rPr>
        <w:t xml:space="preserve">Telefon: </w:t>
      </w:r>
      <w:r w:rsidDel="00000000" w:rsidR="00000000" w:rsidRPr="00000000">
        <w:rPr>
          <w:rFonts w:ascii="Titillium Web" w:cs="Titillium Web" w:eastAsia="Titillium Web" w:hAnsi="Titillium Web"/>
          <w:sz w:val="22"/>
          <w:szCs w:val="22"/>
          <w:rtl w:val="0"/>
        </w:rPr>
        <w:t xml:space="preserve">+39 328 9511 824</w:t>
      </w:r>
      <w:r w:rsidDel="00000000" w:rsidR="00000000" w:rsidRPr="00000000">
        <w:rPr>
          <w:rtl w:val="0"/>
        </w:rPr>
      </w:r>
    </w:p>
    <w:p w:rsidR="00000000" w:rsidDel="00000000" w:rsidP="00000000" w:rsidRDefault="00000000" w:rsidRPr="00000000" w14:paraId="00000057">
      <w:pPr>
        <w:spacing w:after="120" w:before="80" w:line="276" w:lineRule="auto"/>
        <w:rPr/>
      </w:pPr>
      <w:r w:rsidDel="00000000" w:rsidR="00000000" w:rsidRPr="00000000">
        <w:rPr>
          <w:rFonts w:ascii="Titillium Web" w:cs="Titillium Web" w:eastAsia="Titillium Web" w:hAnsi="Titillium Web"/>
          <w:b w:val="1"/>
          <w:bCs w:val="1"/>
          <w:sz w:val="22"/>
          <w:szCs w:val="22"/>
          <w:rtl w:val="0"/>
        </w:rPr>
        <w:t xml:space="preserve">Web: </w:t>
      </w:r>
      <w:r w:rsidDel="00000000" w:rsidR="00000000" w:rsidRPr="00000000">
        <w:rPr>
          <w:rFonts w:ascii="Titillium Web" w:cs="Titillium Web" w:eastAsia="Titillium Web" w:hAnsi="Titillium Web"/>
          <w:sz w:val="22"/>
          <w:szCs w:val="22"/>
          <w:rtl w:val="0"/>
        </w:rPr>
        <w:t xml:space="preserve">www.schlanders.live</w:t>
      </w:r>
      <w:r w:rsidDel="00000000" w:rsidR="00000000" w:rsidRPr="00000000">
        <w:rPr>
          <w:rtl w:val="0"/>
        </w:rPr>
      </w:r>
    </w:p>
    <w:p w:rsidR="00000000" w:rsidDel="00000000" w:rsidP="00000000" w:rsidRDefault="00000000" w:rsidRPr="00000000" w14:paraId="00000058">
      <w:pPr>
        <w:spacing w:after="120" w:before="80" w:line="276" w:lineRule="auto"/>
        <w:rPr/>
      </w:pPr>
      <w:r w:rsidDel="00000000" w:rsidR="00000000" w:rsidRPr="00000000">
        <w:rPr>
          <w:rFonts w:ascii="Titillium Web" w:cs="Titillium Web" w:eastAsia="Titillium Web" w:hAnsi="Titillium Web"/>
          <w:b w:val="1"/>
          <w:bCs w:val="1"/>
          <w:sz w:val="22"/>
          <w:szCs w:val="22"/>
          <w:rtl w:val="0"/>
        </w:rPr>
        <w:t xml:space="preserve">Social Media: </w:t>
      </w:r>
      <w:r w:rsidDel="00000000" w:rsidR="00000000" w:rsidRPr="00000000">
        <w:rPr>
          <w:rFonts w:ascii="Titillium Web" w:cs="Titillium Web" w:eastAsia="Titillium Web" w:hAnsi="Titillium Web"/>
          <w:sz w:val="22"/>
          <w:szCs w:val="22"/>
          <w:rtl w:val="0"/>
        </w:rPr>
        <w:t xml:space="preserve">facebook.com/schlanders.marketing </w:t>
      </w:r>
      <w:r w:rsidDel="00000000" w:rsidR="00000000" w:rsidRPr="00000000">
        <w:rPr>
          <w:rtl w:val="0"/>
        </w:rPr>
        <w:t xml:space="preserve">| linkedin.com/company/schlanders–silandro-vanguard-city-2026/</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80" w:lineRule="auto"/>
      <w:rPr>
        <w:smallCaps w:val="1"/>
        <w:color w:val="5d6d7e"/>
        <w:sz w:val="18"/>
        <w:szCs w:val="18"/>
      </w:rPr>
    </w:pPr>
    <w:r w:rsidDel="00000000" w:rsidR="00000000" w:rsidRPr="00000000">
      <w:rPr>
        <w:smallCaps w:val="1"/>
        <w:color w:val="5d6d7e"/>
        <w:sz w:val="18"/>
        <w:szCs w:val="18"/>
      </w:rPr>
      <w:drawing>
        <wp:inline distB="114300" distT="114300" distL="114300" distR="114300">
          <wp:extent cx="5731200" cy="1168400"/>
          <wp:effectExtent b="0" l="0" r="0" t="0"/>
          <wp:docPr id="1" name="image1.png"/>
          <a:graphic>
            <a:graphicData uri="http://schemas.openxmlformats.org/drawingml/2006/picture">
              <pic:pic>
                <pic:nvPicPr>
                  <pic:cNvPr id="0" name="image1.png"/>
                  <pic:cNvPicPr preferRelativeResize="0"/>
                </pic:nvPicPr>
                <pic:blipFill>
                  <a:blip r:embed="rId1"/>
                  <a:srcRect b="32153" l="0" r="0" t="31563"/>
                  <a:stretch>
                    <a:fillRect/>
                  </a:stretch>
                </pic:blipFill>
                <pic:spPr>
                  <a:xfrm>
                    <a:off x="0" y="0"/>
                    <a:ext cx="57312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after="80" w:lineRule="auto"/>
      <w:rPr>
        <w:smallCaps w:val="1"/>
        <w:color w:val="5d6d7e"/>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tillium Web" w:cs="Titillium Web" w:eastAsia="Titillium Web" w:hAnsi="Titillium Web"/>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0" w:line="240" w:lineRule="auto"/>
      <w:ind w:left="0" w:right="0" w:firstLine="0"/>
      <w:jc w:val="left"/>
    </w:pPr>
    <w:rPr>
      <w:rFonts w:ascii="Titillium Web" w:cs="Titillium Web" w:eastAsia="Titillium Web" w:hAnsi="Titillium Web"/>
      <w:b w:val="1"/>
      <w:bCs w:val="1"/>
      <w:i w:val="0"/>
      <w:iCs w:val="0"/>
      <w:smallCaps w:val="0"/>
      <w:strike w:val="0"/>
      <w:color w:val="1a5276"/>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pPr>
    <w:rPr>
      <w:rFonts w:ascii="Titillium Web" w:cs="Titillium Web" w:eastAsia="Titillium Web" w:hAnsi="Titillium Web"/>
      <w:b w:val="1"/>
      <w:bCs w:val="1"/>
      <w:i w:val="0"/>
      <w:iCs w:val="0"/>
      <w:smallCaps w:val="0"/>
      <w:strike w:val="0"/>
      <w:color w:val="1a5276"/>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tillium Web" w:cs="Titillium Web" w:eastAsia="Titillium Web" w:hAnsi="Titillium Web"/>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tillium Web" w:cs="Titillium Web" w:eastAsia="Titillium Web" w:hAnsi="Titillium Web"/>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tillium Web" w:cs="Titillium Web" w:eastAsia="Titillium Web" w:hAnsi="Titillium Web"/>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tillium Web" w:cs="Titillium Web" w:eastAsia="Titillium Web" w:hAnsi="Titillium Web"/>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tillium Web" w:cs="Titillium Web" w:eastAsia="Titillium Web" w:hAnsi="Titillium Web"/>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chlanders.live"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