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42C" w:rsidRDefault="00D73F88">
      <w:pPr>
        <w:pStyle w:val="Default"/>
      </w:pPr>
      <w:r>
        <w:rPr>
          <w:noProof/>
          <w:lang w:val="en-GB" w:eastAsia="en-GB"/>
        </w:rPr>
        <w:drawing>
          <wp:inline distT="0" distB="0" distL="0" distR="0" wp14:anchorId="20406005" wp14:editId="60B069B2">
            <wp:extent cx="971550" cy="7524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752475"/>
                    </a:xfrm>
                    <a:prstGeom prst="rect">
                      <a:avLst/>
                    </a:prstGeom>
                    <a:noFill/>
                  </pic:spPr>
                </pic:pic>
              </a:graphicData>
            </a:graphic>
          </wp:inline>
        </w:drawing>
      </w:r>
    </w:p>
    <w:p w:rsidR="0085042C" w:rsidRPr="00AA7101" w:rsidRDefault="002A0565">
      <w:pPr>
        <w:pStyle w:val="Default"/>
        <w:jc w:val="center"/>
        <w:rPr>
          <w:sz w:val="28"/>
          <w:szCs w:val="28"/>
        </w:rPr>
      </w:pPr>
      <w:r>
        <w:rPr>
          <w:b/>
          <w:bCs/>
          <w:sz w:val="28"/>
          <w:szCs w:val="28"/>
        </w:rPr>
        <w:t>POLÍTICA GLOBAL ANTICORRUPÇÃO DA PPG</w:t>
      </w:r>
    </w:p>
    <w:p w:rsidR="0085042C" w:rsidRDefault="0085042C">
      <w:pPr>
        <w:pStyle w:val="Default"/>
        <w:rPr>
          <w:sz w:val="23"/>
          <w:szCs w:val="23"/>
        </w:rPr>
      </w:pPr>
    </w:p>
    <w:p w:rsidR="0085042C" w:rsidRDefault="002A0565" w:rsidP="00AA7101">
      <w:pPr>
        <w:pStyle w:val="Default"/>
        <w:jc w:val="center"/>
        <w:rPr>
          <w:b/>
          <w:sz w:val="22"/>
          <w:szCs w:val="22"/>
          <w:u w:val="single"/>
        </w:rPr>
      </w:pPr>
      <w:r>
        <w:rPr>
          <w:b/>
          <w:sz w:val="22"/>
          <w:szCs w:val="22"/>
          <w:u w:val="single"/>
        </w:rPr>
        <w:t>Introdução</w:t>
      </w:r>
    </w:p>
    <w:p w:rsidR="001B70A7" w:rsidRPr="003F5BF6" w:rsidRDefault="001B70A7" w:rsidP="00AA7101">
      <w:pPr>
        <w:pStyle w:val="Default"/>
        <w:jc w:val="center"/>
        <w:rPr>
          <w:b/>
          <w:sz w:val="22"/>
          <w:szCs w:val="22"/>
          <w:u w:val="single"/>
        </w:rPr>
      </w:pPr>
    </w:p>
    <w:p w:rsidR="0085042C" w:rsidRDefault="002A0565">
      <w:pPr>
        <w:pStyle w:val="Default"/>
        <w:rPr>
          <w:rFonts w:asciiTheme="minorHAnsi" w:hAnsiTheme="minorHAnsi"/>
          <w:sz w:val="22"/>
          <w:szCs w:val="22"/>
        </w:rPr>
      </w:pPr>
      <w:r>
        <w:rPr>
          <w:rFonts w:asciiTheme="minorHAnsi" w:hAnsiTheme="minorHAnsi"/>
          <w:sz w:val="22"/>
          <w:szCs w:val="22"/>
        </w:rPr>
        <w:t>Como uma empresa global que opera em mais de 70 países, a PPG deve cumprir uma série de leis e regulamentos. Os que regem suborno e corrupção são os críticos entre essas leis e regulamentos.</w:t>
      </w:r>
    </w:p>
    <w:p w:rsidR="0085042C" w:rsidRDefault="002A0565">
      <w:pPr>
        <w:pStyle w:val="Default"/>
        <w:rPr>
          <w:rFonts w:asciiTheme="minorHAnsi" w:hAnsiTheme="minorHAnsi"/>
          <w:sz w:val="22"/>
          <w:szCs w:val="22"/>
        </w:rPr>
      </w:pPr>
      <w:r>
        <w:rPr>
          <w:rFonts w:asciiTheme="minorHAnsi" w:hAnsiTheme="minorHAnsi"/>
          <w:sz w:val="22"/>
          <w:szCs w:val="22"/>
        </w:rPr>
        <w:tab/>
        <w:t xml:space="preserve"> </w:t>
      </w:r>
    </w:p>
    <w:p w:rsidR="0085042C" w:rsidRDefault="002A0565">
      <w:pPr>
        <w:rPr>
          <w:rFonts w:asciiTheme="minorHAnsi" w:hAnsiTheme="minorHAnsi"/>
          <w:sz w:val="22"/>
          <w:szCs w:val="22"/>
        </w:rPr>
      </w:pPr>
      <w:r>
        <w:rPr>
          <w:rFonts w:asciiTheme="minorHAnsi" w:hAnsiTheme="minorHAnsi"/>
          <w:sz w:val="22"/>
          <w:szCs w:val="22"/>
        </w:rPr>
        <w:t xml:space="preserve">Em reconhecimento a esses requisitos e para ressaltar nosso compromisso com nosso </w:t>
      </w:r>
      <w:hyperlink r:id="rId12" w:history="1">
        <w:r>
          <w:rPr>
            <w:rStyle w:val="Hiperligao"/>
            <w:rFonts w:asciiTheme="minorHAnsi" w:hAnsiTheme="minorHAnsi"/>
            <w:sz w:val="22"/>
            <w:szCs w:val="22"/>
          </w:rPr>
          <w:t>Código de Ética Global</w:t>
        </w:r>
      </w:hyperlink>
      <w:r>
        <w:rPr>
          <w:rFonts w:asciiTheme="minorHAnsi" w:hAnsiTheme="minorHAnsi"/>
          <w:sz w:val="22"/>
          <w:szCs w:val="22"/>
        </w:rPr>
        <w:t xml:space="preserve"> (“Código”) de agir com integridade e contra a corrupção, a PPG mantém uma Política Global Anticorrupção (“Política”). A Política se aplica à PPG Industries, Inc. (“PPG”) e suas subsidiárias integrais ou controladas (“subsidiárias”) em todo o mundo. Esta Política se baseia em nosso Código para reforçar o número crescente de padrões e princípios que regem nossa conduta para estar em conformidade com as rigorosas leis antissuborno e anticorrupção no mundo todo. </w:t>
      </w:r>
    </w:p>
    <w:p w:rsidR="0085042C" w:rsidRDefault="0085042C">
      <w:pPr>
        <w:pStyle w:val="Default"/>
        <w:rPr>
          <w:rFonts w:asciiTheme="minorHAnsi" w:hAnsiTheme="minorHAnsi"/>
          <w:sz w:val="22"/>
          <w:szCs w:val="22"/>
        </w:rPr>
      </w:pPr>
    </w:p>
    <w:p w:rsidR="004E1F0A" w:rsidRPr="004E1F0A" w:rsidRDefault="00D07999" w:rsidP="004E1F0A">
      <w:pPr>
        <w:pStyle w:val="Default"/>
        <w:spacing w:after="240"/>
        <w:rPr>
          <w:rFonts w:asciiTheme="minorHAnsi" w:hAnsiTheme="minorHAnsi"/>
          <w:sz w:val="22"/>
          <w:szCs w:val="22"/>
        </w:rPr>
      </w:pPr>
      <w:r>
        <w:rPr>
          <w:rFonts w:asciiTheme="minorHAnsi" w:hAnsiTheme="minorHAnsi"/>
          <w:sz w:val="22"/>
          <w:szCs w:val="22"/>
        </w:rPr>
        <w:t xml:space="preserve">Cada país onde a PPG </w:t>
      </w:r>
      <w:proofErr w:type="gramStart"/>
      <w:r>
        <w:rPr>
          <w:rFonts w:asciiTheme="minorHAnsi" w:hAnsiTheme="minorHAnsi"/>
          <w:sz w:val="22"/>
          <w:szCs w:val="22"/>
        </w:rPr>
        <w:t>opera está</w:t>
      </w:r>
      <w:proofErr w:type="gramEnd"/>
      <w:r>
        <w:rPr>
          <w:rFonts w:asciiTheme="minorHAnsi" w:hAnsiTheme="minorHAnsi"/>
          <w:sz w:val="22"/>
          <w:szCs w:val="22"/>
        </w:rPr>
        <w:t xml:space="preserve"> sujeito a uma ou mais dessas leis. Alguns exemplos incluem a Lei americana anticorrupção no exterior (</w:t>
      </w:r>
      <w:proofErr w:type="spellStart"/>
      <w:r>
        <w:rPr>
          <w:rFonts w:asciiTheme="minorHAnsi" w:hAnsiTheme="minorHAnsi"/>
          <w:sz w:val="22"/>
          <w:szCs w:val="22"/>
        </w:rPr>
        <w:t>FCPA</w:t>
      </w:r>
      <w:proofErr w:type="spellEnd"/>
      <w:r>
        <w:rPr>
          <w:rFonts w:asciiTheme="minorHAnsi" w:hAnsiTheme="minorHAnsi"/>
          <w:sz w:val="22"/>
          <w:szCs w:val="22"/>
        </w:rPr>
        <w:t xml:space="preserve">), a </w:t>
      </w:r>
      <w:proofErr w:type="spellStart"/>
      <w:r>
        <w:rPr>
          <w:rFonts w:asciiTheme="minorHAnsi" w:hAnsiTheme="minorHAnsi"/>
          <w:sz w:val="22"/>
          <w:szCs w:val="22"/>
        </w:rPr>
        <w:t>Loi</w:t>
      </w:r>
      <w:proofErr w:type="spellEnd"/>
      <w:r>
        <w:rPr>
          <w:rFonts w:asciiTheme="minorHAnsi" w:hAnsiTheme="minorHAnsi"/>
          <w:sz w:val="22"/>
          <w:szCs w:val="22"/>
        </w:rPr>
        <w:t xml:space="preserve"> </w:t>
      </w:r>
      <w:proofErr w:type="spellStart"/>
      <w:r>
        <w:rPr>
          <w:rFonts w:asciiTheme="minorHAnsi" w:hAnsiTheme="minorHAnsi"/>
          <w:sz w:val="22"/>
          <w:szCs w:val="22"/>
        </w:rPr>
        <w:t>Sapin</w:t>
      </w:r>
      <w:proofErr w:type="spellEnd"/>
      <w:r>
        <w:rPr>
          <w:rFonts w:asciiTheme="minorHAnsi" w:hAnsiTheme="minorHAnsi"/>
          <w:sz w:val="22"/>
          <w:szCs w:val="22"/>
        </w:rPr>
        <w:t xml:space="preserve"> </w:t>
      </w:r>
      <w:proofErr w:type="gramStart"/>
      <w:r>
        <w:rPr>
          <w:rFonts w:asciiTheme="minorHAnsi" w:hAnsiTheme="minorHAnsi"/>
          <w:sz w:val="22"/>
          <w:szCs w:val="22"/>
        </w:rPr>
        <w:t>2</w:t>
      </w:r>
      <w:proofErr w:type="gramEnd"/>
      <w:r>
        <w:rPr>
          <w:rFonts w:asciiTheme="minorHAnsi" w:hAnsiTheme="minorHAnsi"/>
          <w:sz w:val="22"/>
          <w:szCs w:val="22"/>
        </w:rPr>
        <w:t xml:space="preserve"> na França, o Sistema Nacional Anticorrupção do México, a Lei de Suborno do Reino Unido, o Código Penal da China e a Lei das Empresas Limpas do Brasil. Embora existam algumas diferenças entre essas leis, todas foram adotadas para eliminar a corrupção e restaurar a confiança do público na integridade do mercado global, bem como promover um ambiente comercial justo e competitivo no qual os negócios são realizados.  </w:t>
      </w:r>
    </w:p>
    <w:p w:rsidR="0085042C" w:rsidRPr="00D07999" w:rsidRDefault="00F30C7E" w:rsidP="00411E2B">
      <w:pPr>
        <w:spacing w:after="240"/>
        <w:jc w:val="center"/>
        <w:rPr>
          <w:rFonts w:asciiTheme="minorHAnsi" w:hAnsiTheme="minorHAnsi"/>
          <w:b/>
          <w:sz w:val="22"/>
          <w:szCs w:val="22"/>
          <w:u w:val="single"/>
        </w:rPr>
      </w:pPr>
      <w:r>
        <w:rPr>
          <w:rFonts w:asciiTheme="minorHAnsi" w:hAnsiTheme="minorHAnsi"/>
          <w:b/>
          <w:sz w:val="22"/>
          <w:szCs w:val="22"/>
          <w:u w:val="single"/>
        </w:rPr>
        <w:t xml:space="preserve">Política </w:t>
      </w:r>
    </w:p>
    <w:p w:rsidR="0085042C" w:rsidRDefault="00915FB0">
      <w:pPr>
        <w:pStyle w:val="Default"/>
        <w:rPr>
          <w:rFonts w:asciiTheme="minorHAnsi" w:hAnsiTheme="minorHAnsi"/>
          <w:sz w:val="22"/>
          <w:szCs w:val="22"/>
        </w:rPr>
      </w:pPr>
      <w:r>
        <w:rPr>
          <w:rFonts w:asciiTheme="minorHAnsi" w:hAnsiTheme="minorHAnsi"/>
          <w:sz w:val="22"/>
          <w:szCs w:val="22"/>
        </w:rPr>
        <w:t>Nossa Política é:</w:t>
      </w:r>
    </w:p>
    <w:p w:rsidR="00915FB0" w:rsidRPr="00AA7101" w:rsidRDefault="002C4D14" w:rsidP="00AA7101">
      <w:pPr>
        <w:pStyle w:val="PargrafodaLista"/>
        <w:numPr>
          <w:ilvl w:val="0"/>
          <w:numId w:val="15"/>
        </w:numPr>
        <w:ind w:left="720"/>
        <w:rPr>
          <w:rFonts w:asciiTheme="minorHAnsi" w:hAnsiTheme="minorHAnsi"/>
          <w:sz w:val="22"/>
          <w:szCs w:val="22"/>
        </w:rPr>
      </w:pPr>
      <w:r>
        <w:rPr>
          <w:rFonts w:asciiTheme="minorHAnsi" w:hAnsiTheme="minorHAnsi"/>
          <w:bCs/>
          <w:sz w:val="22"/>
          <w:szCs w:val="22"/>
        </w:rPr>
        <w:t>Proibimos suborno e corrupção em todas as nossas negociações em qualquer país. </w:t>
      </w:r>
      <w:proofErr w:type="gramStart"/>
      <w:r>
        <w:rPr>
          <w:rFonts w:asciiTheme="minorHAnsi" w:hAnsiTheme="minorHAnsi"/>
          <w:bCs/>
          <w:sz w:val="22"/>
          <w:szCs w:val="22"/>
        </w:rPr>
        <w:t xml:space="preserve">  </w:t>
      </w:r>
      <w:proofErr w:type="gramEnd"/>
    </w:p>
    <w:p w:rsidR="00915FB0" w:rsidRPr="00AA7101" w:rsidRDefault="00915FB0" w:rsidP="00AA7101">
      <w:pPr>
        <w:pStyle w:val="PargrafodaLista"/>
        <w:numPr>
          <w:ilvl w:val="0"/>
          <w:numId w:val="15"/>
        </w:numPr>
        <w:ind w:left="720"/>
        <w:rPr>
          <w:rFonts w:asciiTheme="minorHAnsi" w:hAnsiTheme="minorHAnsi"/>
          <w:sz w:val="22"/>
          <w:szCs w:val="22"/>
        </w:rPr>
      </w:pPr>
      <w:r>
        <w:rPr>
          <w:rFonts w:asciiTheme="minorHAnsi" w:hAnsiTheme="minorHAnsi"/>
          <w:bCs/>
          <w:sz w:val="22"/>
          <w:szCs w:val="22"/>
        </w:rPr>
        <w:t xml:space="preserve">Nenhum funcionário da PPG ou qualquer pessoa que atue em nome da PPG pode </w:t>
      </w:r>
      <w:proofErr w:type="gramStart"/>
      <w:r>
        <w:rPr>
          <w:rFonts w:asciiTheme="minorHAnsi" w:hAnsiTheme="minorHAnsi"/>
          <w:bCs/>
          <w:sz w:val="22"/>
          <w:szCs w:val="22"/>
        </w:rPr>
        <w:t>prometer,</w:t>
      </w:r>
      <w:proofErr w:type="gramEnd"/>
      <w:r>
        <w:rPr>
          <w:rFonts w:asciiTheme="minorHAnsi" w:hAnsiTheme="minorHAnsi"/>
          <w:bCs/>
          <w:sz w:val="22"/>
          <w:szCs w:val="22"/>
        </w:rPr>
        <w:t xml:space="preserve"> oferecer, dar ou aceitar subornos ou propinas ao realizar negócios da PPG. </w:t>
      </w:r>
    </w:p>
    <w:p w:rsidR="00D07999" w:rsidRDefault="00D07999" w:rsidP="00AA7101">
      <w:pPr>
        <w:pStyle w:val="PargrafodaLista"/>
        <w:numPr>
          <w:ilvl w:val="0"/>
          <w:numId w:val="15"/>
        </w:numPr>
        <w:ind w:left="720"/>
        <w:rPr>
          <w:rFonts w:asciiTheme="minorHAnsi" w:hAnsiTheme="minorHAnsi"/>
          <w:sz w:val="22"/>
          <w:szCs w:val="22"/>
        </w:rPr>
      </w:pPr>
      <w:r>
        <w:rPr>
          <w:rFonts w:asciiTheme="minorHAnsi" w:hAnsiTheme="minorHAnsi"/>
          <w:sz w:val="22"/>
          <w:szCs w:val="22"/>
        </w:rPr>
        <w:t>Proibimos qualquer transação não contábil com relação a nossos intermediários, empresas privadas, governos ou seus respectivos agentes</w:t>
      </w:r>
      <w:r w:rsidR="00690FA3">
        <w:rPr>
          <w:rFonts w:asciiTheme="minorHAnsi" w:hAnsiTheme="minorHAnsi"/>
          <w:sz w:val="22"/>
          <w:szCs w:val="22"/>
        </w:rPr>
        <w:t>.</w:t>
      </w:r>
      <w:bookmarkStart w:id="0" w:name="_GoBack"/>
      <w:bookmarkEnd w:id="0"/>
    </w:p>
    <w:p w:rsidR="00915FB0" w:rsidRPr="00AA7101" w:rsidRDefault="002A0565" w:rsidP="00AA7101">
      <w:pPr>
        <w:pStyle w:val="PargrafodaLista"/>
        <w:numPr>
          <w:ilvl w:val="0"/>
          <w:numId w:val="15"/>
        </w:numPr>
        <w:ind w:left="720"/>
        <w:rPr>
          <w:rFonts w:asciiTheme="minorHAnsi" w:hAnsiTheme="minorHAnsi"/>
          <w:sz w:val="22"/>
          <w:szCs w:val="22"/>
        </w:rPr>
      </w:pPr>
      <w:r>
        <w:rPr>
          <w:rFonts w:asciiTheme="minorHAnsi" w:hAnsiTheme="minorHAnsi"/>
          <w:sz w:val="22"/>
          <w:szCs w:val="22"/>
        </w:rPr>
        <w:t>Essas proibições se aplicam a todas as transações entre a PPG e qualquer outra parte: quer seja uma entidade privada ou pessoa física, ou uma entidade estatal/pública/governamental ou oficial.</w:t>
      </w:r>
    </w:p>
    <w:p w:rsidR="00A47E7A" w:rsidRPr="00AA7101" w:rsidRDefault="002C4D14" w:rsidP="00AA7101">
      <w:pPr>
        <w:pStyle w:val="PargrafodaLista"/>
        <w:numPr>
          <w:ilvl w:val="0"/>
          <w:numId w:val="15"/>
        </w:numPr>
        <w:ind w:left="720"/>
        <w:rPr>
          <w:rFonts w:asciiTheme="minorHAnsi" w:hAnsiTheme="minorHAnsi"/>
          <w:sz w:val="22"/>
          <w:szCs w:val="22"/>
        </w:rPr>
      </w:pPr>
      <w:r>
        <w:rPr>
          <w:rFonts w:asciiTheme="minorHAnsi" w:hAnsiTheme="minorHAnsi"/>
          <w:sz w:val="22"/>
          <w:szCs w:val="22"/>
        </w:rPr>
        <w:t>Desenvolveremos e manteremos livros e registros completos com detalhes suficientes que reflitam de maneira precisa e justa as transações da empresa.</w:t>
      </w:r>
    </w:p>
    <w:p w:rsidR="00A47E7A" w:rsidRPr="00D07999" w:rsidRDefault="00A47E7A" w:rsidP="00D07999">
      <w:pPr>
        <w:pStyle w:val="PargrafodaLista"/>
        <w:numPr>
          <w:ilvl w:val="0"/>
          <w:numId w:val="15"/>
        </w:numPr>
        <w:ind w:left="720"/>
        <w:rPr>
          <w:rFonts w:asciiTheme="minorHAnsi" w:hAnsiTheme="minorHAnsi"/>
          <w:sz w:val="22"/>
          <w:szCs w:val="22"/>
        </w:rPr>
      </w:pPr>
      <w:r w:rsidRPr="005D4D1B">
        <w:rPr>
          <w:rFonts w:asciiTheme="minorHAnsi" w:hAnsiTheme="minorHAnsi"/>
          <w:sz w:val="22"/>
          <w:szCs w:val="22"/>
        </w:rPr>
        <w:t>Manteremos um sistema de controles contábeis internos adequados, conforme descrito no</w:t>
      </w:r>
      <w:r>
        <w:t xml:space="preserve"> </w:t>
      </w:r>
      <w:hyperlink r:id="rId13" w:anchor="search=controller%27s%20manual" w:history="1">
        <w:r>
          <w:rPr>
            <w:rStyle w:val="Hiperligao"/>
            <w:rFonts w:asciiTheme="minorHAnsi" w:hAnsiTheme="minorHAnsi"/>
            <w:sz w:val="22"/>
            <w:szCs w:val="22"/>
          </w:rPr>
          <w:t>Manual do controlador da PPG</w:t>
        </w:r>
      </w:hyperlink>
      <w:r>
        <w:t>.</w:t>
      </w:r>
    </w:p>
    <w:p w:rsidR="007802EF" w:rsidRDefault="007802EF" w:rsidP="00AA7101">
      <w:pPr>
        <w:ind w:left="90"/>
        <w:rPr>
          <w:rFonts w:asciiTheme="minorHAnsi" w:hAnsiTheme="minorHAnsi"/>
          <w:b/>
          <w:sz w:val="22"/>
          <w:szCs w:val="22"/>
        </w:rPr>
      </w:pPr>
    </w:p>
    <w:p w:rsidR="0085042C" w:rsidRPr="00AA7101" w:rsidRDefault="007802EF" w:rsidP="00AA7101">
      <w:pPr>
        <w:ind w:left="90"/>
        <w:rPr>
          <w:rFonts w:asciiTheme="minorHAnsi" w:hAnsiTheme="minorHAnsi"/>
          <w:sz w:val="22"/>
          <w:szCs w:val="22"/>
        </w:rPr>
      </w:pPr>
      <w:r>
        <w:rPr>
          <w:rFonts w:asciiTheme="minorHAnsi" w:hAnsiTheme="minorHAnsi"/>
          <w:sz w:val="22"/>
          <w:szCs w:val="22"/>
        </w:rPr>
        <w:t xml:space="preserve">Esta política complementa as seções </w:t>
      </w:r>
      <w:hyperlink r:id="rId14" w:history="1">
        <w:r>
          <w:rPr>
            <w:rStyle w:val="Hiperligao"/>
            <w:rFonts w:asciiTheme="minorHAnsi" w:hAnsiTheme="minorHAnsi"/>
            <w:i/>
            <w:sz w:val="22"/>
            <w:szCs w:val="22"/>
          </w:rPr>
          <w:t>Suborno e corrupção</w:t>
        </w:r>
      </w:hyperlink>
      <w:r>
        <w:rPr>
          <w:rFonts w:asciiTheme="minorHAnsi" w:hAnsiTheme="minorHAnsi"/>
          <w:sz w:val="22"/>
          <w:szCs w:val="22"/>
        </w:rPr>
        <w:t xml:space="preserve"> e </w:t>
      </w:r>
      <w:hyperlink r:id="rId15" w:history="1">
        <w:r>
          <w:rPr>
            <w:rStyle w:val="Hiperligao"/>
            <w:rFonts w:asciiTheme="minorHAnsi" w:hAnsiTheme="minorHAnsi"/>
            <w:i/>
            <w:sz w:val="22"/>
            <w:szCs w:val="22"/>
          </w:rPr>
          <w:t>Registros comerciais e financeiros</w:t>
        </w:r>
      </w:hyperlink>
      <w:r>
        <w:rPr>
          <w:rFonts w:asciiTheme="minorHAnsi" w:hAnsiTheme="minorHAnsi"/>
          <w:sz w:val="22"/>
          <w:szCs w:val="22"/>
        </w:rPr>
        <w:t xml:space="preserve"> do Código de Ética Global.  Esta política também suporta nossa </w:t>
      </w:r>
      <w:hyperlink r:id="rId16" w:history="1">
        <w:r>
          <w:rPr>
            <w:rStyle w:val="Hiperligao"/>
            <w:rFonts w:asciiTheme="minorHAnsi" w:hAnsiTheme="minorHAnsi"/>
            <w:sz w:val="22"/>
            <w:szCs w:val="22"/>
          </w:rPr>
          <w:t>Política de investigação de terceiros</w:t>
        </w:r>
      </w:hyperlink>
      <w:r>
        <w:rPr>
          <w:rFonts w:asciiTheme="minorHAnsi" w:hAnsiTheme="minorHAnsi"/>
          <w:sz w:val="22"/>
          <w:szCs w:val="22"/>
        </w:rPr>
        <w:t>.</w:t>
      </w:r>
    </w:p>
    <w:p w:rsidR="00D73F88" w:rsidRDefault="00D73F88">
      <w:pPr>
        <w:autoSpaceDE/>
        <w:autoSpaceDN/>
        <w:adjustRightInd/>
        <w:spacing w:before="0" w:after="200" w:line="276" w:lineRule="auto"/>
        <w:rPr>
          <w:rFonts w:asciiTheme="minorHAnsi" w:hAnsiTheme="minorHAnsi"/>
          <w:sz w:val="22"/>
          <w:szCs w:val="22"/>
        </w:rPr>
      </w:pPr>
    </w:p>
    <w:p w:rsidR="0085042C" w:rsidRPr="0010137D" w:rsidRDefault="002A0565" w:rsidP="00411E2B">
      <w:pPr>
        <w:jc w:val="center"/>
        <w:rPr>
          <w:rFonts w:asciiTheme="minorHAnsi" w:hAnsiTheme="minorHAnsi"/>
          <w:b/>
          <w:sz w:val="22"/>
          <w:szCs w:val="22"/>
          <w:u w:val="single"/>
        </w:rPr>
      </w:pPr>
      <w:r>
        <w:rPr>
          <w:rFonts w:asciiTheme="minorHAnsi" w:hAnsiTheme="minorHAnsi"/>
          <w:b/>
          <w:sz w:val="22"/>
          <w:szCs w:val="22"/>
          <w:u w:val="single"/>
        </w:rPr>
        <w:t>Orientação</w:t>
      </w:r>
    </w:p>
    <w:p w:rsidR="0085042C" w:rsidRDefault="002A0565">
      <w:pPr>
        <w:rPr>
          <w:rFonts w:asciiTheme="minorHAnsi" w:hAnsiTheme="minorHAnsi"/>
          <w:sz w:val="22"/>
          <w:szCs w:val="22"/>
        </w:rPr>
      </w:pPr>
      <w:r>
        <w:rPr>
          <w:rFonts w:asciiTheme="minorHAnsi" w:hAnsiTheme="minorHAnsi"/>
          <w:sz w:val="22"/>
          <w:szCs w:val="22"/>
        </w:rPr>
        <w:t>Como funcionário da PPG, é sua responsabilidade entender os seguintes pontos:</w:t>
      </w:r>
    </w:p>
    <w:p w:rsidR="00D07999" w:rsidRDefault="00D07999">
      <w:pPr>
        <w:rPr>
          <w:rFonts w:asciiTheme="minorHAnsi" w:hAnsiTheme="minorHAnsi"/>
          <w:sz w:val="22"/>
          <w:szCs w:val="22"/>
        </w:rPr>
      </w:pPr>
    </w:p>
    <w:p w:rsidR="00C613B2" w:rsidRDefault="00411E2B" w:rsidP="00B21148">
      <w:pPr>
        <w:pStyle w:val="PargrafodaLista"/>
        <w:numPr>
          <w:ilvl w:val="0"/>
          <w:numId w:val="16"/>
        </w:numPr>
        <w:spacing w:before="0"/>
        <w:ind w:left="540"/>
        <w:rPr>
          <w:rFonts w:asciiTheme="minorHAnsi" w:hAnsiTheme="minorHAnsi"/>
          <w:sz w:val="22"/>
          <w:szCs w:val="22"/>
        </w:rPr>
      </w:pPr>
      <w:r>
        <w:rPr>
          <w:rFonts w:asciiTheme="minorHAnsi" w:hAnsiTheme="minorHAnsi"/>
          <w:b/>
          <w:i/>
          <w:sz w:val="22"/>
          <w:szCs w:val="22"/>
        </w:rPr>
        <w:t xml:space="preserve">Subornos não se limitam ao dinheiro. </w:t>
      </w:r>
      <w:r>
        <w:rPr>
          <w:rFonts w:asciiTheme="minorHAnsi" w:hAnsiTheme="minorHAnsi"/>
          <w:sz w:val="22"/>
          <w:szCs w:val="22"/>
        </w:rPr>
        <w:t xml:space="preserve"> Subornos incluem “qualquer coisa de valor”, que pretenda influenciar indevidamente uma decisão comercial ou governamental. “Qualquer coisa de valor” inclui dinheiro, equivalentes a dinheiro, presentes, refeições, entretenimento, viagens, bens pessoais, assunção ou perdão de uma dívida, doações de caridade, patrocínios, serviços, ofertas de emprego ou outros benefícios desleais. Itens de valor nominal ou pequenos presentes/sinais de estima geralmente não são considerados subornos. </w:t>
      </w:r>
    </w:p>
    <w:p w:rsidR="00C613B2" w:rsidRDefault="00C613B2" w:rsidP="00B21148">
      <w:pPr>
        <w:spacing w:before="0"/>
        <w:ind w:left="540" w:hanging="360"/>
        <w:rPr>
          <w:rFonts w:asciiTheme="minorHAnsi" w:hAnsiTheme="minorHAnsi"/>
          <w:sz w:val="22"/>
          <w:szCs w:val="22"/>
        </w:rPr>
      </w:pPr>
    </w:p>
    <w:p w:rsidR="0085042C" w:rsidRPr="00AA7101" w:rsidRDefault="00B21148" w:rsidP="00B21148">
      <w:pPr>
        <w:spacing w:before="0"/>
        <w:ind w:left="540" w:hanging="360"/>
        <w:rPr>
          <w:rFonts w:asciiTheme="minorHAnsi" w:hAnsiTheme="minorHAnsi"/>
          <w:sz w:val="22"/>
          <w:szCs w:val="22"/>
        </w:rPr>
      </w:pPr>
      <w:r>
        <w:rPr>
          <w:rFonts w:asciiTheme="minorHAnsi" w:hAnsiTheme="minorHAnsi"/>
          <w:sz w:val="22"/>
          <w:szCs w:val="22"/>
        </w:rPr>
        <w:tab/>
        <w:t>Qualquer hospitalidade, viagem, presentes, entretenimento e refeições da empresa devem ser proporcionais à ocasião e estar em conformidade com as políticas da PPG e as leis e regulamentos locais no país de localização do destinatário.</w:t>
      </w:r>
      <w:r>
        <w:t xml:space="preserve"> </w:t>
      </w:r>
      <w:r>
        <w:rPr>
          <w:rFonts w:asciiTheme="minorHAnsi" w:hAnsiTheme="minorHAnsi"/>
          <w:sz w:val="22"/>
          <w:szCs w:val="22"/>
        </w:rPr>
        <w:t xml:space="preserve">Por exemplo, embora seja apropriado e aceitável cobrir o custo de uma viagem ao cliente para visitar uma fábrica, departamento de pesquisa ou outra instalação da PPG para fins comerciais legítimos, é preciso cautela.  A duração da visita deve ser proporcional ao tempo necessário para satisfazer os objetivos comerciais, e o custo da viagem deve ser razoável e cobrir apenas os custos reais relacionados à viagem. Quaisquer custos não relacionados, como uma extensão da viagem, compras, serviços, etc. devem ser arcados pelo cliente. Consulte a </w:t>
      </w:r>
      <w:hyperlink r:id="rId17" w:history="1">
        <w:r>
          <w:rPr>
            <w:rStyle w:val="Hiperligao"/>
            <w:rFonts w:asciiTheme="minorHAnsi" w:hAnsiTheme="minorHAnsi"/>
            <w:sz w:val="22"/>
            <w:szCs w:val="22"/>
          </w:rPr>
          <w:t>Política global de viagens da PPG</w:t>
        </w:r>
      </w:hyperlink>
      <w:r>
        <w:rPr>
          <w:rFonts w:asciiTheme="minorHAnsi" w:hAnsiTheme="minorHAnsi"/>
          <w:sz w:val="22"/>
          <w:szCs w:val="22"/>
        </w:rPr>
        <w:t xml:space="preserve"> e o </w:t>
      </w:r>
      <w:hyperlink r:id="rId18" w:anchor="search=controller%27s%20manual" w:history="1">
        <w:r>
          <w:rPr>
            <w:rStyle w:val="Hiperligao"/>
            <w:rFonts w:asciiTheme="minorHAnsi" w:hAnsiTheme="minorHAnsi"/>
            <w:sz w:val="22"/>
            <w:szCs w:val="22"/>
          </w:rPr>
          <w:t>Manual do controlador</w:t>
        </w:r>
      </w:hyperlink>
      <w:r>
        <w:rPr>
          <w:rFonts w:asciiTheme="minorHAnsi" w:hAnsiTheme="minorHAnsi"/>
          <w:sz w:val="22"/>
          <w:szCs w:val="22"/>
        </w:rPr>
        <w:t xml:space="preserve"> para informações adicionais.</w:t>
      </w:r>
    </w:p>
    <w:p w:rsidR="0085042C" w:rsidRDefault="0085042C" w:rsidP="00B21148">
      <w:pPr>
        <w:spacing w:before="0"/>
        <w:ind w:left="540" w:hanging="360"/>
        <w:rPr>
          <w:rFonts w:asciiTheme="minorHAnsi" w:hAnsiTheme="minorHAnsi"/>
          <w:sz w:val="22"/>
          <w:szCs w:val="22"/>
        </w:rPr>
      </w:pPr>
    </w:p>
    <w:p w:rsidR="0085042C" w:rsidRDefault="00D93250" w:rsidP="00B21148">
      <w:pPr>
        <w:pStyle w:val="PargrafodaLista"/>
        <w:numPr>
          <w:ilvl w:val="0"/>
          <w:numId w:val="2"/>
        </w:numPr>
        <w:spacing w:before="0"/>
        <w:ind w:left="540"/>
        <w:rPr>
          <w:rFonts w:asciiTheme="minorHAnsi" w:hAnsiTheme="minorHAnsi"/>
          <w:sz w:val="22"/>
          <w:szCs w:val="22"/>
        </w:rPr>
      </w:pPr>
      <w:r>
        <w:rPr>
          <w:rFonts w:asciiTheme="minorHAnsi" w:hAnsiTheme="minorHAnsi"/>
          <w:b/>
          <w:i/>
          <w:sz w:val="22"/>
          <w:szCs w:val="22"/>
        </w:rPr>
        <w:t>O suborno não precisa ser aceito ou ser bem-sucedido para violar a lei.</w:t>
      </w:r>
      <w:r>
        <w:rPr>
          <w:rFonts w:asciiTheme="minorHAnsi" w:hAnsiTheme="minorHAnsi"/>
          <w:sz w:val="22"/>
          <w:szCs w:val="22"/>
        </w:rPr>
        <w:t xml:space="preserve">  De acordo com as leis de muitos países, a PPG cometeu uma violação, mesmo que a oferta do pagamento ou suborno seja recusada.</w:t>
      </w:r>
      <w:r>
        <w:rPr>
          <w:rFonts w:ascii="Tahoma" w:hAnsi="Tahoma"/>
          <w:sz w:val="22"/>
          <w:szCs w:val="22"/>
        </w:rPr>
        <w:t xml:space="preserve"> </w:t>
      </w:r>
      <w:r>
        <w:rPr>
          <w:rFonts w:asciiTheme="minorHAnsi" w:hAnsiTheme="minorHAnsi"/>
          <w:sz w:val="22"/>
          <w:szCs w:val="22"/>
        </w:rPr>
        <w:t>Também não importa se um pagamento é realmente realizado ou se o receptor realmente faz alguma coisa para você.  A violação ocorre no momento em que uma oferta ou pagamento inadequado é feita.</w:t>
      </w:r>
    </w:p>
    <w:p w:rsidR="0085042C" w:rsidRDefault="0085042C" w:rsidP="00B21148">
      <w:pPr>
        <w:pStyle w:val="PargrafodaLista"/>
        <w:spacing w:before="0"/>
        <w:ind w:left="540" w:hanging="360"/>
        <w:rPr>
          <w:rFonts w:asciiTheme="minorHAnsi" w:hAnsiTheme="minorHAnsi"/>
          <w:sz w:val="22"/>
          <w:szCs w:val="22"/>
        </w:rPr>
      </w:pPr>
    </w:p>
    <w:p w:rsidR="00670AE0" w:rsidRPr="00670AE0" w:rsidRDefault="00670AE0" w:rsidP="00B21148">
      <w:pPr>
        <w:pStyle w:val="PargrafodaLista"/>
        <w:numPr>
          <w:ilvl w:val="0"/>
          <w:numId w:val="2"/>
        </w:numPr>
        <w:spacing w:before="0"/>
        <w:ind w:left="540"/>
        <w:rPr>
          <w:rFonts w:asciiTheme="minorHAnsi" w:hAnsiTheme="minorHAnsi"/>
          <w:sz w:val="22"/>
          <w:szCs w:val="22"/>
        </w:rPr>
      </w:pPr>
      <w:r>
        <w:rPr>
          <w:rFonts w:asciiTheme="minorHAnsi" w:hAnsiTheme="minorHAnsi"/>
          <w:b/>
          <w:i/>
          <w:sz w:val="22"/>
          <w:szCs w:val="22"/>
        </w:rPr>
        <w:t xml:space="preserve">Subornos para obter permissões, licenças, produtos e outras aprovações, etc. também são ilegais. </w:t>
      </w:r>
      <w:r>
        <w:rPr>
          <w:rFonts w:asciiTheme="minorHAnsi" w:hAnsiTheme="minorHAnsi"/>
          <w:sz w:val="22"/>
          <w:szCs w:val="22"/>
        </w:rPr>
        <w:t xml:space="preserve">A maioria das pessoas associa subornos à obtenção de negócios de um cliente.  No entanto, é igualmente ilegal pagar um suborno a um funcionário do governo ou de organização reguladora para obter outros benefícios, como uma licença operacional ou </w:t>
      </w:r>
      <w:proofErr w:type="spellStart"/>
      <w:r>
        <w:rPr>
          <w:rFonts w:asciiTheme="minorHAnsi" w:hAnsiTheme="minorHAnsi"/>
          <w:sz w:val="22"/>
          <w:szCs w:val="22"/>
        </w:rPr>
        <w:t>EHS</w:t>
      </w:r>
      <w:proofErr w:type="spellEnd"/>
      <w:r>
        <w:rPr>
          <w:rFonts w:asciiTheme="minorHAnsi" w:hAnsiTheme="minorHAnsi"/>
          <w:sz w:val="22"/>
          <w:szCs w:val="22"/>
        </w:rPr>
        <w:t xml:space="preserve">, uma redução de impostos, aprovação ou certificação de um produto, uma licença para realizar negócios, etc. Lembre-se, você não pode pagar subornos para obter vantagens comerciais impróprias. </w:t>
      </w:r>
    </w:p>
    <w:p w:rsidR="00670AE0" w:rsidRPr="00670AE0" w:rsidRDefault="00670AE0" w:rsidP="00B21148">
      <w:pPr>
        <w:pStyle w:val="PargrafodaLista"/>
        <w:ind w:left="540" w:hanging="360"/>
        <w:rPr>
          <w:rFonts w:asciiTheme="minorHAnsi" w:hAnsiTheme="minorHAnsi"/>
          <w:b/>
          <w:i/>
          <w:sz w:val="22"/>
          <w:szCs w:val="22"/>
        </w:rPr>
      </w:pPr>
    </w:p>
    <w:p w:rsidR="00844DDF" w:rsidRDefault="00301743" w:rsidP="00B21148">
      <w:pPr>
        <w:pStyle w:val="PargrafodaLista"/>
        <w:numPr>
          <w:ilvl w:val="0"/>
          <w:numId w:val="2"/>
        </w:numPr>
        <w:spacing w:before="0"/>
        <w:ind w:left="540"/>
        <w:rPr>
          <w:rFonts w:asciiTheme="minorHAnsi" w:hAnsiTheme="minorHAnsi"/>
          <w:sz w:val="22"/>
          <w:szCs w:val="22"/>
        </w:rPr>
      </w:pPr>
      <w:r>
        <w:rPr>
          <w:rFonts w:asciiTheme="minorHAnsi" w:hAnsiTheme="minorHAnsi"/>
          <w:b/>
          <w:sz w:val="22"/>
          <w:szCs w:val="22"/>
        </w:rPr>
        <w:t xml:space="preserve">Proibições particularmente rigorosas são aplicadas a qualquer esforço para influenciar indevidamente funcionários do governo. </w:t>
      </w:r>
      <w:r>
        <w:rPr>
          <w:rFonts w:asciiTheme="minorHAnsi" w:hAnsiTheme="minorHAnsi"/>
          <w:sz w:val="22"/>
          <w:szCs w:val="22"/>
        </w:rPr>
        <w:t xml:space="preserve">Nossa política proíbe suborno e corrupção entre a PPG e suas parceiras comerciais, além da PPG e de entidades/funcionários do governo.  No entanto, algumas leis, incluindo a </w:t>
      </w:r>
      <w:proofErr w:type="spellStart"/>
      <w:r>
        <w:rPr>
          <w:rFonts w:asciiTheme="minorHAnsi" w:hAnsiTheme="minorHAnsi"/>
          <w:sz w:val="22"/>
          <w:szCs w:val="22"/>
        </w:rPr>
        <w:t>FCPA</w:t>
      </w:r>
      <w:proofErr w:type="spellEnd"/>
      <w:r>
        <w:rPr>
          <w:rFonts w:asciiTheme="minorHAnsi" w:hAnsiTheme="minorHAnsi"/>
          <w:sz w:val="22"/>
          <w:szCs w:val="22"/>
        </w:rPr>
        <w:t xml:space="preserve"> dos EUA, impõem multas e sanções particularmente substanciais em subornos e pagamentos a funcionários de governos estrangeiros.   </w:t>
      </w:r>
    </w:p>
    <w:p w:rsidR="00844DDF" w:rsidRPr="00AA7101" w:rsidRDefault="00844DDF" w:rsidP="00B21148">
      <w:pPr>
        <w:pStyle w:val="PargrafodaLista"/>
        <w:ind w:left="540" w:hanging="360"/>
        <w:rPr>
          <w:rFonts w:asciiTheme="minorHAnsi" w:hAnsiTheme="minorHAnsi"/>
          <w:sz w:val="22"/>
          <w:szCs w:val="22"/>
        </w:rPr>
      </w:pPr>
    </w:p>
    <w:p w:rsidR="0085042C" w:rsidRDefault="00844DDF" w:rsidP="00B21148">
      <w:pPr>
        <w:pStyle w:val="PargrafodaLista"/>
        <w:numPr>
          <w:ilvl w:val="0"/>
          <w:numId w:val="2"/>
        </w:numPr>
        <w:spacing w:before="0"/>
        <w:ind w:left="540"/>
        <w:rPr>
          <w:rFonts w:asciiTheme="minorHAnsi" w:hAnsiTheme="minorHAnsi"/>
          <w:sz w:val="22"/>
          <w:szCs w:val="22"/>
        </w:rPr>
      </w:pPr>
      <w:r>
        <w:rPr>
          <w:rFonts w:asciiTheme="minorHAnsi" w:hAnsiTheme="minorHAnsi"/>
          <w:b/>
          <w:i/>
          <w:sz w:val="22"/>
          <w:szCs w:val="22"/>
        </w:rPr>
        <w:t>Entidades estatais (</w:t>
      </w:r>
      <w:proofErr w:type="spellStart"/>
      <w:proofErr w:type="gramStart"/>
      <w:r>
        <w:rPr>
          <w:rFonts w:asciiTheme="minorHAnsi" w:hAnsiTheme="minorHAnsi"/>
          <w:b/>
          <w:i/>
          <w:sz w:val="22"/>
          <w:szCs w:val="22"/>
        </w:rPr>
        <w:t>SOEs</w:t>
      </w:r>
      <w:proofErr w:type="spellEnd"/>
      <w:proofErr w:type="gramEnd"/>
      <w:r>
        <w:rPr>
          <w:rFonts w:asciiTheme="minorHAnsi" w:hAnsiTheme="minorHAnsi"/>
          <w:b/>
          <w:i/>
          <w:sz w:val="22"/>
          <w:szCs w:val="22"/>
        </w:rPr>
        <w:t>) são consideradas funcionários do governo.</w:t>
      </w:r>
      <w:r>
        <w:rPr>
          <w:rFonts w:asciiTheme="minorHAnsi" w:hAnsiTheme="minorHAnsi"/>
          <w:sz w:val="22"/>
          <w:szCs w:val="22"/>
        </w:rPr>
        <w:t xml:space="preserve"> Em muitos países, o governo pode ter interesse de propriedade parcial em uma empresa - uma SOE - com a qual a PPG escolhe fazer negócios. As </w:t>
      </w:r>
      <w:proofErr w:type="spellStart"/>
      <w:proofErr w:type="gramStart"/>
      <w:r>
        <w:rPr>
          <w:rFonts w:asciiTheme="minorHAnsi" w:hAnsiTheme="minorHAnsi"/>
          <w:sz w:val="22"/>
          <w:szCs w:val="22"/>
        </w:rPr>
        <w:t>SOEs</w:t>
      </w:r>
      <w:proofErr w:type="spellEnd"/>
      <w:proofErr w:type="gramEnd"/>
      <w:r>
        <w:rPr>
          <w:rFonts w:asciiTheme="minorHAnsi" w:hAnsiTheme="minorHAnsi"/>
          <w:sz w:val="22"/>
          <w:szCs w:val="22"/>
        </w:rPr>
        <w:t xml:space="preserve"> são comuns em todo o mundo e particularmente na China, Rússia, Emirados Árabes Unidos e Indonésia. Como nem sempre será aparente se uma empresa é exclusivamente uma empresa privada ou possui algum nível de propriedade do governo, é ainda mais importante que os funcionários da PPG nunca ofereçam ou façam subornos ou pagamentos indevidos a nenhuma entidade. </w:t>
      </w:r>
    </w:p>
    <w:p w:rsidR="0085042C" w:rsidRDefault="0085042C" w:rsidP="00B21148">
      <w:pPr>
        <w:spacing w:before="0"/>
        <w:ind w:left="540" w:hanging="360"/>
        <w:rPr>
          <w:rFonts w:asciiTheme="minorHAnsi" w:hAnsiTheme="minorHAnsi"/>
          <w:sz w:val="22"/>
          <w:szCs w:val="22"/>
        </w:rPr>
      </w:pPr>
    </w:p>
    <w:p w:rsidR="0085042C" w:rsidRDefault="00A957D3" w:rsidP="00B21148">
      <w:pPr>
        <w:pStyle w:val="NormalWeb"/>
        <w:numPr>
          <w:ilvl w:val="0"/>
          <w:numId w:val="2"/>
        </w:numPr>
        <w:spacing w:before="0" w:beforeAutospacing="0" w:after="0" w:afterAutospacing="0"/>
        <w:ind w:left="540"/>
        <w:rPr>
          <w:rFonts w:asciiTheme="minorHAnsi" w:hAnsiTheme="minorHAnsi"/>
          <w:sz w:val="22"/>
          <w:szCs w:val="22"/>
        </w:rPr>
      </w:pPr>
      <w:r>
        <w:rPr>
          <w:rFonts w:asciiTheme="minorHAnsi" w:hAnsiTheme="minorHAnsi"/>
          <w:b/>
          <w:i/>
          <w:sz w:val="22"/>
          <w:szCs w:val="22"/>
        </w:rPr>
        <w:t>A PPG pode ser responsabilizada se nossos agentes e outros intermediários pagarem subornos em nosso nome.</w:t>
      </w:r>
      <w:r>
        <w:rPr>
          <w:rFonts w:asciiTheme="minorHAnsi" w:hAnsiTheme="minorHAnsi"/>
          <w:sz w:val="22"/>
          <w:szCs w:val="22"/>
        </w:rPr>
        <w:t xml:space="preserve"> A PPG depende de terceiros em muitos países para vender nossos produtos e serviços. A proibição de oferecer e fazer subornos e pagamentos se aplica igualmente a esses tipos </w:t>
      </w:r>
      <w:r>
        <w:rPr>
          <w:rFonts w:asciiTheme="minorHAnsi" w:hAnsiTheme="minorHAnsi"/>
          <w:sz w:val="22"/>
          <w:szCs w:val="22"/>
        </w:rPr>
        <w:lastRenderedPageBreak/>
        <w:t>de intermediários. Da mesma forma, pagamentos ou subornos indevidos não podem ser feitos aos amigos ou parentes de uma pessoa empregada pelo cliente ou de um funcionário do governo, se a PPG souber ou acreditar firmemente que o pagamento beneficiará o cliente ou o funcionário do governo para uma finalidade imprópria.</w:t>
      </w:r>
    </w:p>
    <w:p w:rsidR="0085042C" w:rsidRDefault="0085042C" w:rsidP="00B21148">
      <w:pPr>
        <w:pStyle w:val="Default"/>
        <w:ind w:left="540" w:hanging="360"/>
        <w:rPr>
          <w:rFonts w:asciiTheme="minorHAnsi" w:hAnsiTheme="minorHAnsi" w:cs="Times New Roman"/>
          <w:i/>
          <w:sz w:val="22"/>
          <w:szCs w:val="22"/>
        </w:rPr>
      </w:pPr>
    </w:p>
    <w:p w:rsidR="00AC350E" w:rsidRDefault="00B21148" w:rsidP="00B21148">
      <w:pPr>
        <w:spacing w:after="240"/>
        <w:ind w:left="540" w:hanging="360"/>
        <w:rPr>
          <w:rFonts w:asciiTheme="minorHAnsi" w:hAnsiTheme="minorHAnsi"/>
          <w:sz w:val="22"/>
          <w:szCs w:val="22"/>
        </w:rPr>
      </w:pPr>
      <w:r>
        <w:rPr>
          <w:rFonts w:asciiTheme="minorHAnsi" w:hAnsiTheme="minorHAnsi"/>
          <w:sz w:val="22"/>
          <w:szCs w:val="22"/>
        </w:rPr>
        <w:tab/>
        <w:t xml:space="preserve">A PPG desenvolveu e mantém um robusto programa de investigação de terceiros para validar e gerenciar seus agentes e intermediários. Consulte as informações deste site para obter mais informações: </w:t>
      </w:r>
      <w:hyperlink r:id="rId19" w:history="1">
        <w:r>
          <w:rPr>
            <w:rStyle w:val="Hiperligao"/>
            <w:rFonts w:asciiTheme="minorHAnsi" w:hAnsiTheme="minorHAnsi"/>
            <w:sz w:val="22"/>
            <w:szCs w:val="22"/>
          </w:rPr>
          <w:t>Investigação de terceiros da PPG</w:t>
        </w:r>
      </w:hyperlink>
      <w:r>
        <w:t>.</w:t>
      </w:r>
    </w:p>
    <w:p w:rsidR="0085042C" w:rsidRDefault="002A0565" w:rsidP="00B21148">
      <w:pPr>
        <w:spacing w:after="240"/>
        <w:ind w:left="540" w:hanging="360"/>
        <w:rPr>
          <w:rFonts w:asciiTheme="minorHAnsi" w:hAnsiTheme="minorHAnsi"/>
          <w:sz w:val="22"/>
          <w:szCs w:val="22"/>
        </w:rPr>
      </w:pPr>
      <w:r>
        <w:rPr>
          <w:rFonts w:asciiTheme="minorHAnsi" w:hAnsiTheme="minorHAnsi"/>
          <w:sz w:val="22"/>
          <w:szCs w:val="22"/>
        </w:rPr>
        <w:t>Também devemos fazer uma investigação apropriada ao selecionar parceiros de joint venture, candidatos para aquisições e seus respectivos agentes e representantes. A PPG pode ser responsabilizada por atividades impróprias realizadas por uma empresa que ela adquire ou por seus parceiros de joint venture, se falhar em (i) realizar uma análise cuidadosa e oportuna das áreas de risco em potencial; (</w:t>
      </w:r>
      <w:proofErr w:type="spellStart"/>
      <w:proofErr w:type="gramStart"/>
      <w:r>
        <w:rPr>
          <w:rFonts w:asciiTheme="minorHAnsi" w:hAnsiTheme="minorHAnsi"/>
          <w:sz w:val="22"/>
          <w:szCs w:val="22"/>
        </w:rPr>
        <w:t>ii</w:t>
      </w:r>
      <w:proofErr w:type="spellEnd"/>
      <w:proofErr w:type="gramEnd"/>
      <w:r>
        <w:rPr>
          <w:rFonts w:asciiTheme="minorHAnsi" w:hAnsiTheme="minorHAnsi"/>
          <w:sz w:val="22"/>
          <w:szCs w:val="22"/>
        </w:rPr>
        <w:t>) implementar um programa de conformidade eficaz nessas entidades; ou (</w:t>
      </w:r>
      <w:proofErr w:type="spellStart"/>
      <w:r>
        <w:rPr>
          <w:rFonts w:asciiTheme="minorHAnsi" w:hAnsiTheme="minorHAnsi"/>
          <w:sz w:val="22"/>
          <w:szCs w:val="22"/>
        </w:rPr>
        <w:t>iii</w:t>
      </w:r>
      <w:proofErr w:type="spellEnd"/>
      <w:r>
        <w:rPr>
          <w:rFonts w:asciiTheme="minorHAnsi" w:hAnsiTheme="minorHAnsi"/>
          <w:sz w:val="22"/>
          <w:szCs w:val="22"/>
        </w:rPr>
        <w:t>) interromper essa atividade inadequada.</w:t>
      </w:r>
    </w:p>
    <w:p w:rsidR="0085042C" w:rsidRDefault="00AC350E" w:rsidP="00B21148">
      <w:pPr>
        <w:pStyle w:val="PargrafodaLista"/>
        <w:numPr>
          <w:ilvl w:val="0"/>
          <w:numId w:val="2"/>
        </w:numPr>
        <w:spacing w:before="0"/>
        <w:ind w:left="540"/>
        <w:rPr>
          <w:rFonts w:asciiTheme="minorHAnsi" w:hAnsiTheme="minorHAnsi"/>
          <w:sz w:val="22"/>
          <w:szCs w:val="22"/>
        </w:rPr>
      </w:pPr>
      <w:r>
        <w:rPr>
          <w:rFonts w:asciiTheme="minorHAnsi" w:hAnsiTheme="minorHAnsi"/>
          <w:b/>
          <w:i/>
          <w:sz w:val="22"/>
          <w:szCs w:val="22"/>
        </w:rPr>
        <w:t xml:space="preserve">Tenha cuidado com abatimento, </w:t>
      </w:r>
      <w:proofErr w:type="spellStart"/>
      <w:r>
        <w:rPr>
          <w:rFonts w:asciiTheme="minorHAnsi" w:hAnsiTheme="minorHAnsi"/>
          <w:b/>
          <w:i/>
          <w:sz w:val="22"/>
          <w:szCs w:val="22"/>
        </w:rPr>
        <w:t>pré</w:t>
      </w:r>
      <w:proofErr w:type="spellEnd"/>
      <w:r>
        <w:rPr>
          <w:rFonts w:asciiTheme="minorHAnsi" w:hAnsiTheme="minorHAnsi"/>
          <w:b/>
          <w:i/>
          <w:sz w:val="22"/>
          <w:szCs w:val="22"/>
        </w:rPr>
        <w:t xml:space="preserve">-abatimento e descontos.  </w:t>
      </w:r>
      <w:r>
        <w:rPr>
          <w:rFonts w:asciiTheme="minorHAnsi" w:hAnsiTheme="minorHAnsi"/>
          <w:sz w:val="22"/>
          <w:szCs w:val="22"/>
        </w:rPr>
        <w:t xml:space="preserve">Como muitas empresas, a PPG ocasionalmente fornece abatimento, </w:t>
      </w:r>
      <w:proofErr w:type="spellStart"/>
      <w:r>
        <w:rPr>
          <w:rFonts w:asciiTheme="minorHAnsi" w:hAnsiTheme="minorHAnsi"/>
          <w:sz w:val="22"/>
          <w:szCs w:val="22"/>
        </w:rPr>
        <w:t>pré</w:t>
      </w:r>
      <w:proofErr w:type="spellEnd"/>
      <w:r>
        <w:rPr>
          <w:rFonts w:asciiTheme="minorHAnsi" w:hAnsiTheme="minorHAnsi"/>
          <w:sz w:val="22"/>
          <w:szCs w:val="22"/>
        </w:rPr>
        <w:t xml:space="preserve">-abatimento e descontos semelhantes aos clientes para obter ou manter contratos ou negócios como parte de um acordo comercial negociado. Esses pagamentos não são “impróprios” se forem expressamente previstos no contrato, razoáveis e consistentes com a prática contínua da </w:t>
      </w:r>
      <w:proofErr w:type="spellStart"/>
      <w:r>
        <w:rPr>
          <w:rFonts w:asciiTheme="minorHAnsi" w:hAnsiTheme="minorHAnsi"/>
          <w:sz w:val="22"/>
          <w:szCs w:val="22"/>
        </w:rPr>
        <w:t>SBU</w:t>
      </w:r>
      <w:proofErr w:type="spellEnd"/>
      <w:r>
        <w:rPr>
          <w:rFonts w:asciiTheme="minorHAnsi" w:hAnsiTheme="minorHAnsi"/>
          <w:sz w:val="22"/>
          <w:szCs w:val="22"/>
        </w:rPr>
        <w:t>, se não forem pagos em dinheiro, se forem pagos diretamente à entidade cliente e não para ou através de qualquer pessoa física, se forem apropriadamente contabilizados em nossos livros e registros e se estiverem em conformidade com os requisitos do contrato.</w:t>
      </w:r>
    </w:p>
    <w:p w:rsidR="00C613B2" w:rsidRDefault="00C613B2" w:rsidP="00B21148">
      <w:pPr>
        <w:pStyle w:val="PargrafodaLista"/>
        <w:spacing w:before="0"/>
        <w:ind w:left="540" w:hanging="360"/>
        <w:rPr>
          <w:rFonts w:asciiTheme="minorHAnsi" w:hAnsiTheme="minorHAnsi"/>
          <w:sz w:val="22"/>
          <w:szCs w:val="22"/>
        </w:rPr>
      </w:pPr>
    </w:p>
    <w:p w:rsidR="0085042C" w:rsidRDefault="00C613B2" w:rsidP="00B21148">
      <w:pPr>
        <w:pStyle w:val="PargrafodaLista"/>
        <w:numPr>
          <w:ilvl w:val="0"/>
          <w:numId w:val="2"/>
        </w:numPr>
        <w:spacing w:before="0"/>
        <w:ind w:left="540"/>
        <w:rPr>
          <w:rFonts w:asciiTheme="minorHAnsi" w:hAnsiTheme="minorHAnsi"/>
          <w:sz w:val="22"/>
          <w:szCs w:val="22"/>
        </w:rPr>
      </w:pPr>
      <w:r>
        <w:rPr>
          <w:rFonts w:asciiTheme="minorHAnsi" w:hAnsiTheme="minorHAnsi"/>
          <w:b/>
          <w:i/>
          <w:sz w:val="22"/>
          <w:szCs w:val="22"/>
        </w:rPr>
        <w:t xml:space="preserve">Livros e registros precisos e transparentes, bem como regras contábeis internas adequadas são essenciais.  </w:t>
      </w:r>
      <w:r>
        <w:rPr>
          <w:rFonts w:asciiTheme="minorHAnsi" w:hAnsiTheme="minorHAnsi"/>
          <w:sz w:val="22"/>
          <w:szCs w:val="22"/>
        </w:rPr>
        <w:t xml:space="preserve">Nunca é apropriado descaracterizar transações em nossos livros e registros. Os subornos geralmente são ocultados sob o pretexto de pagamentos legítimos, como comissões ou taxas de consultoria.  Em muitos casos, as empresas são acusadas de violar as leis anticorrupção, mesmo quando não há provas de suborno. Isso acontece porque pagamentos indevidos foram incorretamente registrados ou eles tinham controles internos fracos que os expunha a um risco de corrupção. </w:t>
      </w:r>
    </w:p>
    <w:p w:rsidR="005F19D4" w:rsidRPr="00AA7101" w:rsidRDefault="005F19D4" w:rsidP="00B21148">
      <w:pPr>
        <w:spacing w:before="0"/>
        <w:ind w:left="540" w:hanging="360"/>
        <w:rPr>
          <w:rFonts w:asciiTheme="minorHAnsi" w:hAnsiTheme="minorHAnsi"/>
          <w:sz w:val="22"/>
          <w:szCs w:val="22"/>
        </w:rPr>
      </w:pPr>
    </w:p>
    <w:p w:rsidR="0085042C" w:rsidRDefault="00B21148" w:rsidP="00B21148">
      <w:pPr>
        <w:pStyle w:val="NormalWeb"/>
        <w:spacing w:before="0" w:beforeAutospacing="0" w:after="0" w:afterAutospacing="0"/>
        <w:ind w:left="540" w:hanging="360"/>
        <w:rPr>
          <w:rFonts w:asciiTheme="minorHAnsi" w:hAnsiTheme="minorHAnsi"/>
          <w:sz w:val="22"/>
          <w:szCs w:val="22"/>
        </w:rPr>
      </w:pPr>
      <w:r>
        <w:rPr>
          <w:rFonts w:asciiTheme="minorHAnsi" w:hAnsiTheme="minorHAnsi"/>
          <w:sz w:val="22"/>
          <w:szCs w:val="22"/>
        </w:rPr>
        <w:tab/>
        <w:t xml:space="preserve">Além disso, os custos incorridos e as atividades realizadas como parte de hospitalidade, viagens, presentes, entretenimento e refeições devem ser transparentes. Isso significa que as contas que evidenciam esses custos e atividades devem fazer referência aos indivíduos envolvidos, identificar um objetivo comercial claro, descrever a atividade, indicar a quantia gasta, etc. </w:t>
      </w:r>
    </w:p>
    <w:p w:rsidR="0085042C" w:rsidRDefault="0085042C" w:rsidP="00B21148">
      <w:pPr>
        <w:pStyle w:val="NormalWeb"/>
        <w:spacing w:before="0" w:beforeAutospacing="0" w:after="0" w:afterAutospacing="0"/>
        <w:ind w:left="540" w:hanging="360"/>
        <w:rPr>
          <w:rFonts w:asciiTheme="minorHAnsi" w:hAnsiTheme="minorHAnsi"/>
          <w:sz w:val="22"/>
          <w:szCs w:val="22"/>
        </w:rPr>
      </w:pPr>
    </w:p>
    <w:p w:rsidR="0085042C" w:rsidRDefault="002A0565" w:rsidP="00B21148">
      <w:pPr>
        <w:pStyle w:val="NormalWeb"/>
        <w:numPr>
          <w:ilvl w:val="0"/>
          <w:numId w:val="10"/>
        </w:numPr>
        <w:spacing w:before="0" w:beforeAutospacing="0" w:after="0" w:afterAutospacing="0"/>
        <w:ind w:left="540"/>
        <w:rPr>
          <w:rFonts w:asciiTheme="minorHAnsi" w:hAnsiTheme="minorHAnsi"/>
          <w:sz w:val="22"/>
          <w:szCs w:val="22"/>
        </w:rPr>
      </w:pPr>
      <w:r>
        <w:rPr>
          <w:rFonts w:asciiTheme="minorHAnsi" w:hAnsiTheme="minorHAnsi"/>
          <w:b/>
          <w:i/>
          <w:sz w:val="22"/>
          <w:szCs w:val="22"/>
        </w:rPr>
        <w:t xml:space="preserve">Às vezes, contribuições de caridade podem ser consideradas subornos.  </w:t>
      </w:r>
      <w:r>
        <w:rPr>
          <w:rFonts w:asciiTheme="minorHAnsi" w:hAnsiTheme="minorHAnsi"/>
          <w:sz w:val="22"/>
          <w:szCs w:val="22"/>
        </w:rPr>
        <w:t>Muitos funcionários ficam surpresos ao saber que contribuições para caridade e patrocínios podem apresentar um risco de violação de leis e regulamentações antissuborno e anticorrupção.</w:t>
      </w:r>
    </w:p>
    <w:p w:rsidR="0085042C" w:rsidRDefault="00B21148" w:rsidP="00B21148">
      <w:pPr>
        <w:pStyle w:val="NormalWeb"/>
        <w:spacing w:before="0"/>
        <w:ind w:left="540" w:hanging="360"/>
        <w:rPr>
          <w:rFonts w:asciiTheme="minorHAnsi" w:hAnsiTheme="minorHAnsi"/>
          <w:sz w:val="22"/>
          <w:szCs w:val="22"/>
        </w:rPr>
      </w:pPr>
      <w:r>
        <w:rPr>
          <w:rFonts w:asciiTheme="minorHAnsi" w:hAnsiTheme="minorHAnsi"/>
          <w:sz w:val="22"/>
          <w:szCs w:val="22"/>
        </w:rPr>
        <w:tab/>
        <w:t>Como exemplo, um parceiro de negócios da PPG ou fun</w:t>
      </w:r>
      <w:r w:rsidR="005D4D1B">
        <w:rPr>
          <w:rFonts w:asciiTheme="minorHAnsi" w:hAnsiTheme="minorHAnsi"/>
          <w:sz w:val="22"/>
          <w:szCs w:val="22"/>
        </w:rPr>
        <w:t>cionário do governo pode apoiar a</w:t>
      </w:r>
      <w:r>
        <w:rPr>
          <w:rFonts w:asciiTheme="minorHAnsi" w:hAnsiTheme="minorHAnsi"/>
          <w:sz w:val="22"/>
          <w:szCs w:val="22"/>
        </w:rPr>
        <w:t xml:space="preserve">tivamente ou estar no conselho de uma instituição de caridade. </w:t>
      </w:r>
      <w:r>
        <w:t xml:space="preserve">Conforme descrito na seção </w:t>
      </w:r>
      <w:hyperlink r:id="rId20" w:history="1">
        <w:r>
          <w:rPr>
            <w:rStyle w:val="Hiperligao"/>
            <w:rFonts w:asciiTheme="minorHAnsi" w:hAnsiTheme="minorHAnsi"/>
            <w:i/>
            <w:sz w:val="22"/>
            <w:szCs w:val="22"/>
          </w:rPr>
          <w:t>Contribuições de caridade</w:t>
        </w:r>
      </w:hyperlink>
      <w:r>
        <w:t xml:space="preserve"> do nosso Código, a PPG não pode usar uma doação para essa instituição de caridade na tentativa de influenciar o parceiro ou funcionário a fazer negócios conosco, garantir uma aprovação ou obter qualquer outra vantagem comercial imprópria.</w:t>
      </w:r>
    </w:p>
    <w:p w:rsidR="0085042C" w:rsidRDefault="002A0565" w:rsidP="00B21148">
      <w:pPr>
        <w:pStyle w:val="NormalWeb"/>
        <w:numPr>
          <w:ilvl w:val="0"/>
          <w:numId w:val="13"/>
        </w:numPr>
        <w:spacing w:before="0" w:beforeAutospacing="0" w:after="0" w:afterAutospacing="0"/>
        <w:ind w:left="540"/>
        <w:rPr>
          <w:rFonts w:ascii="Calibri" w:hAnsi="Calibri"/>
          <w:sz w:val="22"/>
          <w:szCs w:val="22"/>
        </w:rPr>
      </w:pPr>
      <w:r>
        <w:rPr>
          <w:rFonts w:ascii="Calibri" w:hAnsi="Calibri"/>
          <w:b/>
          <w:bCs/>
          <w:i/>
          <w:sz w:val="22"/>
          <w:szCs w:val="22"/>
        </w:rPr>
        <w:lastRenderedPageBreak/>
        <w:t>Contribuições políticas</w:t>
      </w:r>
      <w:r>
        <w:rPr>
          <w:rFonts w:ascii="Calibri" w:hAnsi="Calibri"/>
          <w:sz w:val="22"/>
          <w:szCs w:val="22"/>
        </w:rPr>
        <w:t>. A PPG apoia candidatos políticos por meio de estruturas aprovadas pela empresa, dentro dos requisitos das leis locais e com a aprovação do departamento de Assuntos Governamentais da PPG. Semelhante ao risco apresentado pelas contribuições de caridade</w:t>
      </w:r>
      <w:proofErr w:type="gramStart"/>
      <w:r>
        <w:rPr>
          <w:rFonts w:ascii="Calibri" w:hAnsi="Calibri"/>
          <w:sz w:val="22"/>
          <w:szCs w:val="22"/>
        </w:rPr>
        <w:t>, existe</w:t>
      </w:r>
      <w:proofErr w:type="gramEnd"/>
      <w:r>
        <w:rPr>
          <w:rFonts w:ascii="Calibri" w:hAnsi="Calibri"/>
          <w:sz w:val="22"/>
          <w:szCs w:val="22"/>
        </w:rPr>
        <w:t xml:space="preserve"> uma clara preocupação se forem feitas contribuições a um candidato ou partido político para influenciar indevidamente esse funcionário do governo ou parceiro de negócios.  Qualquer funcionário a quem tenha sido solicitado um pagamento, que não seja uma contribuição pessoal voluntária da campanha, para um funcionário do governo deve entrar em contato com o diretor de conformidade da PPG e com o departamento de Assuntos Governamentais da PPG.</w:t>
      </w:r>
    </w:p>
    <w:p w:rsidR="0085042C" w:rsidRDefault="0085042C" w:rsidP="00B21148">
      <w:pPr>
        <w:pStyle w:val="NormalWeb"/>
        <w:spacing w:before="0" w:beforeAutospacing="0" w:after="0" w:afterAutospacing="0"/>
        <w:ind w:left="540" w:hanging="360"/>
        <w:rPr>
          <w:rFonts w:ascii="Calibri" w:hAnsi="Calibri"/>
          <w:sz w:val="22"/>
          <w:szCs w:val="22"/>
        </w:rPr>
      </w:pPr>
    </w:p>
    <w:p w:rsidR="0085042C" w:rsidRDefault="0085042C">
      <w:pPr>
        <w:spacing w:before="0"/>
        <w:rPr>
          <w:rFonts w:asciiTheme="minorHAnsi" w:hAnsiTheme="minorHAnsi"/>
          <w:sz w:val="22"/>
          <w:szCs w:val="22"/>
          <w:u w:val="single"/>
        </w:rPr>
      </w:pPr>
    </w:p>
    <w:p w:rsidR="0085042C" w:rsidRDefault="002A0565" w:rsidP="00411E2B">
      <w:pPr>
        <w:spacing w:before="0"/>
        <w:jc w:val="center"/>
        <w:rPr>
          <w:rFonts w:asciiTheme="minorHAnsi" w:hAnsiTheme="minorHAnsi"/>
          <w:b/>
          <w:sz w:val="22"/>
          <w:szCs w:val="22"/>
          <w:u w:val="single"/>
        </w:rPr>
      </w:pPr>
      <w:r>
        <w:rPr>
          <w:rFonts w:asciiTheme="minorHAnsi" w:hAnsiTheme="minorHAnsi"/>
          <w:b/>
          <w:sz w:val="22"/>
          <w:szCs w:val="22"/>
          <w:u w:val="single"/>
        </w:rPr>
        <w:t>Consequências</w:t>
      </w:r>
    </w:p>
    <w:p w:rsidR="00AF084C" w:rsidRPr="00A55EC2" w:rsidRDefault="00AF084C" w:rsidP="00411E2B">
      <w:pPr>
        <w:spacing w:before="0"/>
        <w:jc w:val="center"/>
        <w:rPr>
          <w:rFonts w:asciiTheme="minorHAnsi" w:hAnsiTheme="minorHAnsi"/>
          <w:b/>
          <w:sz w:val="22"/>
          <w:szCs w:val="22"/>
          <w:u w:val="single"/>
        </w:rPr>
      </w:pPr>
    </w:p>
    <w:p w:rsidR="0085042C" w:rsidRDefault="002A0565" w:rsidP="008C3EBA">
      <w:pPr>
        <w:spacing w:before="0"/>
        <w:jc w:val="both"/>
        <w:rPr>
          <w:rFonts w:asciiTheme="minorHAnsi" w:hAnsiTheme="minorHAnsi"/>
          <w:sz w:val="22"/>
          <w:szCs w:val="22"/>
        </w:rPr>
      </w:pPr>
      <w:r>
        <w:rPr>
          <w:rFonts w:asciiTheme="minorHAnsi" w:hAnsiTheme="minorHAnsi"/>
          <w:sz w:val="22"/>
          <w:szCs w:val="22"/>
        </w:rPr>
        <w:t>Violações desta política e leis e regulamentos anticorrupção e antissuborno podem levar a severas penalidades criminais e/ou civis para a Empresa e para os indivíduos envolvidos.  É importante sempre agir de forma a evitar até mesmo uma aparente possível violação dessas restrições. As sanções financeiras de certas leis são ilimitadas e frequentemente ultrapassam vários milhões de dólares. Sanções penais para indivíduos podem resultar em dez anos ou mais de prisão, além de multas pessoais, que a PPG não pode pagar em seu nome.</w:t>
      </w:r>
    </w:p>
    <w:p w:rsidR="008C3EBA" w:rsidRDefault="008C3EBA" w:rsidP="008C3EBA">
      <w:pPr>
        <w:jc w:val="both"/>
        <w:rPr>
          <w:rFonts w:asciiTheme="minorHAnsi" w:hAnsiTheme="minorHAnsi"/>
          <w:sz w:val="22"/>
          <w:szCs w:val="22"/>
        </w:rPr>
      </w:pPr>
    </w:p>
    <w:p w:rsidR="0085042C" w:rsidRDefault="002A0565" w:rsidP="008C3EBA">
      <w:pPr>
        <w:jc w:val="both"/>
        <w:rPr>
          <w:rFonts w:asciiTheme="minorHAnsi" w:hAnsiTheme="minorHAnsi"/>
          <w:sz w:val="22"/>
          <w:szCs w:val="22"/>
        </w:rPr>
      </w:pPr>
      <w:proofErr w:type="gramStart"/>
      <w:r>
        <w:rPr>
          <w:rFonts w:asciiTheme="minorHAnsi" w:hAnsiTheme="minorHAnsi"/>
          <w:sz w:val="22"/>
          <w:szCs w:val="22"/>
        </w:rPr>
        <w:t>Qualquer violação desta Política ou destas leis e regulamentos pode resultar</w:t>
      </w:r>
      <w:proofErr w:type="gramEnd"/>
      <w:r>
        <w:rPr>
          <w:rFonts w:asciiTheme="minorHAnsi" w:hAnsiTheme="minorHAnsi"/>
          <w:sz w:val="22"/>
          <w:szCs w:val="22"/>
        </w:rPr>
        <w:t xml:space="preserve"> em ação disciplinar por parte da Empresa, incluindo demissão.  </w:t>
      </w:r>
    </w:p>
    <w:p w:rsidR="0085042C" w:rsidRDefault="0085042C">
      <w:pPr>
        <w:pStyle w:val="Default"/>
        <w:rPr>
          <w:rFonts w:asciiTheme="minorHAnsi" w:hAnsiTheme="minorHAnsi"/>
          <w:i/>
          <w:sz w:val="22"/>
          <w:szCs w:val="22"/>
        </w:rPr>
      </w:pPr>
    </w:p>
    <w:p w:rsidR="0085042C"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Monitoramento e revisão</w:t>
      </w:r>
    </w:p>
    <w:p w:rsidR="00AF084C" w:rsidRPr="00A55EC2" w:rsidRDefault="00AF084C" w:rsidP="00411E2B">
      <w:pPr>
        <w:pStyle w:val="Default"/>
        <w:jc w:val="center"/>
        <w:rPr>
          <w:rFonts w:asciiTheme="minorHAnsi" w:hAnsiTheme="minorHAnsi"/>
          <w:b/>
          <w:sz w:val="22"/>
          <w:szCs w:val="22"/>
          <w:u w:val="single"/>
        </w:rPr>
      </w:pPr>
    </w:p>
    <w:p w:rsidR="0085042C" w:rsidRDefault="00AF084C">
      <w:pPr>
        <w:pStyle w:val="Default"/>
        <w:rPr>
          <w:rFonts w:asciiTheme="minorHAnsi" w:hAnsiTheme="minorHAnsi"/>
          <w:b/>
          <w:sz w:val="22"/>
          <w:szCs w:val="22"/>
          <w:u w:val="single"/>
        </w:rPr>
      </w:pPr>
      <w:r>
        <w:rPr>
          <w:rFonts w:asciiTheme="minorHAnsi" w:hAnsiTheme="minorHAnsi"/>
          <w:sz w:val="22"/>
          <w:szCs w:val="22"/>
        </w:rPr>
        <w:t xml:space="preserve">A administração é responsável por estabelecer controles para garantir que seus negócios sejam realizados globalmente em conformidade com as políticas da PPG e com todas as leis e regulamentos aplicáveis. Os Serviços de auditoria corporativa da PPG monitorarão e revisarão regularmente a conformidade dos funcionários com esta Política, com os procedimentos relacionados e com as leis e regulamentos mencionados. </w:t>
      </w:r>
    </w:p>
    <w:p w:rsidR="0085042C" w:rsidRDefault="0085042C">
      <w:pPr>
        <w:pStyle w:val="Default"/>
        <w:rPr>
          <w:rFonts w:asciiTheme="minorHAnsi" w:hAnsiTheme="minorHAnsi"/>
          <w:b/>
          <w:sz w:val="22"/>
          <w:szCs w:val="22"/>
          <w:u w:val="single"/>
        </w:rPr>
      </w:pPr>
    </w:p>
    <w:p w:rsidR="0085042C" w:rsidRPr="00A55EC2" w:rsidRDefault="002A0565" w:rsidP="00411E2B">
      <w:pPr>
        <w:pStyle w:val="Default"/>
        <w:jc w:val="center"/>
        <w:rPr>
          <w:rFonts w:asciiTheme="minorHAnsi" w:hAnsiTheme="minorHAnsi"/>
          <w:b/>
          <w:sz w:val="22"/>
          <w:szCs w:val="22"/>
          <w:u w:val="single"/>
        </w:rPr>
      </w:pPr>
      <w:r>
        <w:rPr>
          <w:rFonts w:asciiTheme="minorHAnsi" w:hAnsiTheme="minorHAnsi"/>
          <w:b/>
          <w:sz w:val="22"/>
          <w:szCs w:val="22"/>
          <w:u w:val="single"/>
        </w:rPr>
        <w:t>Relatórios</w:t>
      </w:r>
    </w:p>
    <w:p w:rsidR="0085042C" w:rsidRDefault="002A0565">
      <w:pPr>
        <w:pStyle w:val="Default"/>
        <w:rPr>
          <w:sz w:val="22"/>
          <w:szCs w:val="22"/>
        </w:rPr>
      </w:pPr>
      <w:r>
        <w:t>Qualquer diretor, executivo ou funcionário da PPG e suas subsidiárias que suspeite ou conheça uma violação desta Política ou destas leis e regulamentos deve relatar as informações ao diretor de conformidade da PPG, ao consultor corporativo de ética e conformidade global da PPG, outro recurso identificado abaixo, ou através do “</w:t>
      </w:r>
      <w:hyperlink r:id="rId21" w:history="1">
        <w:r>
          <w:rPr>
            <w:rStyle w:val="Hiperligao"/>
            <w:sz w:val="22"/>
            <w:szCs w:val="22"/>
          </w:rPr>
          <w:t>Disque Ética</w:t>
        </w:r>
      </w:hyperlink>
      <w:r>
        <w:t>” da PPG de forma confidencial e anônima.</w:t>
      </w:r>
      <w:r>
        <w:rPr>
          <w:sz w:val="22"/>
          <w:szCs w:val="22"/>
        </w:rPr>
        <w:t xml:space="preserve">  </w:t>
      </w:r>
    </w:p>
    <w:p w:rsidR="0085042C" w:rsidRDefault="0085042C">
      <w:pPr>
        <w:pStyle w:val="Default"/>
        <w:rPr>
          <w:rFonts w:asciiTheme="minorHAnsi" w:hAnsiTheme="minorHAnsi"/>
          <w:i/>
          <w:sz w:val="22"/>
          <w:szCs w:val="22"/>
        </w:rPr>
      </w:pPr>
    </w:p>
    <w:p w:rsidR="0085042C" w:rsidRDefault="002A0565">
      <w:pPr>
        <w:pStyle w:val="Default"/>
        <w:rPr>
          <w:rFonts w:asciiTheme="minorHAnsi" w:hAnsiTheme="minorHAnsi"/>
          <w:b/>
          <w:sz w:val="22"/>
          <w:szCs w:val="22"/>
          <w:u w:val="single"/>
        </w:rPr>
      </w:pPr>
      <w:r>
        <w:rPr>
          <w:rFonts w:asciiTheme="minorHAnsi" w:hAnsiTheme="minorHAnsi"/>
          <w:b/>
          <w:sz w:val="22"/>
          <w:szCs w:val="22"/>
          <w:u w:val="single"/>
        </w:rPr>
        <w:t>Recursos</w:t>
      </w:r>
    </w:p>
    <w:p w:rsidR="0085042C" w:rsidRDefault="002A0565">
      <w:pPr>
        <w:pStyle w:val="Default"/>
        <w:rPr>
          <w:rFonts w:asciiTheme="minorHAnsi" w:hAnsiTheme="minorHAnsi"/>
          <w:sz w:val="22"/>
          <w:szCs w:val="22"/>
        </w:rPr>
      </w:pPr>
      <w:r>
        <w:rPr>
          <w:rFonts w:asciiTheme="minorHAnsi" w:hAnsiTheme="minorHAnsi"/>
          <w:sz w:val="22"/>
          <w:szCs w:val="22"/>
        </w:rPr>
        <w:t>Se você tiver alguma dúvida sobre esta Política ou as leis e regulamentos mencionados, entre em contato com:</w:t>
      </w:r>
    </w:p>
    <w:p w:rsidR="008C3EBA" w:rsidRPr="008C3EBA" w:rsidRDefault="002A0565" w:rsidP="008C3EBA">
      <w:pPr>
        <w:pStyle w:val="Default"/>
        <w:numPr>
          <w:ilvl w:val="0"/>
          <w:numId w:val="2"/>
        </w:numPr>
        <w:ind w:left="763"/>
        <w:contextualSpacing/>
        <w:rPr>
          <w:rFonts w:asciiTheme="minorHAnsi" w:hAnsiTheme="minorHAnsi"/>
          <w:b/>
          <w:sz w:val="22"/>
          <w:szCs w:val="22"/>
          <w:u w:val="single"/>
        </w:rPr>
      </w:pPr>
      <w:r>
        <w:rPr>
          <w:rFonts w:asciiTheme="minorHAnsi" w:hAnsiTheme="minorHAnsi"/>
          <w:i/>
          <w:sz w:val="22"/>
          <w:szCs w:val="22"/>
        </w:rPr>
        <w:t>Diretor de conformidade da PPG – EUA (412.434.3200)</w:t>
      </w:r>
    </w:p>
    <w:p w:rsidR="00411E2B" w:rsidRPr="00411E2B" w:rsidRDefault="00411E2B" w:rsidP="008C3EBA">
      <w:pPr>
        <w:pStyle w:val="PargrafodaLista"/>
        <w:numPr>
          <w:ilvl w:val="0"/>
          <w:numId w:val="2"/>
        </w:numPr>
        <w:spacing w:before="0"/>
        <w:ind w:left="763"/>
        <w:rPr>
          <w:rFonts w:asciiTheme="minorHAnsi" w:eastAsiaTheme="minorHAnsi" w:hAnsiTheme="minorHAnsi" w:cs="Calibri"/>
          <w:i/>
          <w:color w:val="000000"/>
          <w:sz w:val="22"/>
          <w:szCs w:val="22"/>
        </w:rPr>
      </w:pPr>
      <w:r>
        <w:rPr>
          <w:rFonts w:asciiTheme="minorHAnsi" w:hAnsiTheme="minorHAnsi"/>
          <w:i/>
          <w:color w:val="000000"/>
          <w:sz w:val="22"/>
          <w:szCs w:val="22"/>
        </w:rPr>
        <w:t>Consultor corporativo de ética e conformidade global da PPG (412.434.2434)</w:t>
      </w:r>
    </w:p>
    <w:p w:rsidR="0085042C" w:rsidRDefault="002A0565" w:rsidP="008C3EBA">
      <w:pPr>
        <w:pStyle w:val="Default"/>
        <w:numPr>
          <w:ilvl w:val="0"/>
          <w:numId w:val="2"/>
        </w:numPr>
        <w:contextualSpacing/>
        <w:rPr>
          <w:rFonts w:asciiTheme="minorHAnsi" w:hAnsiTheme="minorHAnsi"/>
          <w:b/>
          <w:sz w:val="22"/>
          <w:szCs w:val="22"/>
          <w:u w:val="single"/>
        </w:rPr>
      </w:pPr>
      <w:r>
        <w:rPr>
          <w:rFonts w:asciiTheme="minorHAnsi" w:hAnsiTheme="minorHAnsi"/>
          <w:i/>
          <w:sz w:val="22"/>
          <w:szCs w:val="22"/>
        </w:rPr>
        <w:t>Vice-presidente sênior da PPG e consultor geral – EUA (412.434.2471)</w:t>
      </w:r>
    </w:p>
    <w:p w:rsidR="0085042C" w:rsidRDefault="002A0565">
      <w:pPr>
        <w:pStyle w:val="Default"/>
        <w:numPr>
          <w:ilvl w:val="0"/>
          <w:numId w:val="2"/>
        </w:numPr>
        <w:rPr>
          <w:rFonts w:asciiTheme="minorHAnsi" w:hAnsiTheme="minorHAnsi"/>
          <w:b/>
          <w:sz w:val="22"/>
          <w:szCs w:val="22"/>
          <w:u w:val="single"/>
        </w:rPr>
      </w:pPr>
      <w:r>
        <w:rPr>
          <w:rFonts w:asciiTheme="minorHAnsi" w:hAnsiTheme="minorHAnsi"/>
          <w:i/>
          <w:sz w:val="22"/>
          <w:szCs w:val="22"/>
        </w:rPr>
        <w:t>Conselho regional da PPG:</w:t>
      </w:r>
    </w:p>
    <w:p w:rsidR="0085042C" w:rsidRDefault="002A0565" w:rsidP="003270D8">
      <w:pPr>
        <w:pStyle w:val="Default"/>
        <w:numPr>
          <w:ilvl w:val="1"/>
          <w:numId w:val="17"/>
        </w:numPr>
        <w:rPr>
          <w:rFonts w:asciiTheme="minorHAnsi" w:hAnsiTheme="minorHAnsi"/>
          <w:b/>
          <w:sz w:val="22"/>
          <w:szCs w:val="22"/>
          <w:u w:val="single"/>
        </w:rPr>
      </w:pPr>
      <w:r>
        <w:rPr>
          <w:rFonts w:asciiTheme="minorHAnsi" w:hAnsiTheme="minorHAnsi"/>
          <w:i/>
          <w:sz w:val="22"/>
          <w:szCs w:val="22"/>
        </w:rPr>
        <w:t>Consultor geral – Ásia-Pacífico (852.2860.4569)</w:t>
      </w:r>
    </w:p>
    <w:p w:rsidR="0085042C" w:rsidRDefault="002A0565" w:rsidP="003270D8">
      <w:pPr>
        <w:pStyle w:val="Default"/>
        <w:numPr>
          <w:ilvl w:val="1"/>
          <w:numId w:val="17"/>
        </w:numPr>
        <w:rPr>
          <w:rFonts w:asciiTheme="minorHAnsi" w:hAnsiTheme="minorHAnsi"/>
          <w:i/>
          <w:sz w:val="22"/>
          <w:szCs w:val="22"/>
        </w:rPr>
      </w:pPr>
      <w:r>
        <w:rPr>
          <w:rFonts w:asciiTheme="minorHAnsi" w:hAnsiTheme="minorHAnsi"/>
          <w:i/>
          <w:sz w:val="22"/>
          <w:szCs w:val="22"/>
        </w:rPr>
        <w:t xml:space="preserve">Consultor geral – </w:t>
      </w:r>
      <w:proofErr w:type="spellStart"/>
      <w:r>
        <w:rPr>
          <w:rFonts w:asciiTheme="minorHAnsi" w:hAnsiTheme="minorHAnsi"/>
          <w:i/>
          <w:sz w:val="22"/>
          <w:szCs w:val="22"/>
        </w:rPr>
        <w:t>EMEA</w:t>
      </w:r>
      <w:proofErr w:type="spellEnd"/>
      <w:r>
        <w:rPr>
          <w:rFonts w:asciiTheme="minorHAnsi" w:hAnsiTheme="minorHAnsi"/>
          <w:i/>
          <w:sz w:val="22"/>
          <w:szCs w:val="22"/>
        </w:rPr>
        <w:t xml:space="preserve"> (41.21.822.3011)</w:t>
      </w:r>
    </w:p>
    <w:p w:rsidR="0030096A" w:rsidRDefault="0030096A" w:rsidP="003270D8">
      <w:pPr>
        <w:pStyle w:val="Default"/>
        <w:numPr>
          <w:ilvl w:val="1"/>
          <w:numId w:val="17"/>
        </w:numPr>
        <w:rPr>
          <w:rFonts w:asciiTheme="minorHAnsi" w:hAnsiTheme="minorHAnsi"/>
          <w:i/>
          <w:sz w:val="22"/>
          <w:szCs w:val="22"/>
        </w:rPr>
      </w:pPr>
      <w:r>
        <w:rPr>
          <w:rFonts w:asciiTheme="minorHAnsi" w:hAnsiTheme="minorHAnsi"/>
          <w:i/>
          <w:sz w:val="22"/>
          <w:szCs w:val="22"/>
        </w:rPr>
        <w:t>Diretor jurídico – América do Sul (55 19 2103.6082)</w:t>
      </w:r>
    </w:p>
    <w:p w:rsidR="0085042C" w:rsidRDefault="003270D8" w:rsidP="003270D8">
      <w:pPr>
        <w:pStyle w:val="Default"/>
        <w:numPr>
          <w:ilvl w:val="1"/>
          <w:numId w:val="17"/>
        </w:numPr>
        <w:rPr>
          <w:rFonts w:asciiTheme="minorHAnsi" w:hAnsiTheme="minorHAnsi"/>
          <w:i/>
          <w:sz w:val="22"/>
          <w:szCs w:val="22"/>
        </w:rPr>
      </w:pPr>
      <w:r>
        <w:rPr>
          <w:rFonts w:asciiTheme="minorHAnsi" w:hAnsiTheme="minorHAnsi"/>
          <w:i/>
          <w:sz w:val="22"/>
          <w:szCs w:val="22"/>
        </w:rPr>
        <w:t>Diretor jurídico e de Conformidade – Norte da América Latina (52 55 5284.1779)</w:t>
      </w:r>
    </w:p>
    <w:sectPr w:rsidR="0085042C" w:rsidSect="0085042C">
      <w:footerReference w:type="default" r:id="rId22"/>
      <w:pgSz w:w="12240" w:h="15840"/>
      <w:pgMar w:top="135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1E" w:rsidRDefault="0020701E">
      <w:pPr>
        <w:spacing w:before="0"/>
      </w:pPr>
      <w:r>
        <w:separator/>
      </w:r>
    </w:p>
  </w:endnote>
  <w:endnote w:type="continuationSeparator" w:id="0">
    <w:p w:rsidR="0020701E" w:rsidRDefault="002070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9DC" w:rsidRDefault="00ED53A3">
    <w:pPr>
      <w:pStyle w:val="Rodap"/>
      <w:pBdr>
        <w:top w:val="thinThickSmallGap" w:sz="24" w:space="1" w:color="622423" w:themeColor="accent2" w:themeShade="7F"/>
      </w:pBdr>
      <w:rPr>
        <w:rFonts w:asciiTheme="majorHAnsi" w:hAnsiTheme="majorHAnsi"/>
      </w:rPr>
    </w:pPr>
    <w:proofErr w:type="spellStart"/>
    <w:r>
      <w:rPr>
        <w:rFonts w:asciiTheme="majorHAnsi" w:hAnsiTheme="majorHAnsi"/>
      </w:rPr>
      <w:t>Rev</w:t>
    </w:r>
    <w:proofErr w:type="spellEnd"/>
    <w:r>
      <w:rPr>
        <w:rFonts w:asciiTheme="majorHAnsi" w:hAnsiTheme="majorHAnsi"/>
      </w:rPr>
      <w:t xml:space="preserve"> 12/19</w:t>
    </w:r>
    <w:r>
      <w:rPr>
        <w:rFonts w:asciiTheme="majorHAnsi" w:hAnsiTheme="majorHAnsi"/>
      </w:rPr>
      <w:ptab w:relativeTo="margin" w:alignment="right" w:leader="none"/>
    </w:r>
    <w:r>
      <w:rPr>
        <w:rFonts w:asciiTheme="majorHAnsi" w:hAnsiTheme="majorHAnsi"/>
      </w:rPr>
      <w:t xml:space="preserve">Página </w:t>
    </w:r>
    <w:r w:rsidR="004C79DC">
      <w:fldChar w:fldCharType="begin"/>
    </w:r>
    <w:r w:rsidR="004C79DC">
      <w:instrText xml:space="preserve"> PAGE   \* MERGEFORMAT </w:instrText>
    </w:r>
    <w:r w:rsidR="004C79DC">
      <w:fldChar w:fldCharType="separate"/>
    </w:r>
    <w:r w:rsidR="00690FA3" w:rsidRPr="00690FA3">
      <w:rPr>
        <w:rFonts w:asciiTheme="majorHAnsi" w:hAnsiTheme="majorHAnsi"/>
        <w:noProof/>
      </w:rPr>
      <w:t>1</w:t>
    </w:r>
    <w:r w:rsidR="004C79DC">
      <w:rPr>
        <w:rFonts w:asciiTheme="majorHAnsi" w:hAnsiTheme="maj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1E" w:rsidRDefault="0020701E">
      <w:pPr>
        <w:spacing w:before="0"/>
      </w:pPr>
      <w:r>
        <w:separator/>
      </w:r>
    </w:p>
  </w:footnote>
  <w:footnote w:type="continuationSeparator" w:id="0">
    <w:p w:rsidR="0020701E" w:rsidRDefault="0020701E">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9pt;height:9pt" o:bullet="t">
        <v:imagedata r:id="rId1" o:title="art8ED"/>
      </v:shape>
    </w:pict>
  </w:numPicBullet>
  <w:abstractNum w:abstractNumId="0">
    <w:nsid w:val="08D62D33"/>
    <w:multiLevelType w:val="hybridMultilevel"/>
    <w:tmpl w:val="718C95D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07E42C1"/>
    <w:multiLevelType w:val="hybridMultilevel"/>
    <w:tmpl w:val="6380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C1D5C5A"/>
    <w:multiLevelType w:val="hybridMultilevel"/>
    <w:tmpl w:val="75D00B10"/>
    <w:lvl w:ilvl="0" w:tplc="CEA088DA">
      <w:start w:val="1"/>
      <w:numFmt w:val="bullet"/>
      <w:lvlText w:val="◦"/>
      <w:lvlJc w:val="left"/>
      <w:pPr>
        <w:tabs>
          <w:tab w:val="num" w:pos="720"/>
        </w:tabs>
        <w:ind w:left="720" w:hanging="360"/>
      </w:pPr>
      <w:rPr>
        <w:rFonts w:ascii="Verdana" w:hAnsi="Verdana" w:hint="default"/>
      </w:rPr>
    </w:lvl>
    <w:lvl w:ilvl="1" w:tplc="878A24A0">
      <w:start w:val="1"/>
      <w:numFmt w:val="bullet"/>
      <w:lvlText w:val="◦"/>
      <w:lvlJc w:val="left"/>
      <w:pPr>
        <w:tabs>
          <w:tab w:val="num" w:pos="1440"/>
        </w:tabs>
        <w:ind w:left="1440" w:hanging="360"/>
      </w:pPr>
      <w:rPr>
        <w:rFonts w:ascii="Verdana" w:hAnsi="Verdana" w:hint="default"/>
      </w:rPr>
    </w:lvl>
    <w:lvl w:ilvl="2" w:tplc="76A2A024" w:tentative="1">
      <w:start w:val="1"/>
      <w:numFmt w:val="bullet"/>
      <w:lvlText w:val="◦"/>
      <w:lvlJc w:val="left"/>
      <w:pPr>
        <w:tabs>
          <w:tab w:val="num" w:pos="2160"/>
        </w:tabs>
        <w:ind w:left="2160" w:hanging="360"/>
      </w:pPr>
      <w:rPr>
        <w:rFonts w:ascii="Verdana" w:hAnsi="Verdana" w:hint="default"/>
      </w:rPr>
    </w:lvl>
    <w:lvl w:ilvl="3" w:tplc="02E2DE54" w:tentative="1">
      <w:start w:val="1"/>
      <w:numFmt w:val="bullet"/>
      <w:lvlText w:val="◦"/>
      <w:lvlJc w:val="left"/>
      <w:pPr>
        <w:tabs>
          <w:tab w:val="num" w:pos="2880"/>
        </w:tabs>
        <w:ind w:left="2880" w:hanging="360"/>
      </w:pPr>
      <w:rPr>
        <w:rFonts w:ascii="Verdana" w:hAnsi="Verdana" w:hint="default"/>
      </w:rPr>
    </w:lvl>
    <w:lvl w:ilvl="4" w:tplc="FDDA35CC" w:tentative="1">
      <w:start w:val="1"/>
      <w:numFmt w:val="bullet"/>
      <w:lvlText w:val="◦"/>
      <w:lvlJc w:val="left"/>
      <w:pPr>
        <w:tabs>
          <w:tab w:val="num" w:pos="3600"/>
        </w:tabs>
        <w:ind w:left="3600" w:hanging="360"/>
      </w:pPr>
      <w:rPr>
        <w:rFonts w:ascii="Verdana" w:hAnsi="Verdana" w:hint="default"/>
      </w:rPr>
    </w:lvl>
    <w:lvl w:ilvl="5" w:tplc="59DE1134" w:tentative="1">
      <w:start w:val="1"/>
      <w:numFmt w:val="bullet"/>
      <w:lvlText w:val="◦"/>
      <w:lvlJc w:val="left"/>
      <w:pPr>
        <w:tabs>
          <w:tab w:val="num" w:pos="4320"/>
        </w:tabs>
        <w:ind w:left="4320" w:hanging="360"/>
      </w:pPr>
      <w:rPr>
        <w:rFonts w:ascii="Verdana" w:hAnsi="Verdana" w:hint="default"/>
      </w:rPr>
    </w:lvl>
    <w:lvl w:ilvl="6" w:tplc="3E78EF92" w:tentative="1">
      <w:start w:val="1"/>
      <w:numFmt w:val="bullet"/>
      <w:lvlText w:val="◦"/>
      <w:lvlJc w:val="left"/>
      <w:pPr>
        <w:tabs>
          <w:tab w:val="num" w:pos="5040"/>
        </w:tabs>
        <w:ind w:left="5040" w:hanging="360"/>
      </w:pPr>
      <w:rPr>
        <w:rFonts w:ascii="Verdana" w:hAnsi="Verdana" w:hint="default"/>
      </w:rPr>
    </w:lvl>
    <w:lvl w:ilvl="7" w:tplc="48A2E1D6" w:tentative="1">
      <w:start w:val="1"/>
      <w:numFmt w:val="bullet"/>
      <w:lvlText w:val="◦"/>
      <w:lvlJc w:val="left"/>
      <w:pPr>
        <w:tabs>
          <w:tab w:val="num" w:pos="5760"/>
        </w:tabs>
        <w:ind w:left="5760" w:hanging="360"/>
      </w:pPr>
      <w:rPr>
        <w:rFonts w:ascii="Verdana" w:hAnsi="Verdana" w:hint="default"/>
      </w:rPr>
    </w:lvl>
    <w:lvl w:ilvl="8" w:tplc="57B42F8E" w:tentative="1">
      <w:start w:val="1"/>
      <w:numFmt w:val="bullet"/>
      <w:lvlText w:val="◦"/>
      <w:lvlJc w:val="left"/>
      <w:pPr>
        <w:tabs>
          <w:tab w:val="num" w:pos="6480"/>
        </w:tabs>
        <w:ind w:left="6480" w:hanging="360"/>
      </w:pPr>
      <w:rPr>
        <w:rFonts w:ascii="Verdana" w:hAnsi="Verdana" w:hint="default"/>
      </w:rPr>
    </w:lvl>
  </w:abstractNum>
  <w:abstractNum w:abstractNumId="3">
    <w:nsid w:val="3F9E530B"/>
    <w:multiLevelType w:val="hybridMultilevel"/>
    <w:tmpl w:val="1B1C5306"/>
    <w:lvl w:ilvl="0" w:tplc="A1C0F5B0">
      <w:start w:val="1"/>
      <w:numFmt w:val="bullet"/>
      <w:lvlText w:val=""/>
      <w:lvlPicBulletId w:val="0"/>
      <w:lvlJc w:val="left"/>
      <w:pPr>
        <w:tabs>
          <w:tab w:val="num" w:pos="720"/>
        </w:tabs>
        <w:ind w:left="720" w:hanging="360"/>
      </w:pPr>
      <w:rPr>
        <w:rFonts w:ascii="Symbol" w:hAnsi="Symbol" w:hint="default"/>
      </w:rPr>
    </w:lvl>
    <w:lvl w:ilvl="1" w:tplc="E90E77A6">
      <w:start w:val="1"/>
      <w:numFmt w:val="bullet"/>
      <w:lvlText w:val=""/>
      <w:lvlPicBulletId w:val="0"/>
      <w:lvlJc w:val="left"/>
      <w:pPr>
        <w:tabs>
          <w:tab w:val="num" w:pos="1440"/>
        </w:tabs>
        <w:ind w:left="1440" w:hanging="360"/>
      </w:pPr>
      <w:rPr>
        <w:rFonts w:ascii="Symbol" w:hAnsi="Symbol" w:hint="default"/>
      </w:rPr>
    </w:lvl>
    <w:lvl w:ilvl="2" w:tplc="96FCC26C" w:tentative="1">
      <w:start w:val="1"/>
      <w:numFmt w:val="bullet"/>
      <w:lvlText w:val=""/>
      <w:lvlPicBulletId w:val="0"/>
      <w:lvlJc w:val="left"/>
      <w:pPr>
        <w:tabs>
          <w:tab w:val="num" w:pos="2160"/>
        </w:tabs>
        <w:ind w:left="2160" w:hanging="360"/>
      </w:pPr>
      <w:rPr>
        <w:rFonts w:ascii="Symbol" w:hAnsi="Symbol" w:hint="default"/>
      </w:rPr>
    </w:lvl>
    <w:lvl w:ilvl="3" w:tplc="297AA23C" w:tentative="1">
      <w:start w:val="1"/>
      <w:numFmt w:val="bullet"/>
      <w:lvlText w:val=""/>
      <w:lvlPicBulletId w:val="0"/>
      <w:lvlJc w:val="left"/>
      <w:pPr>
        <w:tabs>
          <w:tab w:val="num" w:pos="2880"/>
        </w:tabs>
        <w:ind w:left="2880" w:hanging="360"/>
      </w:pPr>
      <w:rPr>
        <w:rFonts w:ascii="Symbol" w:hAnsi="Symbol" w:hint="default"/>
      </w:rPr>
    </w:lvl>
    <w:lvl w:ilvl="4" w:tplc="5AF02C30" w:tentative="1">
      <w:start w:val="1"/>
      <w:numFmt w:val="bullet"/>
      <w:lvlText w:val=""/>
      <w:lvlPicBulletId w:val="0"/>
      <w:lvlJc w:val="left"/>
      <w:pPr>
        <w:tabs>
          <w:tab w:val="num" w:pos="3600"/>
        </w:tabs>
        <w:ind w:left="3600" w:hanging="360"/>
      </w:pPr>
      <w:rPr>
        <w:rFonts w:ascii="Symbol" w:hAnsi="Symbol" w:hint="default"/>
      </w:rPr>
    </w:lvl>
    <w:lvl w:ilvl="5" w:tplc="B7642A72" w:tentative="1">
      <w:start w:val="1"/>
      <w:numFmt w:val="bullet"/>
      <w:lvlText w:val=""/>
      <w:lvlPicBulletId w:val="0"/>
      <w:lvlJc w:val="left"/>
      <w:pPr>
        <w:tabs>
          <w:tab w:val="num" w:pos="4320"/>
        </w:tabs>
        <w:ind w:left="4320" w:hanging="360"/>
      </w:pPr>
      <w:rPr>
        <w:rFonts w:ascii="Symbol" w:hAnsi="Symbol" w:hint="default"/>
      </w:rPr>
    </w:lvl>
    <w:lvl w:ilvl="6" w:tplc="C2A85CE2" w:tentative="1">
      <w:start w:val="1"/>
      <w:numFmt w:val="bullet"/>
      <w:lvlText w:val=""/>
      <w:lvlPicBulletId w:val="0"/>
      <w:lvlJc w:val="left"/>
      <w:pPr>
        <w:tabs>
          <w:tab w:val="num" w:pos="5040"/>
        </w:tabs>
        <w:ind w:left="5040" w:hanging="360"/>
      </w:pPr>
      <w:rPr>
        <w:rFonts w:ascii="Symbol" w:hAnsi="Symbol" w:hint="default"/>
      </w:rPr>
    </w:lvl>
    <w:lvl w:ilvl="7" w:tplc="E18A06B6" w:tentative="1">
      <w:start w:val="1"/>
      <w:numFmt w:val="bullet"/>
      <w:lvlText w:val=""/>
      <w:lvlPicBulletId w:val="0"/>
      <w:lvlJc w:val="left"/>
      <w:pPr>
        <w:tabs>
          <w:tab w:val="num" w:pos="5760"/>
        </w:tabs>
        <w:ind w:left="5760" w:hanging="360"/>
      </w:pPr>
      <w:rPr>
        <w:rFonts w:ascii="Symbol" w:hAnsi="Symbol" w:hint="default"/>
      </w:rPr>
    </w:lvl>
    <w:lvl w:ilvl="8" w:tplc="DC6A83A6" w:tentative="1">
      <w:start w:val="1"/>
      <w:numFmt w:val="bullet"/>
      <w:lvlText w:val=""/>
      <w:lvlPicBulletId w:val="0"/>
      <w:lvlJc w:val="left"/>
      <w:pPr>
        <w:tabs>
          <w:tab w:val="num" w:pos="6480"/>
        </w:tabs>
        <w:ind w:left="6480" w:hanging="360"/>
      </w:pPr>
      <w:rPr>
        <w:rFonts w:ascii="Symbol" w:hAnsi="Symbol" w:hint="default"/>
      </w:rPr>
    </w:lvl>
  </w:abstractNum>
  <w:abstractNum w:abstractNumId="4">
    <w:nsid w:val="4D5D3908"/>
    <w:multiLevelType w:val="hybridMultilevel"/>
    <w:tmpl w:val="2AD0B15C"/>
    <w:lvl w:ilvl="0" w:tplc="AD7E4664">
      <w:start w:val="1"/>
      <w:numFmt w:val="bullet"/>
      <w:lvlText w:val="o"/>
      <w:lvlJc w:val="left"/>
      <w:pPr>
        <w:ind w:left="720" w:hanging="360"/>
      </w:pPr>
      <w:rPr>
        <w:rFonts w:ascii="Courier New" w:hAnsi="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1E2891"/>
    <w:multiLevelType w:val="hybridMultilevel"/>
    <w:tmpl w:val="60B69E3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nsid w:val="55C8311B"/>
    <w:multiLevelType w:val="hybridMultilevel"/>
    <w:tmpl w:val="127443C2"/>
    <w:lvl w:ilvl="0" w:tplc="E5BAB14A">
      <w:start w:val="1"/>
      <w:numFmt w:val="bullet"/>
      <w:lvlText w:val="•"/>
      <w:lvlJc w:val="left"/>
      <w:pPr>
        <w:tabs>
          <w:tab w:val="num" w:pos="720"/>
        </w:tabs>
        <w:ind w:left="720" w:hanging="360"/>
      </w:pPr>
      <w:rPr>
        <w:rFonts w:ascii="Times New Roman" w:hAnsi="Times New Roman" w:hint="default"/>
      </w:rPr>
    </w:lvl>
    <w:lvl w:ilvl="1" w:tplc="0D3E8562" w:tentative="1">
      <w:start w:val="1"/>
      <w:numFmt w:val="bullet"/>
      <w:lvlText w:val="•"/>
      <w:lvlJc w:val="left"/>
      <w:pPr>
        <w:tabs>
          <w:tab w:val="num" w:pos="1440"/>
        </w:tabs>
        <w:ind w:left="1440" w:hanging="360"/>
      </w:pPr>
      <w:rPr>
        <w:rFonts w:ascii="Times New Roman" w:hAnsi="Times New Roman" w:hint="default"/>
      </w:rPr>
    </w:lvl>
    <w:lvl w:ilvl="2" w:tplc="740C906C">
      <w:start w:val="1"/>
      <w:numFmt w:val="bullet"/>
      <w:lvlText w:val="•"/>
      <w:lvlJc w:val="left"/>
      <w:pPr>
        <w:tabs>
          <w:tab w:val="num" w:pos="2160"/>
        </w:tabs>
        <w:ind w:left="2160" w:hanging="360"/>
      </w:pPr>
      <w:rPr>
        <w:rFonts w:ascii="Times New Roman" w:hAnsi="Times New Roman" w:hint="default"/>
      </w:rPr>
    </w:lvl>
    <w:lvl w:ilvl="3" w:tplc="FF48FB78" w:tentative="1">
      <w:start w:val="1"/>
      <w:numFmt w:val="bullet"/>
      <w:lvlText w:val="•"/>
      <w:lvlJc w:val="left"/>
      <w:pPr>
        <w:tabs>
          <w:tab w:val="num" w:pos="2880"/>
        </w:tabs>
        <w:ind w:left="2880" w:hanging="360"/>
      </w:pPr>
      <w:rPr>
        <w:rFonts w:ascii="Times New Roman" w:hAnsi="Times New Roman" w:hint="default"/>
      </w:rPr>
    </w:lvl>
    <w:lvl w:ilvl="4" w:tplc="B3C2A850" w:tentative="1">
      <w:start w:val="1"/>
      <w:numFmt w:val="bullet"/>
      <w:lvlText w:val="•"/>
      <w:lvlJc w:val="left"/>
      <w:pPr>
        <w:tabs>
          <w:tab w:val="num" w:pos="3600"/>
        </w:tabs>
        <w:ind w:left="3600" w:hanging="360"/>
      </w:pPr>
      <w:rPr>
        <w:rFonts w:ascii="Times New Roman" w:hAnsi="Times New Roman" w:hint="default"/>
      </w:rPr>
    </w:lvl>
    <w:lvl w:ilvl="5" w:tplc="A18E6A48" w:tentative="1">
      <w:start w:val="1"/>
      <w:numFmt w:val="bullet"/>
      <w:lvlText w:val="•"/>
      <w:lvlJc w:val="left"/>
      <w:pPr>
        <w:tabs>
          <w:tab w:val="num" w:pos="4320"/>
        </w:tabs>
        <w:ind w:left="4320" w:hanging="360"/>
      </w:pPr>
      <w:rPr>
        <w:rFonts w:ascii="Times New Roman" w:hAnsi="Times New Roman" w:hint="default"/>
      </w:rPr>
    </w:lvl>
    <w:lvl w:ilvl="6" w:tplc="C2269FEC" w:tentative="1">
      <w:start w:val="1"/>
      <w:numFmt w:val="bullet"/>
      <w:lvlText w:val="•"/>
      <w:lvlJc w:val="left"/>
      <w:pPr>
        <w:tabs>
          <w:tab w:val="num" w:pos="5040"/>
        </w:tabs>
        <w:ind w:left="5040" w:hanging="360"/>
      </w:pPr>
      <w:rPr>
        <w:rFonts w:ascii="Times New Roman" w:hAnsi="Times New Roman" w:hint="default"/>
      </w:rPr>
    </w:lvl>
    <w:lvl w:ilvl="7" w:tplc="C276E484" w:tentative="1">
      <w:start w:val="1"/>
      <w:numFmt w:val="bullet"/>
      <w:lvlText w:val="•"/>
      <w:lvlJc w:val="left"/>
      <w:pPr>
        <w:tabs>
          <w:tab w:val="num" w:pos="5760"/>
        </w:tabs>
        <w:ind w:left="5760" w:hanging="360"/>
      </w:pPr>
      <w:rPr>
        <w:rFonts w:ascii="Times New Roman" w:hAnsi="Times New Roman" w:hint="default"/>
      </w:rPr>
    </w:lvl>
    <w:lvl w:ilvl="8" w:tplc="3F262A66" w:tentative="1">
      <w:start w:val="1"/>
      <w:numFmt w:val="bullet"/>
      <w:lvlText w:val="•"/>
      <w:lvlJc w:val="left"/>
      <w:pPr>
        <w:tabs>
          <w:tab w:val="num" w:pos="6480"/>
        </w:tabs>
        <w:ind w:left="6480" w:hanging="360"/>
      </w:pPr>
      <w:rPr>
        <w:rFonts w:ascii="Times New Roman" w:hAnsi="Times New Roman" w:hint="default"/>
      </w:rPr>
    </w:lvl>
  </w:abstractNum>
  <w:abstractNum w:abstractNumId="7">
    <w:nsid w:val="5C73743D"/>
    <w:multiLevelType w:val="hybridMultilevel"/>
    <w:tmpl w:val="2050E47E"/>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nsid w:val="5C9A51AB"/>
    <w:multiLevelType w:val="hybridMultilevel"/>
    <w:tmpl w:val="A4887D18"/>
    <w:lvl w:ilvl="0" w:tplc="80DA89A2">
      <w:start w:val="1"/>
      <w:numFmt w:val="bullet"/>
      <w:lvlText w:val=""/>
      <w:lvlPicBulletId w:val="0"/>
      <w:lvlJc w:val="left"/>
      <w:pPr>
        <w:tabs>
          <w:tab w:val="num" w:pos="720"/>
        </w:tabs>
        <w:ind w:left="720" w:hanging="360"/>
      </w:pPr>
      <w:rPr>
        <w:rFonts w:ascii="Symbol" w:hAnsi="Symbol" w:hint="default"/>
      </w:rPr>
    </w:lvl>
    <w:lvl w:ilvl="1" w:tplc="A99C3C62">
      <w:start w:val="1"/>
      <w:numFmt w:val="bullet"/>
      <w:lvlText w:val=""/>
      <w:lvlPicBulletId w:val="0"/>
      <w:lvlJc w:val="left"/>
      <w:pPr>
        <w:tabs>
          <w:tab w:val="num" w:pos="1440"/>
        </w:tabs>
        <w:ind w:left="1440" w:hanging="360"/>
      </w:pPr>
      <w:rPr>
        <w:rFonts w:ascii="Symbol" w:hAnsi="Symbol" w:hint="default"/>
      </w:rPr>
    </w:lvl>
    <w:lvl w:ilvl="2" w:tplc="E3D61570" w:tentative="1">
      <w:start w:val="1"/>
      <w:numFmt w:val="bullet"/>
      <w:lvlText w:val=""/>
      <w:lvlPicBulletId w:val="0"/>
      <w:lvlJc w:val="left"/>
      <w:pPr>
        <w:tabs>
          <w:tab w:val="num" w:pos="2160"/>
        </w:tabs>
        <w:ind w:left="2160" w:hanging="360"/>
      </w:pPr>
      <w:rPr>
        <w:rFonts w:ascii="Symbol" w:hAnsi="Symbol" w:hint="default"/>
      </w:rPr>
    </w:lvl>
    <w:lvl w:ilvl="3" w:tplc="D5B61DDE" w:tentative="1">
      <w:start w:val="1"/>
      <w:numFmt w:val="bullet"/>
      <w:lvlText w:val=""/>
      <w:lvlPicBulletId w:val="0"/>
      <w:lvlJc w:val="left"/>
      <w:pPr>
        <w:tabs>
          <w:tab w:val="num" w:pos="2880"/>
        </w:tabs>
        <w:ind w:left="2880" w:hanging="360"/>
      </w:pPr>
      <w:rPr>
        <w:rFonts w:ascii="Symbol" w:hAnsi="Symbol" w:hint="default"/>
      </w:rPr>
    </w:lvl>
    <w:lvl w:ilvl="4" w:tplc="441A03AE" w:tentative="1">
      <w:start w:val="1"/>
      <w:numFmt w:val="bullet"/>
      <w:lvlText w:val=""/>
      <w:lvlPicBulletId w:val="0"/>
      <w:lvlJc w:val="left"/>
      <w:pPr>
        <w:tabs>
          <w:tab w:val="num" w:pos="3600"/>
        </w:tabs>
        <w:ind w:left="3600" w:hanging="360"/>
      </w:pPr>
      <w:rPr>
        <w:rFonts w:ascii="Symbol" w:hAnsi="Symbol" w:hint="default"/>
      </w:rPr>
    </w:lvl>
    <w:lvl w:ilvl="5" w:tplc="80467C92" w:tentative="1">
      <w:start w:val="1"/>
      <w:numFmt w:val="bullet"/>
      <w:lvlText w:val=""/>
      <w:lvlPicBulletId w:val="0"/>
      <w:lvlJc w:val="left"/>
      <w:pPr>
        <w:tabs>
          <w:tab w:val="num" w:pos="4320"/>
        </w:tabs>
        <w:ind w:left="4320" w:hanging="360"/>
      </w:pPr>
      <w:rPr>
        <w:rFonts w:ascii="Symbol" w:hAnsi="Symbol" w:hint="default"/>
      </w:rPr>
    </w:lvl>
    <w:lvl w:ilvl="6" w:tplc="56C40046" w:tentative="1">
      <w:start w:val="1"/>
      <w:numFmt w:val="bullet"/>
      <w:lvlText w:val=""/>
      <w:lvlPicBulletId w:val="0"/>
      <w:lvlJc w:val="left"/>
      <w:pPr>
        <w:tabs>
          <w:tab w:val="num" w:pos="5040"/>
        </w:tabs>
        <w:ind w:left="5040" w:hanging="360"/>
      </w:pPr>
      <w:rPr>
        <w:rFonts w:ascii="Symbol" w:hAnsi="Symbol" w:hint="default"/>
      </w:rPr>
    </w:lvl>
    <w:lvl w:ilvl="7" w:tplc="CE5076F6" w:tentative="1">
      <w:start w:val="1"/>
      <w:numFmt w:val="bullet"/>
      <w:lvlText w:val=""/>
      <w:lvlPicBulletId w:val="0"/>
      <w:lvlJc w:val="left"/>
      <w:pPr>
        <w:tabs>
          <w:tab w:val="num" w:pos="5760"/>
        </w:tabs>
        <w:ind w:left="5760" w:hanging="360"/>
      </w:pPr>
      <w:rPr>
        <w:rFonts w:ascii="Symbol" w:hAnsi="Symbol" w:hint="default"/>
      </w:rPr>
    </w:lvl>
    <w:lvl w:ilvl="8" w:tplc="55A65964"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5FBB48F6"/>
    <w:multiLevelType w:val="hybridMultilevel"/>
    <w:tmpl w:val="9C66A0A2"/>
    <w:lvl w:ilvl="0" w:tplc="F77875A2">
      <w:start w:val="1"/>
      <w:numFmt w:val="bullet"/>
      <w:lvlText w:val="◦"/>
      <w:lvlJc w:val="left"/>
      <w:pPr>
        <w:tabs>
          <w:tab w:val="num" w:pos="720"/>
        </w:tabs>
        <w:ind w:left="720" w:hanging="360"/>
      </w:pPr>
      <w:rPr>
        <w:rFonts w:ascii="Verdana" w:hAnsi="Verdana" w:hint="default"/>
      </w:rPr>
    </w:lvl>
    <w:lvl w:ilvl="1" w:tplc="397488FA">
      <w:start w:val="1"/>
      <w:numFmt w:val="bullet"/>
      <w:lvlText w:val="◦"/>
      <w:lvlJc w:val="left"/>
      <w:pPr>
        <w:tabs>
          <w:tab w:val="num" w:pos="1440"/>
        </w:tabs>
        <w:ind w:left="1440" w:hanging="360"/>
      </w:pPr>
      <w:rPr>
        <w:rFonts w:ascii="Verdana" w:hAnsi="Verdana" w:hint="default"/>
      </w:rPr>
    </w:lvl>
    <w:lvl w:ilvl="2" w:tplc="7B9EEFE4" w:tentative="1">
      <w:start w:val="1"/>
      <w:numFmt w:val="bullet"/>
      <w:lvlText w:val="◦"/>
      <w:lvlJc w:val="left"/>
      <w:pPr>
        <w:tabs>
          <w:tab w:val="num" w:pos="2160"/>
        </w:tabs>
        <w:ind w:left="2160" w:hanging="360"/>
      </w:pPr>
      <w:rPr>
        <w:rFonts w:ascii="Verdana" w:hAnsi="Verdana" w:hint="default"/>
      </w:rPr>
    </w:lvl>
    <w:lvl w:ilvl="3" w:tplc="97ECDD54" w:tentative="1">
      <w:start w:val="1"/>
      <w:numFmt w:val="bullet"/>
      <w:lvlText w:val="◦"/>
      <w:lvlJc w:val="left"/>
      <w:pPr>
        <w:tabs>
          <w:tab w:val="num" w:pos="2880"/>
        </w:tabs>
        <w:ind w:left="2880" w:hanging="360"/>
      </w:pPr>
      <w:rPr>
        <w:rFonts w:ascii="Verdana" w:hAnsi="Verdana" w:hint="default"/>
      </w:rPr>
    </w:lvl>
    <w:lvl w:ilvl="4" w:tplc="A492EFD0" w:tentative="1">
      <w:start w:val="1"/>
      <w:numFmt w:val="bullet"/>
      <w:lvlText w:val="◦"/>
      <w:lvlJc w:val="left"/>
      <w:pPr>
        <w:tabs>
          <w:tab w:val="num" w:pos="3600"/>
        </w:tabs>
        <w:ind w:left="3600" w:hanging="360"/>
      </w:pPr>
      <w:rPr>
        <w:rFonts w:ascii="Verdana" w:hAnsi="Verdana" w:hint="default"/>
      </w:rPr>
    </w:lvl>
    <w:lvl w:ilvl="5" w:tplc="B5981B6C" w:tentative="1">
      <w:start w:val="1"/>
      <w:numFmt w:val="bullet"/>
      <w:lvlText w:val="◦"/>
      <w:lvlJc w:val="left"/>
      <w:pPr>
        <w:tabs>
          <w:tab w:val="num" w:pos="4320"/>
        </w:tabs>
        <w:ind w:left="4320" w:hanging="360"/>
      </w:pPr>
      <w:rPr>
        <w:rFonts w:ascii="Verdana" w:hAnsi="Verdana" w:hint="default"/>
      </w:rPr>
    </w:lvl>
    <w:lvl w:ilvl="6" w:tplc="8460BD02" w:tentative="1">
      <w:start w:val="1"/>
      <w:numFmt w:val="bullet"/>
      <w:lvlText w:val="◦"/>
      <w:lvlJc w:val="left"/>
      <w:pPr>
        <w:tabs>
          <w:tab w:val="num" w:pos="5040"/>
        </w:tabs>
        <w:ind w:left="5040" w:hanging="360"/>
      </w:pPr>
      <w:rPr>
        <w:rFonts w:ascii="Verdana" w:hAnsi="Verdana" w:hint="default"/>
      </w:rPr>
    </w:lvl>
    <w:lvl w:ilvl="7" w:tplc="6BE82642" w:tentative="1">
      <w:start w:val="1"/>
      <w:numFmt w:val="bullet"/>
      <w:lvlText w:val="◦"/>
      <w:lvlJc w:val="left"/>
      <w:pPr>
        <w:tabs>
          <w:tab w:val="num" w:pos="5760"/>
        </w:tabs>
        <w:ind w:left="5760" w:hanging="360"/>
      </w:pPr>
      <w:rPr>
        <w:rFonts w:ascii="Verdana" w:hAnsi="Verdana" w:hint="default"/>
      </w:rPr>
    </w:lvl>
    <w:lvl w:ilvl="8" w:tplc="3FE81E12" w:tentative="1">
      <w:start w:val="1"/>
      <w:numFmt w:val="bullet"/>
      <w:lvlText w:val="◦"/>
      <w:lvlJc w:val="left"/>
      <w:pPr>
        <w:tabs>
          <w:tab w:val="num" w:pos="6480"/>
        </w:tabs>
        <w:ind w:left="6480" w:hanging="360"/>
      </w:pPr>
      <w:rPr>
        <w:rFonts w:ascii="Verdana" w:hAnsi="Verdana" w:hint="default"/>
      </w:rPr>
    </w:lvl>
  </w:abstractNum>
  <w:abstractNum w:abstractNumId="10">
    <w:nsid w:val="69F1114A"/>
    <w:multiLevelType w:val="hybridMultilevel"/>
    <w:tmpl w:val="DB2E2CDE"/>
    <w:lvl w:ilvl="0" w:tplc="C1F2F4F8">
      <w:start w:val="1"/>
      <w:numFmt w:val="bullet"/>
      <w:lvlText w:val=""/>
      <w:lvlJc w:val="left"/>
      <w:pPr>
        <w:tabs>
          <w:tab w:val="num" w:pos="720"/>
        </w:tabs>
        <w:ind w:left="720" w:hanging="360"/>
      </w:pPr>
      <w:rPr>
        <w:rFonts w:ascii="Wingdings 3" w:hAnsi="Wingdings 3" w:hint="default"/>
      </w:rPr>
    </w:lvl>
    <w:lvl w:ilvl="1" w:tplc="8DD832F6" w:tentative="1">
      <w:start w:val="1"/>
      <w:numFmt w:val="bullet"/>
      <w:lvlText w:val=""/>
      <w:lvlJc w:val="left"/>
      <w:pPr>
        <w:tabs>
          <w:tab w:val="num" w:pos="1440"/>
        </w:tabs>
        <w:ind w:left="1440" w:hanging="360"/>
      </w:pPr>
      <w:rPr>
        <w:rFonts w:ascii="Wingdings 3" w:hAnsi="Wingdings 3" w:hint="default"/>
      </w:rPr>
    </w:lvl>
    <w:lvl w:ilvl="2" w:tplc="789A0D6C" w:tentative="1">
      <w:start w:val="1"/>
      <w:numFmt w:val="bullet"/>
      <w:lvlText w:val=""/>
      <w:lvlJc w:val="left"/>
      <w:pPr>
        <w:tabs>
          <w:tab w:val="num" w:pos="2160"/>
        </w:tabs>
        <w:ind w:left="2160" w:hanging="360"/>
      </w:pPr>
      <w:rPr>
        <w:rFonts w:ascii="Wingdings 3" w:hAnsi="Wingdings 3" w:hint="default"/>
      </w:rPr>
    </w:lvl>
    <w:lvl w:ilvl="3" w:tplc="4120F36E" w:tentative="1">
      <w:start w:val="1"/>
      <w:numFmt w:val="bullet"/>
      <w:lvlText w:val=""/>
      <w:lvlJc w:val="left"/>
      <w:pPr>
        <w:tabs>
          <w:tab w:val="num" w:pos="2880"/>
        </w:tabs>
        <w:ind w:left="2880" w:hanging="360"/>
      </w:pPr>
      <w:rPr>
        <w:rFonts w:ascii="Wingdings 3" w:hAnsi="Wingdings 3" w:hint="default"/>
      </w:rPr>
    </w:lvl>
    <w:lvl w:ilvl="4" w:tplc="6A3CE210" w:tentative="1">
      <w:start w:val="1"/>
      <w:numFmt w:val="bullet"/>
      <w:lvlText w:val=""/>
      <w:lvlJc w:val="left"/>
      <w:pPr>
        <w:tabs>
          <w:tab w:val="num" w:pos="3600"/>
        </w:tabs>
        <w:ind w:left="3600" w:hanging="360"/>
      </w:pPr>
      <w:rPr>
        <w:rFonts w:ascii="Wingdings 3" w:hAnsi="Wingdings 3" w:hint="default"/>
      </w:rPr>
    </w:lvl>
    <w:lvl w:ilvl="5" w:tplc="13FADC70" w:tentative="1">
      <w:start w:val="1"/>
      <w:numFmt w:val="bullet"/>
      <w:lvlText w:val=""/>
      <w:lvlJc w:val="left"/>
      <w:pPr>
        <w:tabs>
          <w:tab w:val="num" w:pos="4320"/>
        </w:tabs>
        <w:ind w:left="4320" w:hanging="360"/>
      </w:pPr>
      <w:rPr>
        <w:rFonts w:ascii="Wingdings 3" w:hAnsi="Wingdings 3" w:hint="default"/>
      </w:rPr>
    </w:lvl>
    <w:lvl w:ilvl="6" w:tplc="40FA3886" w:tentative="1">
      <w:start w:val="1"/>
      <w:numFmt w:val="bullet"/>
      <w:lvlText w:val=""/>
      <w:lvlJc w:val="left"/>
      <w:pPr>
        <w:tabs>
          <w:tab w:val="num" w:pos="5040"/>
        </w:tabs>
        <w:ind w:left="5040" w:hanging="360"/>
      </w:pPr>
      <w:rPr>
        <w:rFonts w:ascii="Wingdings 3" w:hAnsi="Wingdings 3" w:hint="default"/>
      </w:rPr>
    </w:lvl>
    <w:lvl w:ilvl="7" w:tplc="BE320A02" w:tentative="1">
      <w:start w:val="1"/>
      <w:numFmt w:val="bullet"/>
      <w:lvlText w:val=""/>
      <w:lvlJc w:val="left"/>
      <w:pPr>
        <w:tabs>
          <w:tab w:val="num" w:pos="5760"/>
        </w:tabs>
        <w:ind w:left="5760" w:hanging="360"/>
      </w:pPr>
      <w:rPr>
        <w:rFonts w:ascii="Wingdings 3" w:hAnsi="Wingdings 3" w:hint="default"/>
      </w:rPr>
    </w:lvl>
    <w:lvl w:ilvl="8" w:tplc="458A39B8" w:tentative="1">
      <w:start w:val="1"/>
      <w:numFmt w:val="bullet"/>
      <w:lvlText w:val=""/>
      <w:lvlJc w:val="left"/>
      <w:pPr>
        <w:tabs>
          <w:tab w:val="num" w:pos="6480"/>
        </w:tabs>
        <w:ind w:left="6480" w:hanging="360"/>
      </w:pPr>
      <w:rPr>
        <w:rFonts w:ascii="Wingdings 3" w:hAnsi="Wingdings 3" w:hint="default"/>
      </w:rPr>
    </w:lvl>
  </w:abstractNum>
  <w:abstractNum w:abstractNumId="11">
    <w:nsid w:val="72C366AB"/>
    <w:multiLevelType w:val="hybridMultilevel"/>
    <w:tmpl w:val="00E25980"/>
    <w:lvl w:ilvl="0" w:tplc="3D9C144C">
      <w:numFmt w:val="bullet"/>
      <w:lvlText w:val="-"/>
      <w:lvlJc w:val="left"/>
      <w:pPr>
        <w:ind w:left="720" w:hanging="360"/>
      </w:pPr>
      <w:rPr>
        <w:rFonts w:ascii="Tahoma" w:eastAsia="Calibri"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778D2606"/>
    <w:multiLevelType w:val="hybridMultilevel"/>
    <w:tmpl w:val="FD3C8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9FD2C5D"/>
    <w:multiLevelType w:val="hybridMultilevel"/>
    <w:tmpl w:val="65642658"/>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num w:numId="1">
    <w:abstractNumId w:val="7"/>
  </w:num>
  <w:num w:numId="2">
    <w:abstractNumId w:val="5"/>
  </w:num>
  <w:num w:numId="3">
    <w:abstractNumId w:val="6"/>
  </w:num>
  <w:num w:numId="4">
    <w:abstractNumId w:val="10"/>
  </w:num>
  <w:num w:numId="5">
    <w:abstractNumId w:val="8"/>
  </w:num>
  <w:num w:numId="6">
    <w:abstractNumId w:val="3"/>
  </w:num>
  <w:num w:numId="7">
    <w:abstractNumId w:val="2"/>
  </w:num>
  <w:num w:numId="8">
    <w:abstractNumId w:val="9"/>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42C"/>
    <w:rsid w:val="0010137D"/>
    <w:rsid w:val="001023E7"/>
    <w:rsid w:val="001B70A7"/>
    <w:rsid w:val="001F44D4"/>
    <w:rsid w:val="001F59D3"/>
    <w:rsid w:val="002009CC"/>
    <w:rsid w:val="00201E84"/>
    <w:rsid w:val="0020701E"/>
    <w:rsid w:val="002A0565"/>
    <w:rsid w:val="002C4D14"/>
    <w:rsid w:val="002C689C"/>
    <w:rsid w:val="002F6302"/>
    <w:rsid w:val="0030096A"/>
    <w:rsid w:val="00301743"/>
    <w:rsid w:val="00302DF2"/>
    <w:rsid w:val="003270D8"/>
    <w:rsid w:val="003477D5"/>
    <w:rsid w:val="0034795A"/>
    <w:rsid w:val="003821E3"/>
    <w:rsid w:val="003B7A3B"/>
    <w:rsid w:val="003E2ED3"/>
    <w:rsid w:val="003F53E9"/>
    <w:rsid w:val="003F5BF6"/>
    <w:rsid w:val="00411E2B"/>
    <w:rsid w:val="004534BC"/>
    <w:rsid w:val="004A7148"/>
    <w:rsid w:val="004C79DC"/>
    <w:rsid w:val="004E1F0A"/>
    <w:rsid w:val="004E359F"/>
    <w:rsid w:val="00504F8B"/>
    <w:rsid w:val="005A6891"/>
    <w:rsid w:val="005B3B81"/>
    <w:rsid w:val="005D4D1B"/>
    <w:rsid w:val="005F19D4"/>
    <w:rsid w:val="00670AE0"/>
    <w:rsid w:val="00690FA3"/>
    <w:rsid w:val="00764DF4"/>
    <w:rsid w:val="007802EF"/>
    <w:rsid w:val="007B5071"/>
    <w:rsid w:val="00815680"/>
    <w:rsid w:val="00844DDF"/>
    <w:rsid w:val="0085042C"/>
    <w:rsid w:val="008C3EBA"/>
    <w:rsid w:val="00902A82"/>
    <w:rsid w:val="00915FB0"/>
    <w:rsid w:val="00985CFB"/>
    <w:rsid w:val="009F420F"/>
    <w:rsid w:val="00A47E7A"/>
    <w:rsid w:val="00A55EC2"/>
    <w:rsid w:val="00A957D3"/>
    <w:rsid w:val="00AA7101"/>
    <w:rsid w:val="00AC350E"/>
    <w:rsid w:val="00AC37DC"/>
    <w:rsid w:val="00AD5545"/>
    <w:rsid w:val="00AF084C"/>
    <w:rsid w:val="00B05D5A"/>
    <w:rsid w:val="00B21148"/>
    <w:rsid w:val="00B5431E"/>
    <w:rsid w:val="00BF33FD"/>
    <w:rsid w:val="00C54B31"/>
    <w:rsid w:val="00C613B2"/>
    <w:rsid w:val="00D07999"/>
    <w:rsid w:val="00D10839"/>
    <w:rsid w:val="00D33939"/>
    <w:rsid w:val="00D73F88"/>
    <w:rsid w:val="00D93250"/>
    <w:rsid w:val="00DA425F"/>
    <w:rsid w:val="00DB76C7"/>
    <w:rsid w:val="00E00542"/>
    <w:rsid w:val="00E05FB7"/>
    <w:rsid w:val="00E95A14"/>
    <w:rsid w:val="00EB7D4D"/>
    <w:rsid w:val="00ED53A3"/>
    <w:rsid w:val="00F30C7E"/>
    <w:rsid w:val="00FF3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F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TextodebaloCarcter">
    <w:name w:val="Texto de balão Carácter"/>
    <w:basedOn w:val="Tipodeletrapredefinidodopargrafo"/>
    <w:link w:val="Textodebalo"/>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PargrafodaLista">
    <w:name w:val="List Paragraph"/>
    <w:basedOn w:val="Normal"/>
    <w:uiPriority w:val="34"/>
    <w:qFormat/>
    <w:rsid w:val="0085042C"/>
    <w:pPr>
      <w:ind w:left="720"/>
      <w:contextualSpacing/>
    </w:pPr>
  </w:style>
  <w:style w:type="paragraph" w:styleId="Cabealho">
    <w:name w:val="header"/>
    <w:basedOn w:val="Normal"/>
    <w:link w:val="CabealhoCarcter"/>
    <w:uiPriority w:val="99"/>
    <w:unhideWhenUsed/>
    <w:rsid w:val="0085042C"/>
    <w:pPr>
      <w:tabs>
        <w:tab w:val="center" w:pos="4680"/>
        <w:tab w:val="right" w:pos="9360"/>
      </w:tabs>
      <w:spacing w:before="0"/>
    </w:pPr>
  </w:style>
  <w:style w:type="character" w:customStyle="1" w:styleId="CabealhoCarcter">
    <w:name w:val="Cabeçalho Carácter"/>
    <w:basedOn w:val="Tipodeletrapredefinidodopargrafo"/>
    <w:link w:val="Cabealho"/>
    <w:uiPriority w:val="99"/>
    <w:rsid w:val="0085042C"/>
    <w:rPr>
      <w:rFonts w:ascii="Times New Roman" w:eastAsia="Times New Roman" w:hAnsi="Times New Roman" w:cs="Times New Roman"/>
      <w:sz w:val="20"/>
      <w:szCs w:val="20"/>
    </w:rPr>
  </w:style>
  <w:style w:type="paragraph" w:styleId="Rodap">
    <w:name w:val="footer"/>
    <w:basedOn w:val="Normal"/>
    <w:link w:val="RodapCarcter"/>
    <w:uiPriority w:val="99"/>
    <w:unhideWhenUsed/>
    <w:rsid w:val="0085042C"/>
    <w:pPr>
      <w:tabs>
        <w:tab w:val="center" w:pos="4680"/>
        <w:tab w:val="right" w:pos="9360"/>
      </w:tabs>
      <w:spacing w:before="0"/>
    </w:pPr>
  </w:style>
  <w:style w:type="character" w:customStyle="1" w:styleId="RodapCarcter">
    <w:name w:val="Rodapé Carácter"/>
    <w:basedOn w:val="Tipodeletrapredefinidodopargrafo"/>
    <w:link w:val="Rodap"/>
    <w:uiPriority w:val="99"/>
    <w:rsid w:val="0085042C"/>
    <w:rPr>
      <w:rFonts w:ascii="Times New Roman" w:eastAsia="Times New Roman" w:hAnsi="Times New Roman" w:cs="Times New Roman"/>
      <w:sz w:val="20"/>
      <w:szCs w:val="20"/>
    </w:rPr>
  </w:style>
  <w:style w:type="character" w:styleId="Hiperligao">
    <w:name w:val="Hyperlink"/>
    <w:basedOn w:val="Tipodeletrapredefinidodopargrafo"/>
    <w:uiPriority w:val="99"/>
    <w:unhideWhenUsed/>
    <w:rsid w:val="0085042C"/>
    <w:rPr>
      <w:color w:val="0000FF" w:themeColor="hyperlink"/>
      <w:u w:val="single"/>
    </w:rPr>
  </w:style>
  <w:style w:type="character" w:styleId="Refdecomentrio">
    <w:name w:val="annotation reference"/>
    <w:basedOn w:val="Tipodeletrapredefinidodopargrafo"/>
    <w:uiPriority w:val="99"/>
    <w:semiHidden/>
    <w:unhideWhenUsed/>
    <w:rsid w:val="001F44D4"/>
    <w:rPr>
      <w:sz w:val="16"/>
      <w:szCs w:val="16"/>
    </w:rPr>
  </w:style>
  <w:style w:type="paragraph" w:styleId="Textodecomentrio">
    <w:name w:val="annotation text"/>
    <w:basedOn w:val="Normal"/>
    <w:link w:val="TextodecomentrioCarcter"/>
    <w:uiPriority w:val="99"/>
    <w:semiHidden/>
    <w:unhideWhenUsed/>
    <w:rsid w:val="001F44D4"/>
  </w:style>
  <w:style w:type="character" w:customStyle="1" w:styleId="TextodecomentrioCarcter">
    <w:name w:val="Texto de comentário Carácter"/>
    <w:basedOn w:val="Tipodeletrapredefinidodopargrafo"/>
    <w:link w:val="Textodecomentrio"/>
    <w:uiPriority w:val="99"/>
    <w:semiHidden/>
    <w:rsid w:val="001F44D4"/>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cter"/>
    <w:uiPriority w:val="99"/>
    <w:semiHidden/>
    <w:unhideWhenUsed/>
    <w:rsid w:val="001F44D4"/>
    <w:rPr>
      <w:b/>
      <w:bCs/>
    </w:rPr>
  </w:style>
  <w:style w:type="character" w:customStyle="1" w:styleId="AssuntodecomentrioCarcter">
    <w:name w:val="Assunto de comentário Carácter"/>
    <w:basedOn w:val="TextodecomentrioCarcter"/>
    <w:link w:val="Assuntodecomentrio"/>
    <w:uiPriority w:val="99"/>
    <w:semiHidden/>
    <w:rsid w:val="001F44D4"/>
    <w:rPr>
      <w:rFonts w:ascii="Times New Roman" w:eastAsia="Times New Roman" w:hAnsi="Times New Roman" w:cs="Times New Roman"/>
      <w:b/>
      <w:bCs/>
      <w:sz w:val="20"/>
      <w:szCs w:val="20"/>
    </w:rPr>
  </w:style>
  <w:style w:type="character" w:styleId="Hiperligaovisitada">
    <w:name w:val="FollowedHyperlink"/>
    <w:basedOn w:val="Tipodeletrapredefinidodopargrafo"/>
    <w:uiPriority w:val="99"/>
    <w:semiHidden/>
    <w:unhideWhenUsed/>
    <w:rsid w:val="003477D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42C"/>
    <w:pPr>
      <w:autoSpaceDE w:val="0"/>
      <w:autoSpaceDN w:val="0"/>
      <w:adjustRightInd w:val="0"/>
      <w:spacing w:before="80" w:after="0" w:line="240" w:lineRule="auto"/>
    </w:pPr>
    <w:rPr>
      <w:rFonts w:ascii="Times New Roman" w:eastAsia="Times New Roman" w:hAnsi="Times New Roman" w:cs="Times New Roman"/>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5042C"/>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arcter"/>
    <w:uiPriority w:val="99"/>
    <w:semiHidden/>
    <w:unhideWhenUsed/>
    <w:rsid w:val="0085042C"/>
    <w:pPr>
      <w:autoSpaceDE/>
      <w:autoSpaceDN/>
      <w:adjustRightInd/>
      <w:spacing w:before="0"/>
    </w:pPr>
    <w:rPr>
      <w:rFonts w:ascii="Tahoma" w:eastAsiaTheme="minorHAnsi" w:hAnsi="Tahoma" w:cs="Tahoma"/>
      <w:sz w:val="16"/>
      <w:szCs w:val="16"/>
    </w:rPr>
  </w:style>
  <w:style w:type="character" w:customStyle="1" w:styleId="TextodebaloCarcter">
    <w:name w:val="Texto de balão Carácter"/>
    <w:basedOn w:val="Tipodeletrapredefinidodopargrafo"/>
    <w:link w:val="Textodebalo"/>
    <w:uiPriority w:val="99"/>
    <w:semiHidden/>
    <w:rsid w:val="0085042C"/>
    <w:rPr>
      <w:rFonts w:ascii="Tahoma" w:hAnsi="Tahoma" w:cs="Tahoma"/>
      <w:sz w:val="16"/>
      <w:szCs w:val="16"/>
    </w:rPr>
  </w:style>
  <w:style w:type="paragraph" w:styleId="NormalWeb">
    <w:name w:val="Normal (Web)"/>
    <w:basedOn w:val="Normal"/>
    <w:uiPriority w:val="99"/>
    <w:unhideWhenUsed/>
    <w:rsid w:val="0085042C"/>
    <w:pPr>
      <w:autoSpaceDE/>
      <w:autoSpaceDN/>
      <w:adjustRightInd/>
      <w:spacing w:before="100" w:beforeAutospacing="1" w:after="100" w:afterAutospacing="1"/>
    </w:pPr>
    <w:rPr>
      <w:sz w:val="24"/>
      <w:szCs w:val="24"/>
    </w:rPr>
  </w:style>
  <w:style w:type="paragraph" w:styleId="PargrafodaLista">
    <w:name w:val="List Paragraph"/>
    <w:basedOn w:val="Normal"/>
    <w:uiPriority w:val="34"/>
    <w:qFormat/>
    <w:rsid w:val="0085042C"/>
    <w:pPr>
      <w:ind w:left="720"/>
      <w:contextualSpacing/>
    </w:pPr>
  </w:style>
  <w:style w:type="paragraph" w:styleId="Cabealho">
    <w:name w:val="header"/>
    <w:basedOn w:val="Normal"/>
    <w:link w:val="CabealhoCarcter"/>
    <w:uiPriority w:val="99"/>
    <w:unhideWhenUsed/>
    <w:rsid w:val="0085042C"/>
    <w:pPr>
      <w:tabs>
        <w:tab w:val="center" w:pos="4680"/>
        <w:tab w:val="right" w:pos="9360"/>
      </w:tabs>
      <w:spacing w:before="0"/>
    </w:pPr>
  </w:style>
  <w:style w:type="character" w:customStyle="1" w:styleId="CabealhoCarcter">
    <w:name w:val="Cabeçalho Carácter"/>
    <w:basedOn w:val="Tipodeletrapredefinidodopargrafo"/>
    <w:link w:val="Cabealho"/>
    <w:uiPriority w:val="99"/>
    <w:rsid w:val="0085042C"/>
    <w:rPr>
      <w:rFonts w:ascii="Times New Roman" w:eastAsia="Times New Roman" w:hAnsi="Times New Roman" w:cs="Times New Roman"/>
      <w:sz w:val="20"/>
      <w:szCs w:val="20"/>
    </w:rPr>
  </w:style>
  <w:style w:type="paragraph" w:styleId="Rodap">
    <w:name w:val="footer"/>
    <w:basedOn w:val="Normal"/>
    <w:link w:val="RodapCarcter"/>
    <w:uiPriority w:val="99"/>
    <w:unhideWhenUsed/>
    <w:rsid w:val="0085042C"/>
    <w:pPr>
      <w:tabs>
        <w:tab w:val="center" w:pos="4680"/>
        <w:tab w:val="right" w:pos="9360"/>
      </w:tabs>
      <w:spacing w:before="0"/>
    </w:pPr>
  </w:style>
  <w:style w:type="character" w:customStyle="1" w:styleId="RodapCarcter">
    <w:name w:val="Rodapé Carácter"/>
    <w:basedOn w:val="Tipodeletrapredefinidodopargrafo"/>
    <w:link w:val="Rodap"/>
    <w:uiPriority w:val="99"/>
    <w:rsid w:val="0085042C"/>
    <w:rPr>
      <w:rFonts w:ascii="Times New Roman" w:eastAsia="Times New Roman" w:hAnsi="Times New Roman" w:cs="Times New Roman"/>
      <w:sz w:val="20"/>
      <w:szCs w:val="20"/>
    </w:rPr>
  </w:style>
  <w:style w:type="character" w:styleId="Hiperligao">
    <w:name w:val="Hyperlink"/>
    <w:basedOn w:val="Tipodeletrapredefinidodopargrafo"/>
    <w:uiPriority w:val="99"/>
    <w:unhideWhenUsed/>
    <w:rsid w:val="0085042C"/>
    <w:rPr>
      <w:color w:val="0000FF" w:themeColor="hyperlink"/>
      <w:u w:val="single"/>
    </w:rPr>
  </w:style>
  <w:style w:type="character" w:styleId="Refdecomentrio">
    <w:name w:val="annotation reference"/>
    <w:basedOn w:val="Tipodeletrapredefinidodopargrafo"/>
    <w:uiPriority w:val="99"/>
    <w:semiHidden/>
    <w:unhideWhenUsed/>
    <w:rsid w:val="001F44D4"/>
    <w:rPr>
      <w:sz w:val="16"/>
      <w:szCs w:val="16"/>
    </w:rPr>
  </w:style>
  <w:style w:type="paragraph" w:styleId="Textodecomentrio">
    <w:name w:val="annotation text"/>
    <w:basedOn w:val="Normal"/>
    <w:link w:val="TextodecomentrioCarcter"/>
    <w:uiPriority w:val="99"/>
    <w:semiHidden/>
    <w:unhideWhenUsed/>
    <w:rsid w:val="001F44D4"/>
  </w:style>
  <w:style w:type="character" w:customStyle="1" w:styleId="TextodecomentrioCarcter">
    <w:name w:val="Texto de comentário Carácter"/>
    <w:basedOn w:val="Tipodeletrapredefinidodopargrafo"/>
    <w:link w:val="Textodecomentrio"/>
    <w:uiPriority w:val="99"/>
    <w:semiHidden/>
    <w:rsid w:val="001F44D4"/>
    <w:rPr>
      <w:rFonts w:ascii="Times New Roman" w:eastAsia="Times New Roman" w:hAnsi="Times New Roman" w:cs="Times New Roman"/>
      <w:sz w:val="20"/>
      <w:szCs w:val="20"/>
    </w:rPr>
  </w:style>
  <w:style w:type="paragraph" w:styleId="Assuntodecomentrio">
    <w:name w:val="annotation subject"/>
    <w:basedOn w:val="Textodecomentrio"/>
    <w:next w:val="Textodecomentrio"/>
    <w:link w:val="AssuntodecomentrioCarcter"/>
    <w:uiPriority w:val="99"/>
    <w:semiHidden/>
    <w:unhideWhenUsed/>
    <w:rsid w:val="001F44D4"/>
    <w:rPr>
      <w:b/>
      <w:bCs/>
    </w:rPr>
  </w:style>
  <w:style w:type="character" w:customStyle="1" w:styleId="AssuntodecomentrioCarcter">
    <w:name w:val="Assunto de comentário Carácter"/>
    <w:basedOn w:val="TextodecomentrioCarcter"/>
    <w:link w:val="Assuntodecomentrio"/>
    <w:uiPriority w:val="99"/>
    <w:semiHidden/>
    <w:rsid w:val="001F44D4"/>
    <w:rPr>
      <w:rFonts w:ascii="Times New Roman" w:eastAsia="Times New Roman" w:hAnsi="Times New Roman" w:cs="Times New Roman"/>
      <w:b/>
      <w:bCs/>
      <w:sz w:val="20"/>
      <w:szCs w:val="20"/>
    </w:rPr>
  </w:style>
  <w:style w:type="character" w:styleId="Hiperligaovisitada">
    <w:name w:val="FollowedHyperlink"/>
    <w:basedOn w:val="Tipodeletrapredefinidodopargrafo"/>
    <w:uiPriority w:val="99"/>
    <w:semiHidden/>
    <w:unhideWhenUsed/>
    <w:rsid w:val="003477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04244">
      <w:bodyDiv w:val="1"/>
      <w:marLeft w:val="0"/>
      <w:marRight w:val="0"/>
      <w:marTop w:val="0"/>
      <w:marBottom w:val="0"/>
      <w:divBdr>
        <w:top w:val="none" w:sz="0" w:space="0" w:color="auto"/>
        <w:left w:val="none" w:sz="0" w:space="0" w:color="auto"/>
        <w:bottom w:val="none" w:sz="0" w:space="0" w:color="auto"/>
        <w:right w:val="none" w:sz="0" w:space="0" w:color="auto"/>
      </w:divBdr>
      <w:divsChild>
        <w:div w:id="1831827221">
          <w:marLeft w:val="576"/>
          <w:marRight w:val="0"/>
          <w:marTop w:val="80"/>
          <w:marBottom w:val="0"/>
          <w:divBdr>
            <w:top w:val="none" w:sz="0" w:space="0" w:color="auto"/>
            <w:left w:val="none" w:sz="0" w:space="0" w:color="auto"/>
            <w:bottom w:val="none" w:sz="0" w:space="0" w:color="auto"/>
            <w:right w:val="none" w:sz="0" w:space="0" w:color="auto"/>
          </w:divBdr>
        </w:div>
      </w:divsChild>
    </w:div>
    <w:div w:id="100609189">
      <w:bodyDiv w:val="1"/>
      <w:marLeft w:val="0"/>
      <w:marRight w:val="0"/>
      <w:marTop w:val="0"/>
      <w:marBottom w:val="0"/>
      <w:divBdr>
        <w:top w:val="none" w:sz="0" w:space="0" w:color="auto"/>
        <w:left w:val="none" w:sz="0" w:space="0" w:color="auto"/>
        <w:bottom w:val="none" w:sz="0" w:space="0" w:color="auto"/>
        <w:right w:val="none" w:sz="0" w:space="0" w:color="auto"/>
      </w:divBdr>
      <w:divsChild>
        <w:div w:id="101999375">
          <w:marLeft w:val="1166"/>
          <w:marRight w:val="0"/>
          <w:marTop w:val="115"/>
          <w:marBottom w:val="0"/>
          <w:divBdr>
            <w:top w:val="none" w:sz="0" w:space="0" w:color="auto"/>
            <w:left w:val="none" w:sz="0" w:space="0" w:color="auto"/>
            <w:bottom w:val="none" w:sz="0" w:space="0" w:color="auto"/>
            <w:right w:val="none" w:sz="0" w:space="0" w:color="auto"/>
          </w:divBdr>
        </w:div>
        <w:div w:id="1392078678">
          <w:marLeft w:val="1166"/>
          <w:marRight w:val="0"/>
          <w:marTop w:val="115"/>
          <w:marBottom w:val="0"/>
          <w:divBdr>
            <w:top w:val="none" w:sz="0" w:space="0" w:color="auto"/>
            <w:left w:val="none" w:sz="0" w:space="0" w:color="auto"/>
            <w:bottom w:val="none" w:sz="0" w:space="0" w:color="auto"/>
            <w:right w:val="none" w:sz="0" w:space="0" w:color="auto"/>
          </w:divBdr>
        </w:div>
        <w:div w:id="1724787161">
          <w:marLeft w:val="1166"/>
          <w:marRight w:val="0"/>
          <w:marTop w:val="115"/>
          <w:marBottom w:val="0"/>
          <w:divBdr>
            <w:top w:val="none" w:sz="0" w:space="0" w:color="auto"/>
            <w:left w:val="none" w:sz="0" w:space="0" w:color="auto"/>
            <w:bottom w:val="none" w:sz="0" w:space="0" w:color="auto"/>
            <w:right w:val="none" w:sz="0" w:space="0" w:color="auto"/>
          </w:divBdr>
        </w:div>
      </w:divsChild>
    </w:div>
    <w:div w:id="111439933">
      <w:bodyDiv w:val="1"/>
      <w:marLeft w:val="0"/>
      <w:marRight w:val="0"/>
      <w:marTop w:val="0"/>
      <w:marBottom w:val="0"/>
      <w:divBdr>
        <w:top w:val="none" w:sz="0" w:space="0" w:color="auto"/>
        <w:left w:val="none" w:sz="0" w:space="0" w:color="auto"/>
        <w:bottom w:val="none" w:sz="0" w:space="0" w:color="auto"/>
        <w:right w:val="none" w:sz="0" w:space="0" w:color="auto"/>
      </w:divBdr>
    </w:div>
    <w:div w:id="282156485">
      <w:bodyDiv w:val="1"/>
      <w:marLeft w:val="0"/>
      <w:marRight w:val="0"/>
      <w:marTop w:val="0"/>
      <w:marBottom w:val="0"/>
      <w:divBdr>
        <w:top w:val="none" w:sz="0" w:space="0" w:color="auto"/>
        <w:left w:val="none" w:sz="0" w:space="0" w:color="auto"/>
        <w:bottom w:val="none" w:sz="0" w:space="0" w:color="auto"/>
        <w:right w:val="none" w:sz="0" w:space="0" w:color="auto"/>
      </w:divBdr>
    </w:div>
    <w:div w:id="416363728">
      <w:bodyDiv w:val="1"/>
      <w:marLeft w:val="0"/>
      <w:marRight w:val="0"/>
      <w:marTop w:val="0"/>
      <w:marBottom w:val="0"/>
      <w:divBdr>
        <w:top w:val="none" w:sz="0" w:space="0" w:color="auto"/>
        <w:left w:val="none" w:sz="0" w:space="0" w:color="auto"/>
        <w:bottom w:val="none" w:sz="0" w:space="0" w:color="auto"/>
        <w:right w:val="none" w:sz="0" w:space="0" w:color="auto"/>
      </w:divBdr>
    </w:div>
    <w:div w:id="530074562">
      <w:bodyDiv w:val="1"/>
      <w:marLeft w:val="0"/>
      <w:marRight w:val="0"/>
      <w:marTop w:val="0"/>
      <w:marBottom w:val="0"/>
      <w:divBdr>
        <w:top w:val="none" w:sz="0" w:space="0" w:color="auto"/>
        <w:left w:val="none" w:sz="0" w:space="0" w:color="auto"/>
        <w:bottom w:val="none" w:sz="0" w:space="0" w:color="auto"/>
        <w:right w:val="none" w:sz="0" w:space="0" w:color="auto"/>
      </w:divBdr>
      <w:divsChild>
        <w:div w:id="1519387636">
          <w:marLeft w:val="1166"/>
          <w:marRight w:val="0"/>
          <w:marTop w:val="115"/>
          <w:marBottom w:val="0"/>
          <w:divBdr>
            <w:top w:val="none" w:sz="0" w:space="0" w:color="auto"/>
            <w:left w:val="none" w:sz="0" w:space="0" w:color="auto"/>
            <w:bottom w:val="none" w:sz="0" w:space="0" w:color="auto"/>
            <w:right w:val="none" w:sz="0" w:space="0" w:color="auto"/>
          </w:divBdr>
        </w:div>
      </w:divsChild>
    </w:div>
    <w:div w:id="862204084">
      <w:bodyDiv w:val="1"/>
      <w:marLeft w:val="0"/>
      <w:marRight w:val="0"/>
      <w:marTop w:val="0"/>
      <w:marBottom w:val="0"/>
      <w:divBdr>
        <w:top w:val="none" w:sz="0" w:space="0" w:color="auto"/>
        <w:left w:val="none" w:sz="0" w:space="0" w:color="auto"/>
        <w:bottom w:val="none" w:sz="0" w:space="0" w:color="auto"/>
        <w:right w:val="none" w:sz="0" w:space="0" w:color="auto"/>
      </w:divBdr>
    </w:div>
    <w:div w:id="927621002">
      <w:bodyDiv w:val="1"/>
      <w:marLeft w:val="0"/>
      <w:marRight w:val="0"/>
      <w:marTop w:val="0"/>
      <w:marBottom w:val="0"/>
      <w:divBdr>
        <w:top w:val="none" w:sz="0" w:space="0" w:color="auto"/>
        <w:left w:val="none" w:sz="0" w:space="0" w:color="auto"/>
        <w:bottom w:val="none" w:sz="0" w:space="0" w:color="auto"/>
        <w:right w:val="none" w:sz="0" w:space="0" w:color="auto"/>
      </w:divBdr>
      <w:divsChild>
        <w:div w:id="1411930927">
          <w:marLeft w:val="979"/>
          <w:marRight w:val="0"/>
          <w:marTop w:val="65"/>
          <w:marBottom w:val="0"/>
          <w:divBdr>
            <w:top w:val="none" w:sz="0" w:space="0" w:color="auto"/>
            <w:left w:val="none" w:sz="0" w:space="0" w:color="auto"/>
            <w:bottom w:val="none" w:sz="0" w:space="0" w:color="auto"/>
            <w:right w:val="none" w:sz="0" w:space="0" w:color="auto"/>
          </w:divBdr>
        </w:div>
      </w:divsChild>
    </w:div>
    <w:div w:id="1102457419">
      <w:bodyDiv w:val="1"/>
      <w:marLeft w:val="0"/>
      <w:marRight w:val="0"/>
      <w:marTop w:val="0"/>
      <w:marBottom w:val="0"/>
      <w:divBdr>
        <w:top w:val="none" w:sz="0" w:space="0" w:color="auto"/>
        <w:left w:val="none" w:sz="0" w:space="0" w:color="auto"/>
        <w:bottom w:val="none" w:sz="0" w:space="0" w:color="auto"/>
        <w:right w:val="none" w:sz="0" w:space="0" w:color="auto"/>
      </w:divBdr>
    </w:div>
    <w:div w:id="1106970207">
      <w:bodyDiv w:val="1"/>
      <w:marLeft w:val="0"/>
      <w:marRight w:val="0"/>
      <w:marTop w:val="0"/>
      <w:marBottom w:val="0"/>
      <w:divBdr>
        <w:top w:val="none" w:sz="0" w:space="0" w:color="auto"/>
        <w:left w:val="none" w:sz="0" w:space="0" w:color="auto"/>
        <w:bottom w:val="none" w:sz="0" w:space="0" w:color="auto"/>
        <w:right w:val="none" w:sz="0" w:space="0" w:color="auto"/>
      </w:divBdr>
    </w:div>
    <w:div w:id="1454205528">
      <w:bodyDiv w:val="1"/>
      <w:marLeft w:val="0"/>
      <w:marRight w:val="0"/>
      <w:marTop w:val="0"/>
      <w:marBottom w:val="0"/>
      <w:divBdr>
        <w:top w:val="none" w:sz="0" w:space="0" w:color="auto"/>
        <w:left w:val="none" w:sz="0" w:space="0" w:color="auto"/>
        <w:bottom w:val="none" w:sz="0" w:space="0" w:color="auto"/>
        <w:right w:val="none" w:sz="0" w:space="0" w:color="auto"/>
      </w:divBdr>
      <w:divsChild>
        <w:div w:id="1825655428">
          <w:marLeft w:val="979"/>
          <w:marRight w:val="0"/>
          <w:marTop w:val="65"/>
          <w:marBottom w:val="0"/>
          <w:divBdr>
            <w:top w:val="none" w:sz="0" w:space="0" w:color="auto"/>
            <w:left w:val="none" w:sz="0" w:space="0" w:color="auto"/>
            <w:bottom w:val="none" w:sz="0" w:space="0" w:color="auto"/>
            <w:right w:val="none" w:sz="0" w:space="0" w:color="auto"/>
          </w:divBdr>
        </w:div>
        <w:div w:id="1159923214">
          <w:marLeft w:val="979"/>
          <w:marRight w:val="0"/>
          <w:marTop w:val="65"/>
          <w:marBottom w:val="0"/>
          <w:divBdr>
            <w:top w:val="none" w:sz="0" w:space="0" w:color="auto"/>
            <w:left w:val="none" w:sz="0" w:space="0" w:color="auto"/>
            <w:bottom w:val="none" w:sz="0" w:space="0" w:color="auto"/>
            <w:right w:val="none" w:sz="0" w:space="0" w:color="auto"/>
          </w:divBdr>
        </w:div>
      </w:divsChild>
    </w:div>
    <w:div w:id="1540849153">
      <w:bodyDiv w:val="1"/>
      <w:marLeft w:val="0"/>
      <w:marRight w:val="0"/>
      <w:marTop w:val="0"/>
      <w:marBottom w:val="0"/>
      <w:divBdr>
        <w:top w:val="none" w:sz="0" w:space="0" w:color="auto"/>
        <w:left w:val="none" w:sz="0" w:space="0" w:color="auto"/>
        <w:bottom w:val="none" w:sz="0" w:space="0" w:color="auto"/>
        <w:right w:val="none" w:sz="0" w:space="0" w:color="auto"/>
      </w:divBdr>
    </w:div>
    <w:div w:id="1666785190">
      <w:bodyDiv w:val="1"/>
      <w:marLeft w:val="0"/>
      <w:marRight w:val="0"/>
      <w:marTop w:val="0"/>
      <w:marBottom w:val="0"/>
      <w:divBdr>
        <w:top w:val="none" w:sz="0" w:space="0" w:color="auto"/>
        <w:left w:val="none" w:sz="0" w:space="0" w:color="auto"/>
        <w:bottom w:val="none" w:sz="0" w:space="0" w:color="auto"/>
        <w:right w:val="none" w:sz="0" w:space="0" w:color="auto"/>
      </w:divBdr>
    </w:div>
    <w:div w:id="1717464006">
      <w:bodyDiv w:val="1"/>
      <w:marLeft w:val="0"/>
      <w:marRight w:val="0"/>
      <w:marTop w:val="0"/>
      <w:marBottom w:val="0"/>
      <w:divBdr>
        <w:top w:val="none" w:sz="0" w:space="0" w:color="auto"/>
        <w:left w:val="none" w:sz="0" w:space="0" w:color="auto"/>
        <w:bottom w:val="none" w:sz="0" w:space="0" w:color="auto"/>
        <w:right w:val="none" w:sz="0" w:space="0" w:color="auto"/>
      </w:divBdr>
    </w:div>
    <w:div w:id="1802723161">
      <w:bodyDiv w:val="1"/>
      <w:marLeft w:val="0"/>
      <w:marRight w:val="0"/>
      <w:marTop w:val="0"/>
      <w:marBottom w:val="0"/>
      <w:divBdr>
        <w:top w:val="none" w:sz="0" w:space="0" w:color="auto"/>
        <w:left w:val="none" w:sz="0" w:space="0" w:color="auto"/>
        <w:bottom w:val="none" w:sz="0" w:space="0" w:color="auto"/>
        <w:right w:val="none" w:sz="0" w:space="0" w:color="auto"/>
      </w:divBdr>
    </w:div>
    <w:div w:id="1840923710">
      <w:bodyDiv w:val="1"/>
      <w:marLeft w:val="0"/>
      <w:marRight w:val="0"/>
      <w:marTop w:val="0"/>
      <w:marBottom w:val="0"/>
      <w:divBdr>
        <w:top w:val="none" w:sz="0" w:space="0" w:color="auto"/>
        <w:left w:val="none" w:sz="0" w:space="0" w:color="auto"/>
        <w:bottom w:val="none" w:sz="0" w:space="0" w:color="auto"/>
        <w:right w:val="none" w:sz="0" w:space="0" w:color="auto"/>
      </w:divBdr>
      <w:divsChild>
        <w:div w:id="1098595225">
          <w:marLeft w:val="0"/>
          <w:marRight w:val="0"/>
          <w:marTop w:val="0"/>
          <w:marBottom w:val="0"/>
          <w:divBdr>
            <w:top w:val="none" w:sz="0" w:space="0" w:color="auto"/>
            <w:left w:val="none" w:sz="0" w:space="0" w:color="auto"/>
            <w:bottom w:val="none" w:sz="0" w:space="0" w:color="auto"/>
            <w:right w:val="none" w:sz="0" w:space="0" w:color="auto"/>
          </w:divBdr>
          <w:divsChild>
            <w:div w:id="1233127633">
              <w:marLeft w:val="0"/>
              <w:marRight w:val="336"/>
              <w:marTop w:val="0"/>
              <w:marBottom w:val="0"/>
              <w:divBdr>
                <w:top w:val="none" w:sz="0" w:space="0" w:color="auto"/>
                <w:left w:val="none" w:sz="0" w:space="0" w:color="auto"/>
                <w:bottom w:val="none" w:sz="0" w:space="0" w:color="auto"/>
                <w:right w:val="none" w:sz="0" w:space="0" w:color="auto"/>
              </w:divBdr>
              <w:divsChild>
                <w:div w:id="588924918">
                  <w:marLeft w:val="0"/>
                  <w:marRight w:val="0"/>
                  <w:marTop w:val="0"/>
                  <w:marBottom w:val="0"/>
                  <w:divBdr>
                    <w:top w:val="none" w:sz="0" w:space="0" w:color="auto"/>
                    <w:left w:val="none" w:sz="0" w:space="0" w:color="auto"/>
                    <w:bottom w:val="none" w:sz="0" w:space="0" w:color="auto"/>
                    <w:right w:val="none" w:sz="0" w:space="0" w:color="auto"/>
                  </w:divBdr>
                  <w:divsChild>
                    <w:div w:id="1555509039">
                      <w:marLeft w:val="0"/>
                      <w:marRight w:val="0"/>
                      <w:marTop w:val="0"/>
                      <w:marBottom w:val="0"/>
                      <w:divBdr>
                        <w:top w:val="single" w:sz="4" w:space="6" w:color="E9E9E9"/>
                        <w:left w:val="single" w:sz="4" w:space="6" w:color="E9E9E9"/>
                        <w:bottom w:val="single" w:sz="4" w:space="6" w:color="E9E9E9"/>
                        <w:right w:val="single" w:sz="4" w:space="6" w:color="E9E9E9"/>
                      </w:divBdr>
                    </w:div>
                  </w:divsChild>
                </w:div>
              </w:divsChild>
            </w:div>
          </w:divsChild>
        </w:div>
      </w:divsChild>
    </w:div>
    <w:div w:id="1867788255">
      <w:bodyDiv w:val="1"/>
      <w:marLeft w:val="0"/>
      <w:marRight w:val="0"/>
      <w:marTop w:val="0"/>
      <w:marBottom w:val="0"/>
      <w:divBdr>
        <w:top w:val="none" w:sz="0" w:space="0" w:color="auto"/>
        <w:left w:val="none" w:sz="0" w:space="0" w:color="auto"/>
        <w:bottom w:val="none" w:sz="0" w:space="0" w:color="auto"/>
        <w:right w:val="none" w:sz="0" w:space="0" w:color="auto"/>
      </w:divBdr>
    </w:div>
    <w:div w:id="1916158455">
      <w:bodyDiv w:val="1"/>
      <w:marLeft w:val="0"/>
      <w:marRight w:val="0"/>
      <w:marTop w:val="0"/>
      <w:marBottom w:val="0"/>
      <w:divBdr>
        <w:top w:val="none" w:sz="0" w:space="0" w:color="auto"/>
        <w:left w:val="none" w:sz="0" w:space="0" w:color="auto"/>
        <w:bottom w:val="none" w:sz="0" w:space="0" w:color="auto"/>
        <w:right w:val="none" w:sz="0" w:space="0" w:color="auto"/>
      </w:divBdr>
      <w:divsChild>
        <w:div w:id="1968470294">
          <w:marLeft w:val="1800"/>
          <w:marRight w:val="0"/>
          <w:marTop w:val="96"/>
          <w:marBottom w:val="0"/>
          <w:divBdr>
            <w:top w:val="none" w:sz="0" w:space="0" w:color="auto"/>
            <w:left w:val="none" w:sz="0" w:space="0" w:color="auto"/>
            <w:bottom w:val="none" w:sz="0" w:space="0" w:color="auto"/>
            <w:right w:val="none" w:sz="0" w:space="0" w:color="auto"/>
          </w:divBdr>
        </w:div>
      </w:divsChild>
    </w:div>
    <w:div w:id="2094352865">
      <w:bodyDiv w:val="1"/>
      <w:marLeft w:val="0"/>
      <w:marRight w:val="0"/>
      <w:marTop w:val="0"/>
      <w:marBottom w:val="0"/>
      <w:divBdr>
        <w:top w:val="none" w:sz="0" w:space="0" w:color="auto"/>
        <w:left w:val="none" w:sz="0" w:space="0" w:color="auto"/>
        <w:bottom w:val="none" w:sz="0" w:space="0" w:color="auto"/>
        <w:right w:val="none" w:sz="0" w:space="0" w:color="auto"/>
      </w:divBdr>
      <w:divsChild>
        <w:div w:id="1541673832">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web.ppg.com/na/globalfinance/policies/Documents/CM.pdf" TargetMode="External"/><Relationship Id="rId18" Type="http://schemas.openxmlformats.org/officeDocument/2006/relationships/hyperlink" Target="https://one.web.ppg.com/na/globalfinance/policies/Documents/CM.pdf" TargetMode="External"/><Relationship Id="rId3" Type="http://schemas.openxmlformats.org/officeDocument/2006/relationships/customXml" Target="../customXml/item3.xml"/><Relationship Id="rId21" Type="http://schemas.openxmlformats.org/officeDocument/2006/relationships/hyperlink" Target="https://app.convercent.com/en-us/LandingPage/ada23786-4d8b-e611-810b-000d3ab2feeb" TargetMode="External"/><Relationship Id="rId7" Type="http://schemas.openxmlformats.org/officeDocument/2006/relationships/settings" Target="settings.xml"/><Relationship Id="rId12" Type="http://schemas.openxmlformats.org/officeDocument/2006/relationships/hyperlink" Target="http://corporate.ppg.com/Our-Company/Ethics.aspx" TargetMode="External"/><Relationship Id="rId17" Type="http://schemas.openxmlformats.org/officeDocument/2006/relationships/hyperlink" Target="https://one.web.ppg.com/na/travel/TE/Policies/2018%20Policies/PPG%20Global%20Travel%20Policy%20030118.pdf" TargetMode="External"/><Relationship Id="rId2" Type="http://schemas.openxmlformats.org/officeDocument/2006/relationships/customXml" Target="../customXml/item2.xml"/><Relationship Id="rId16" Type="http://schemas.openxmlformats.org/officeDocument/2006/relationships/hyperlink" Target="https://one.web.ppg.com/na/ethics/en/Pages/Due-Diligence-Policies-and-Procedures.aspx" TargetMode="External"/><Relationship Id="rId20" Type="http://schemas.openxmlformats.org/officeDocument/2006/relationships/hyperlink" Target="http://corporate.ppg.com/Our-Company/Ethics.aspx"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corporate.ppg.com/Our-Company/Ethics.asp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one.web.ppg.com/na/ethics/en/Pages/Third-Party-Due-.aspx"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corporate.ppg.com/Our-Company/Ethics.aspx"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CC239AD5C10548B01EB05D2CE458CF" ma:contentTypeVersion="4" ma:contentTypeDescription="Create a new document." ma:contentTypeScope="" ma:versionID="65fd16864e68018b9e3939b8f0f274a4">
  <xsd:schema xmlns:xsd="http://www.w3.org/2001/XMLSchema" xmlns:xs="http://www.w3.org/2001/XMLSchema" xmlns:p="http://schemas.microsoft.com/office/2006/metadata/properties" xmlns:ns1="http://schemas.microsoft.com/sharepoint/v3" xmlns:ns2="a78e3f42-8b58-4cf5-a404-787808b7749f" targetNamespace="http://schemas.microsoft.com/office/2006/metadata/properties" ma:root="true" ma:fieldsID="450291bc940ef47ead59f383331a6da3" ns1:_="" ns2:_="">
    <xsd:import namespace="http://schemas.microsoft.com/sharepoint/v3"/>
    <xsd:import namespace="a78e3f42-8b58-4cf5-a404-787808b7749f"/>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8e3f42-8b58-4cf5-a404-787808b774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829663-5853-4DD1-8258-892CFC41AC7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794DA8A-4275-404A-8F87-31BF73144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8e3f42-8b58-4cf5-a404-787808b77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C8AC8B-8DD9-4129-AC12-EBA15D9F60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2019-11-26T20:23:00Z</dcterms:created>
  <dcterms:modified xsi:type="dcterms:W3CDTF">2020-01-21T16:30:00Z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0x01010096CC239AD5C10548B01EB05D2CE458CF</vt:lpwstr>
  </property>
  <property fmtid="{D5CDD505-2E9C-101B-9397-08002B2CF9AE}" pid="3" name="Order">
    <vt:r8>900</vt:r8>
  </property>
  <property fmtid="{D5CDD505-2E9C-101B-9397-08002B2CF9AE}" pid="4" name="xd_ProgID">
    <vt:lpwstr/>
  </property>
  <property fmtid="{D5CDD505-2E9C-101B-9397-08002B2CF9AE}" pid="5" name="TemplateUrl">
    <vt:lpwstr/>
  </property>
</Properties>
</file>