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D85C3" w14:textId="77777777" w:rsidR="0085042C" w:rsidRDefault="00D73F88">
      <w:pPr>
        <w:pStyle w:val="Default"/>
      </w:pPr>
      <w:r>
        <w:drawing>
          <wp:inline distT="0" distB="0" distL="0" distR="0" wp14:anchorId="20406005" wp14:editId="60B069B2">
            <wp:extent cx="9715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160D4" w14:textId="77777777" w:rsidR="0085042C" w:rsidRPr="00AA7101" w:rsidRDefault="002A05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ГЛОБАЛЬНА АНТИКОРУПЦІЙНА ПОЛІТИКА PPG</w:t>
      </w:r>
    </w:p>
    <w:p w14:paraId="7E3CA0CB" w14:textId="77777777" w:rsidR="0085042C" w:rsidRDefault="0085042C">
      <w:pPr>
        <w:pStyle w:val="Default"/>
        <w:rPr>
          <w:sz w:val="23"/>
          <w:szCs w:val="23"/>
        </w:rPr>
      </w:pPr>
    </w:p>
    <w:p w14:paraId="76F18EA5" w14:textId="77777777" w:rsidR="0085042C" w:rsidRDefault="002A0565" w:rsidP="00AA710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Вступ</w:t>
      </w:r>
    </w:p>
    <w:p w14:paraId="2BFA365F" w14:textId="77777777" w:rsidR="001B70A7" w:rsidRPr="003F5BF6" w:rsidRDefault="001B70A7" w:rsidP="00AA7101">
      <w:pPr>
        <w:pStyle w:val="Default"/>
        <w:jc w:val="center"/>
        <w:rPr>
          <w:b/>
          <w:sz w:val="22"/>
          <w:szCs w:val="22"/>
          <w:u w:val="single"/>
        </w:rPr>
      </w:pPr>
    </w:p>
    <w:p w14:paraId="390499AD" w14:textId="27E590B6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Як міжнародна компанія, що працює в понад 70 країнах, PPG зобов’язана дотримуватися великої кількості законів та інших нормативно-правових актів.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Критично важливими є нормативно-правові акти, які регулюють питання, пов’язані з хабарництвом і корупцією.</w:t>
      </w:r>
    </w:p>
    <w:p w14:paraId="00886069" w14:textId="77777777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0AE75877" w14:textId="2FC8A6FF" w:rsidR="0085042C" w:rsidRDefault="002A0565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Визнаючи ці вимоги та підкреслюючи нашу відданість чесній діяльності та протидії корупції, яка зазначена в </w:t>
      </w:r>
      <w:hyperlink r:id="rId11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Глобальному кодексі етики</w:t>
        </w:r>
      </w:hyperlink>
      <w:r>
        <w:rPr>
          <w:sz w:val="22"/>
          <w:szCs w:val="22"/>
          <w:rFonts w:asciiTheme="minorHAnsi" w:hAnsiTheme="minorHAnsi"/>
        </w:rPr>
        <w:t xml:space="preserve"> («Кодекс»)</w:t>
      </w:r>
      <w:r>
        <w:rPr>
          <w:sz w:val="22"/>
          <w:szCs w:val="22"/>
          <w:rFonts w:asciiTheme="minorHAnsi" w:hAnsiTheme="minorHAnsi"/>
        </w:rPr>
        <w:t xml:space="preserve">, PPG запровадила Глобальну антикорупційну політику («Політика»).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Ця політика застосовується до компанії PPG Industries, Inc. («PPG») та повністю належних їй або контрольованих нею дочірніх компаній («дочірні компанії») в усьому світі.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Ця Політика ґрунтується на нашому Кодексі та має на меті підкріпляти зростаючу кількість стандартів і принципів, які регулюють нашу поведінку, для дотримання суворих законів із протидії хабарництву й корупції, що діють в різних країнах світу.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6839892C" w14:textId="77777777" w:rsidR="0085042C" w:rsidRDefault="0085042C">
      <w:pPr>
        <w:pStyle w:val="Default"/>
        <w:rPr>
          <w:rFonts w:asciiTheme="minorHAnsi" w:hAnsiTheme="minorHAnsi"/>
          <w:sz w:val="22"/>
          <w:szCs w:val="22"/>
        </w:rPr>
      </w:pPr>
    </w:p>
    <w:p w14:paraId="70F27C33" w14:textId="422766A1" w:rsidR="004E1F0A" w:rsidRPr="004E1F0A" w:rsidRDefault="00D07999" w:rsidP="004E1F0A">
      <w:pPr>
        <w:pStyle w:val="Default"/>
        <w:spacing w:after="2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Один або більше таких законів діють у кожній країні, де працює PPG.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Приклади: Закон США про корупцію за кордоном (U.S. Foreign Corrupt Practices Act, FCPA), французький Закон Сапена 2 (Loi Sapin 2), мексиканська національна антикорупційна система, Закон Великобританії про хабарництво (U.K. Bribery Act), китайський кримінальний кодекс і бразильський Закон про чисті компанії (Brazilian Clean Companies Act).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Хоча між цими законами є певні відмінності, усі вони мають на меті усунути корупцію та відновити віру людей у чесність глобального ринку, а також сприяти справедливому й конкурентному комерційному середовищу для ведення бізнесу.</w:t>
      </w:r>
      <w:r>
        <w:rPr>
          <w:sz w:val="22"/>
          <w:szCs w:val="22"/>
          <w:rFonts w:asciiTheme="minorHAnsi" w:hAnsiTheme="minorHAnsi"/>
        </w:rPr>
        <w:t xml:space="preserve">  </w:t>
      </w:r>
    </w:p>
    <w:p w14:paraId="2193A93D" w14:textId="77777777" w:rsidR="0085042C" w:rsidRPr="00D07999" w:rsidRDefault="00F30C7E" w:rsidP="00411E2B">
      <w:pPr>
        <w:spacing w:after="240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Політика</w:t>
      </w:r>
      <w:r>
        <w:rPr>
          <w:b/>
          <w:sz w:val="22"/>
          <w:szCs w:val="22"/>
          <w:u w:val="single"/>
          <w:rFonts w:asciiTheme="minorHAnsi" w:hAnsiTheme="minorHAnsi"/>
        </w:rPr>
        <w:t xml:space="preserve"> </w:t>
      </w:r>
    </w:p>
    <w:p w14:paraId="38D0549D" w14:textId="77777777" w:rsidR="0085042C" w:rsidRDefault="00915FB0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Суть нашої Політики:</w:t>
      </w:r>
    </w:p>
    <w:p w14:paraId="2B4AE181" w14:textId="77777777" w:rsidR="00915FB0" w:rsidRPr="00AA7101" w:rsidRDefault="002C4D14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bCs/>
          <w:sz w:val="22"/>
          <w:szCs w:val="22"/>
          <w:rFonts w:asciiTheme="minorHAnsi" w:hAnsiTheme="minorHAnsi"/>
        </w:rPr>
        <w:t xml:space="preserve">Ми забороняємо хабарництво та корупцію в усіх наших ділових операціях у кожній країні.</w:t>
      </w:r>
      <w:r>
        <w:rPr>
          <w:bCs/>
          <w:sz w:val="22"/>
          <w:szCs w:val="22"/>
          <w:rFonts w:asciiTheme="minorHAnsi" w:hAnsiTheme="minorHAnsi"/>
        </w:rPr>
        <w:t xml:space="preserve">   </w:t>
      </w:r>
    </w:p>
    <w:p w14:paraId="72B9DCDD" w14:textId="77777777" w:rsidR="00915FB0" w:rsidRPr="00AA7101" w:rsidRDefault="00915FB0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bCs/>
          <w:sz w:val="22"/>
          <w:szCs w:val="22"/>
          <w:rFonts w:asciiTheme="minorHAnsi" w:hAnsiTheme="minorHAnsi"/>
        </w:rPr>
        <w:t xml:space="preserve">Жоден співробітник PPG або інша особа, яка діє від імені PPG, не може обіцяти, пропонувати, надавати чи приймати хабарі чи відкати в ході ведення бізнесу PPG.</w:t>
      </w:r>
      <w:r>
        <w:rPr>
          <w:bCs/>
          <w:sz w:val="22"/>
          <w:szCs w:val="22"/>
          <w:rFonts w:asciiTheme="minorHAnsi" w:hAnsiTheme="minorHAnsi"/>
        </w:rPr>
        <w:t xml:space="preserve"> </w:t>
      </w:r>
    </w:p>
    <w:p w14:paraId="5F5B03AB" w14:textId="77777777" w:rsidR="00D07999" w:rsidRDefault="00D07999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Ми забороняємо всі неофіційні транзакції, що стосуються наших сторонніх посередників, приватних компаній, урядів чи їхніх відповідних агентів.</w:t>
      </w:r>
    </w:p>
    <w:p w14:paraId="41A89ADA" w14:textId="77777777" w:rsidR="00915FB0" w:rsidRPr="00AA7101" w:rsidRDefault="002A0565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Ці заборони стосуються всіх транзакцій між PPG та всіма іншими сторонами — як фізичними особами, так і суб’єктами державної форми власності, публічними компаніями, державними організаціями та посадовцями.</w:t>
      </w:r>
    </w:p>
    <w:p w14:paraId="7C496DF7" w14:textId="77777777" w:rsidR="00A47E7A" w:rsidRPr="00AA7101" w:rsidRDefault="002C4D14" w:rsidP="00AA7101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Ми будемо створювати й підтримувати повну бухгалтерську й облікову документацію з достатньою деталізацією, яка точно й чесно відображатиме транзакції компанії.</w:t>
      </w:r>
    </w:p>
    <w:p w14:paraId="280C9597" w14:textId="77777777" w:rsidR="00A47E7A" w:rsidRPr="00D07999" w:rsidRDefault="00A47E7A" w:rsidP="00D07999">
      <w:pPr>
        <w:pStyle w:val="ListParagraph"/>
        <w:numPr>
          <w:ilvl w:val="0"/>
          <w:numId w:val="15"/>
        </w:numPr>
        <w:ind w:left="72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Ми підтримуватимемо систему належних внутрішніх засобів бухгалтерського контролю, як описано в </w:t>
      </w:r>
      <w:hyperlink r:id="rId12" w:anchor="search=controller%27s%20manual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Посібнику контролера PPG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05D39B40" w14:textId="77777777" w:rsidR="007802EF" w:rsidRDefault="007802EF" w:rsidP="00AA7101">
      <w:pPr>
        <w:ind w:left="90"/>
        <w:rPr>
          <w:rFonts w:asciiTheme="minorHAnsi" w:hAnsiTheme="minorHAnsi"/>
          <w:b/>
          <w:sz w:val="22"/>
          <w:szCs w:val="22"/>
        </w:rPr>
      </w:pPr>
    </w:p>
    <w:p w14:paraId="21F78E1D" w14:textId="33AE93E9" w:rsidR="0085042C" w:rsidRPr="00AA7101" w:rsidRDefault="007802EF" w:rsidP="00AA7101">
      <w:pPr>
        <w:ind w:left="9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Ця Політика доповнює розділи </w:t>
      </w:r>
      <w:hyperlink r:id="rId13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Хабарництво та корупція</w:t>
        </w:r>
      </w:hyperlink>
      <w:r>
        <w:rPr>
          <w:sz w:val="22"/>
          <w:szCs w:val="22"/>
          <w:rFonts w:asciiTheme="minorHAnsi" w:hAnsiTheme="minorHAnsi"/>
        </w:rPr>
        <w:t xml:space="preserve"> і </w:t>
      </w:r>
      <w:hyperlink r:id="rId14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Ділова та фінансова документація</w:t>
        </w:r>
      </w:hyperlink>
      <w:r>
        <w:rPr>
          <w:sz w:val="22"/>
          <w:szCs w:val="22"/>
          <w:rFonts w:asciiTheme="minorHAnsi" w:hAnsiTheme="minorHAnsi"/>
        </w:rPr>
        <w:t xml:space="preserve"> Глобального кодексу етики.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Ця політика також підтримує нашу </w:t>
      </w:r>
      <w:hyperlink r:id="rId15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Політику щодо комплексних перевірок третіх осіб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3113BA4A" w14:textId="77777777" w:rsidR="00D73F88" w:rsidRDefault="00D73F88">
      <w:pPr>
        <w:autoSpaceDE/>
        <w:autoSpaceDN/>
        <w:adjustRightInd/>
        <w:spacing w:before="0" w:after="200" w:line="276" w:lineRule="auto"/>
        <w:rPr>
          <w:rFonts w:asciiTheme="minorHAnsi" w:hAnsiTheme="minorHAnsi"/>
          <w:sz w:val="22"/>
          <w:szCs w:val="22"/>
        </w:rPr>
      </w:pPr>
    </w:p>
    <w:p w14:paraId="5CDE74DC" w14:textId="77777777" w:rsidR="0085042C" w:rsidRPr="0010137D" w:rsidRDefault="002A0565" w:rsidP="00411E2B">
      <w:pPr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Посібник</w:t>
      </w:r>
    </w:p>
    <w:p w14:paraId="5D35FCCD" w14:textId="4A3B9C21" w:rsidR="0085042C" w:rsidRDefault="002A0565">
      <w:pP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Як співробітник PPG ви зобов’язані розуміти наведені нижче твердження.</w:t>
      </w:r>
    </w:p>
    <w:p w14:paraId="7B303F5A" w14:textId="77777777" w:rsidR="00D07999" w:rsidRDefault="00D07999">
      <w:pPr>
        <w:rPr>
          <w:rFonts w:asciiTheme="minorHAnsi" w:hAnsiTheme="minorHAnsi"/>
          <w:sz w:val="22"/>
          <w:szCs w:val="22"/>
        </w:rPr>
      </w:pPr>
    </w:p>
    <w:p w14:paraId="04FB5BB5" w14:textId="64178DD2" w:rsidR="00C613B2" w:rsidRDefault="00411E2B" w:rsidP="00B21148">
      <w:pPr>
        <w:pStyle w:val="ListParagraph"/>
        <w:numPr>
          <w:ilvl w:val="0"/>
          <w:numId w:val="16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Хабаром можуть бути не тільки гроші.</w:t>
      </w:r>
      <w:r>
        <w:rPr>
          <w:sz w:val="22"/>
          <w:szCs w:val="22"/>
          <w:b/>
          <w:i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Хабаром може бути «будь-що цінне», що має на меті неналежним чином вплинути на комерційне або державне рішення.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«Будь-що цінне» включає гроші й еквіваленти грошей, подарунки, пригощання, розважальні заходи, подорожі, особисте майно, взяття на себе або відмова від боргу, благодійні внески, спонсорство, послуги, пропозиції працевлаштування та інші нечесні переваги.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Предмети символічної цінності або незначні подарунки/знаки уваги загалом не вважаються хабарами.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39F9D38B" w14:textId="77777777" w:rsidR="00C613B2" w:rsidRDefault="00C613B2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0355C74" w14:textId="0448D6EE" w:rsidR="0085042C" w:rsidRPr="00AA7101" w:rsidRDefault="00B21148" w:rsidP="00B21148">
      <w:pPr>
        <w:spacing w:before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Усі прояви гостинності, подорожі, подарунки, розважальні заходи й пригощання від імені компанії мають бути пропорційними до їхнього приводу та відповідати політикам PPG та місцевим нормативно-правовим актам у країні отримувача.</w:t>
      </w:r>
      <w:r>
        <w:t xml:space="preserve"> </w:t>
      </w:r>
      <w:r>
        <w:rPr>
          <w:sz w:val="22"/>
          <w:szCs w:val="22"/>
          <w:rFonts w:asciiTheme="minorHAnsi" w:hAnsiTheme="minorHAnsi"/>
        </w:rPr>
        <w:t xml:space="preserve">Наприклад, хоча оплата подорожі клієнта на виробниче, науково-дослідне чи інше підприємство PPG із законною діловою метою є належною та прийнятною, необхідно проявляти пильність.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Тривалість візиту повинна відповідати часу, необхідному для досягнення ділової мети, а вартість подорожі має бути обґрунтованою й охоплювати тільки витрати, які фактично стосуються поїздки.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Усі непов’язані витрати, наприклад подовження поїздки, покупки, послуги тощо, має оплачувати клієнт.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Додаткову інформацію див. в </w:t>
      </w:r>
      <w:hyperlink r:id="rId16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Глобальній політиці PPG щодо подорожей</w:t>
        </w:r>
      </w:hyperlink>
      <w:r>
        <w:rPr>
          <w:sz w:val="22"/>
          <w:szCs w:val="22"/>
          <w:rFonts w:asciiTheme="minorHAnsi" w:hAnsiTheme="minorHAnsi"/>
        </w:rPr>
        <w:t xml:space="preserve"> і </w:t>
      </w:r>
      <w:hyperlink r:id="rId17" w:anchor="search=controller%27s%20manual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Посібнику контролера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5A28A9A0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65005702" w14:textId="22201CE8" w:rsidR="0085042C" w:rsidRDefault="00D93250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Хабар є порушенням закону, навіть якщо його не було прийнято чи він був невдалим.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Відповідно до законів багатьох країн вважатиметься, що PPG вчинила порушення, навіть якщо пропозицію платежу чи хабара буде відхилено.</w:t>
      </w:r>
      <w:r>
        <w:rPr>
          <w:sz w:val="22"/>
          <w:szCs w:val="22"/>
          <w:rFonts w:ascii="Tahoma" w:hAnsi="Tahoma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Також немає значення, чи платіж насправді буде здійснено та чи отримувач насправді зробить щось для вас.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Порушення відбувається в </w:t>
      </w:r>
      <w:r>
        <w:rPr>
          <w:sz w:val="22"/>
          <w:szCs w:val="22"/>
          <w:bCs/>
          <w:rFonts w:asciiTheme="minorHAnsi" w:hAnsiTheme="minorHAnsi"/>
        </w:rPr>
        <w:t xml:space="preserve">той момент</w:t>
      </w:r>
      <w:r>
        <w:rPr>
          <w:sz w:val="22"/>
          <w:szCs w:val="22"/>
          <w:rFonts w:asciiTheme="minorHAnsi" w:hAnsiTheme="minorHAnsi"/>
        </w:rPr>
        <w:t xml:space="preserve">, коли здійснюється неправомірна пропозиція платежу.</w:t>
      </w:r>
    </w:p>
    <w:p w14:paraId="5916D98B" w14:textId="77777777" w:rsidR="0085042C" w:rsidRDefault="0085042C" w:rsidP="00B21148">
      <w:pPr>
        <w:pStyle w:val="ListParagraph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5CA47FF6" w14:textId="20EAF6B5" w:rsidR="00670AE0" w:rsidRPr="00670AE0" w:rsidRDefault="00670AE0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Хабарі з метою отримання затверджень, ліцензій, дозволів на продукцію й інших дозволів тощо також незаконні.</w:t>
      </w:r>
      <w:r>
        <w:rPr>
          <w:sz w:val="22"/>
          <w:szCs w:val="22"/>
          <w:b/>
          <w:i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У більшості людей хабарі асоціюються з отриманням бізнес-можливостей від клієнта.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Однак так само незаконним є надання хабарів співробітникам державних чи регуляторних органів для отримання інших переваг, таких як дозвіл на роботу або дозвіл у галузі охорони довкілля, охорони праці та техніки безпеки, податкові пільги, сертифікації чи дозволи на продукцію, ліцензія на ведення бізнесу тощо. Запам’ятайте: заборонено давати хабар із метою отримання </w:t>
      </w:r>
      <w:r>
        <w:rPr>
          <w:sz w:val="22"/>
          <w:szCs w:val="22"/>
          <w:u w:val="single"/>
          <w:rFonts w:asciiTheme="minorHAnsi" w:hAnsiTheme="minorHAnsi"/>
        </w:rPr>
        <w:t xml:space="preserve">будь-якої</w:t>
      </w:r>
      <w:r>
        <w:rPr>
          <w:sz w:val="22"/>
          <w:szCs w:val="22"/>
          <w:rFonts w:asciiTheme="minorHAnsi" w:hAnsiTheme="minorHAnsi"/>
        </w:rPr>
        <w:t xml:space="preserve"> неправомірної ділової переваги.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2DCDF1BC" w14:textId="77777777" w:rsidR="00670AE0" w:rsidRPr="00670AE0" w:rsidRDefault="00670AE0" w:rsidP="00B21148">
      <w:pPr>
        <w:pStyle w:val="ListParagraph"/>
        <w:ind w:left="540" w:hanging="360"/>
        <w:rPr>
          <w:rFonts w:asciiTheme="minorHAnsi" w:hAnsiTheme="minorHAnsi"/>
          <w:b/>
          <w:i/>
          <w:sz w:val="22"/>
          <w:szCs w:val="22"/>
        </w:rPr>
      </w:pPr>
    </w:p>
    <w:p w14:paraId="50BF8C51" w14:textId="77777777" w:rsidR="00844DDF" w:rsidRDefault="00301743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Особливо суворі заборони застосовуються до будь-яких спроб неправомірного впливу на державних посадовців</w:t>
      </w:r>
      <w:r>
        <w:rPr>
          <w:sz w:val="22"/>
          <w:szCs w:val="22"/>
          <w:b/>
          <w:rFonts w:asciiTheme="minorHAnsi" w:hAnsiTheme="minorHAnsi"/>
        </w:rPr>
        <w:t xml:space="preserve">.</w:t>
      </w:r>
      <w:r>
        <w:rPr>
          <w:sz w:val="22"/>
          <w:szCs w:val="22"/>
          <w:b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Наша Політика забороняє хабарництво й корупцію між PPG та її комерційними партнерами, а не лише між PPG і державними установами/посадовцями.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Однак деякі закони, зокрема закон США FCPA, передбачають </w:t>
      </w:r>
      <w:r>
        <w:rPr>
          <w:sz w:val="22"/>
          <w:szCs w:val="22"/>
          <w:u w:val="single"/>
          <w:rFonts w:asciiTheme="minorHAnsi" w:hAnsiTheme="minorHAnsi"/>
        </w:rPr>
        <w:t xml:space="preserve">особливо</w:t>
      </w:r>
      <w:r>
        <w:rPr>
          <w:sz w:val="22"/>
          <w:szCs w:val="22"/>
          <w:rFonts w:asciiTheme="minorHAnsi" w:hAnsiTheme="minorHAnsi"/>
        </w:rPr>
        <w:t xml:space="preserve"> великі штрафи й санкції за хабарі іноземним державним службовцям.</w:t>
      </w:r>
      <w:r>
        <w:rPr>
          <w:sz w:val="22"/>
          <w:szCs w:val="22"/>
          <w:rFonts w:asciiTheme="minorHAnsi" w:hAnsiTheme="minorHAnsi"/>
        </w:rPr>
        <w:t xml:space="preserve">   </w:t>
      </w:r>
    </w:p>
    <w:p w14:paraId="5F76E327" w14:textId="77777777" w:rsidR="00844DDF" w:rsidRPr="00AA7101" w:rsidRDefault="00844DDF" w:rsidP="00B21148">
      <w:pPr>
        <w:pStyle w:val="ListParagraph"/>
        <w:ind w:left="540" w:hanging="360"/>
        <w:rPr>
          <w:rFonts w:asciiTheme="minorHAnsi" w:hAnsiTheme="minorHAnsi"/>
          <w:sz w:val="22"/>
          <w:szCs w:val="22"/>
        </w:rPr>
      </w:pPr>
    </w:p>
    <w:p w14:paraId="6EF5464D" w14:textId="051C7050" w:rsidR="0085042C" w:rsidRDefault="00844DDF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Суб’єкти державної форми власності (СДФВ) вважаються державними посадовцями</w:t>
      </w:r>
      <w:r>
        <w:rPr>
          <w:sz w:val="22"/>
          <w:szCs w:val="22"/>
          <w:rFonts w:asciiTheme="minorHAnsi" w:hAnsiTheme="minorHAnsi"/>
        </w:rPr>
        <w:t xml:space="preserve">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У багатьох країнах держава може володіти частиною компанії — СДФВ — з якою PPG вирішує вести бізнес.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СДФВ є розповсюдженими у світі, а особливо в Китаї, Росії, ОАЕ та Індонезії.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Оскільки не завжди очевидно, чи компанія є виключно приватним підприємством або певна її частина належить державі, ще важливіше, щоб представники PPG за жодних обставин не пропонували й не надавали хабарі та не здійснювали неправомірних платежів жодним особам.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5296F0D5" w14:textId="77777777" w:rsidR="0085042C" w:rsidRDefault="0085042C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03A1F4C6" w14:textId="13CA9196" w:rsidR="0085042C" w:rsidRDefault="00A957D3" w:rsidP="00B21148">
      <w:pPr>
        <w:pStyle w:val="NormalWeb"/>
        <w:numPr>
          <w:ilvl w:val="0"/>
          <w:numId w:val="2"/>
        </w:numPr>
        <w:spacing w:before="0" w:beforeAutospacing="0" w:after="0" w:afterAutospacing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Компанію PPG може бути притягнуто до відповідальності, якщо наші агенти чи інші посередники сплачуватимуть хабарі від нашого імені</w:t>
      </w:r>
      <w:r>
        <w:rPr>
          <w:sz w:val="22"/>
          <w:szCs w:val="22"/>
          <w:rFonts w:asciiTheme="minorHAnsi" w:hAnsiTheme="minorHAnsi"/>
        </w:rPr>
        <w:t xml:space="preserve">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PPG доручає продаж наших продуктів і послуг третім особам у багатьох країнах.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Заборона на пропозицію й надання хабарів і платежів так само стосується цих посередників.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Аналогічно, неналежні платежі чи хабарі не можна здійснювати друзям або родичам людини, яка працює в клієнта, чи державному посадовцю, якщо PPG знає або обґрунтовано вважає, що таким платежем буде надано користь клієнту чи державному посадовцю з неналежною метою.</w:t>
      </w:r>
    </w:p>
    <w:p w14:paraId="7737F7CA" w14:textId="77777777" w:rsidR="0085042C" w:rsidRDefault="0085042C" w:rsidP="00B21148">
      <w:pPr>
        <w:pStyle w:val="Default"/>
        <w:ind w:left="540" w:hanging="360"/>
        <w:rPr>
          <w:rFonts w:asciiTheme="minorHAnsi" w:hAnsiTheme="minorHAnsi" w:cs="Times New Roman"/>
          <w:i/>
          <w:sz w:val="22"/>
          <w:szCs w:val="22"/>
        </w:rPr>
      </w:pPr>
    </w:p>
    <w:p w14:paraId="3929F280" w14:textId="22B446E8" w:rsidR="00AC350E" w:rsidRDefault="00B21148" w:rsidP="00B21148">
      <w:pPr>
        <w:spacing w:after="24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PPG розробила та підтримує потужну програму комплексної перевірки сторонніх осіб, щоб перевіряти своїх агентів і посередників та керувати ними.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Докладнішу інформацію див. на цьому сайті:</w:t>
      </w:r>
      <w:r>
        <w:rPr>
          <w:sz w:val="22"/>
          <w:szCs w:val="22"/>
          <w:rFonts w:asciiTheme="minorHAnsi" w:hAnsiTheme="minorHAnsi"/>
        </w:rPr>
        <w:t xml:space="preserve"> </w:t>
      </w:r>
      <w:hyperlink r:id="rId18" w:history="1">
        <w:r>
          <w:rPr>
            <w:rStyle w:val="Hyperlink"/>
            <w:sz w:val="22"/>
            <w:szCs w:val="22"/>
            <w:rFonts w:asciiTheme="minorHAnsi" w:hAnsiTheme="minorHAnsi"/>
          </w:rPr>
          <w:t xml:space="preserve">Комплексна перевірка сторонніх осіб PPG</w:t>
        </w:r>
      </w:hyperlink>
      <w:r>
        <w:rPr>
          <w:sz w:val="22"/>
          <w:szCs w:val="22"/>
          <w:rFonts w:asciiTheme="minorHAnsi" w:hAnsiTheme="minorHAnsi"/>
        </w:rPr>
        <w:t xml:space="preserve">.</w:t>
      </w:r>
    </w:p>
    <w:p w14:paraId="1948E48E" w14:textId="4DD92C42" w:rsidR="0085042C" w:rsidRDefault="002A0565" w:rsidP="00B21148">
      <w:pPr>
        <w:spacing w:after="24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Ми також повинні виконувати належну комплексну перевірку, коли обираємо партнерів для спільних підприємств, кандидатів для придбання та їхніх відповідних агентів і представників.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Компанію PPG може бути притягнуто до відповідальності за неналежні дії компанії, яку вона купує, або її партнерів у спільних підприємствах, якщо вона не: (i) проведе ретельну й своєчасну перевірку потенційних зон ризику; (ii) запровадить ефективну програму контролю за дотриманням норм у цих організаціях; або (iii) в інший спосіб не припинить таку неналежну діяльність.</w:t>
      </w:r>
    </w:p>
    <w:p w14:paraId="1C74DD13" w14:textId="4CF21B5C" w:rsidR="0085042C" w:rsidRDefault="00AC350E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Будьте обережні зі знижками, вирахуваннями та авансовими знижками.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Як багато інших компаній,</w:t>
      </w:r>
      <w:r>
        <w:rPr>
          <w:sz w:val="22"/>
          <w:szCs w:val="22"/>
          <w:b/>
          <w:i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PPG час від часу виконує вирахування, надає авансові й інші знижки та здійснює аналогічні виплати клієнтам із метою отримання або збереження контрактів чи ділових можливостей у межах узгоджених комерційних домовленостей.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Ці платежі не є «неналежними», якщо вони явним чином передбачені в контракті, є помірними та відповідають сучасним практикам роботи стратегічного підрозділу (SBU), не здійснюються у формі грошей, сплачуються напряму організації клієнта, а не іншій людині або через неї, належним чином зареєстровані в нашій бухгалтерській і обліковій документації та в інших аспектах відповідають контрактним вимогам.</w:t>
      </w:r>
    </w:p>
    <w:p w14:paraId="4A51F24D" w14:textId="77777777" w:rsidR="00C613B2" w:rsidRDefault="00C613B2" w:rsidP="00B21148">
      <w:pPr>
        <w:pStyle w:val="ListParagraph"/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44C949FE" w14:textId="77777777" w:rsidR="0085042C" w:rsidRDefault="00C613B2" w:rsidP="00B21148">
      <w:pPr>
        <w:pStyle w:val="ListParagraph"/>
        <w:numPr>
          <w:ilvl w:val="0"/>
          <w:numId w:val="2"/>
        </w:numPr>
        <w:spacing w:before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Точне й прозоре ведення бухгалтерської та облікової документації та належні правила внутрішнього обліку є надзвичайно важливими.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За жодних обставин не можна фальсифікувати транзакції в нашій бухгалтерській і обліковій документації.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Хабарі часто приховуються під виглядом законних платежів, таких як комісійні чи оплата консультативних послуг.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У багатьох випадках компанії визнаються винними в порушеннях антикорупційних законів навіть за відсутності доказів хабара — усе через неточне відображення неналежних платежів або слабкі внутрішні засоби контролю, які наражають такі компанії на ризики корупції.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79285CD4" w14:textId="77777777" w:rsidR="005F19D4" w:rsidRPr="00AA7101" w:rsidRDefault="005F19D4" w:rsidP="00B21148">
      <w:pPr>
        <w:spacing w:before="0"/>
        <w:ind w:left="540" w:hanging="360"/>
        <w:rPr>
          <w:rFonts w:asciiTheme="minorHAnsi" w:hAnsiTheme="minorHAnsi"/>
          <w:sz w:val="22"/>
          <w:szCs w:val="22"/>
        </w:rPr>
      </w:pPr>
    </w:p>
    <w:p w14:paraId="1C7E1CC4" w14:textId="57864599" w:rsidR="0085042C" w:rsidRDefault="00B21148" w:rsidP="00B21148">
      <w:pPr>
        <w:pStyle w:val="NormalWeb"/>
        <w:spacing w:before="0" w:beforeAutospacing="0" w:after="0" w:afterAutospacing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Крім того, понесені витрати й виконані дії в межах проявів гостинності, подорожей, подарунків, розважальних заходів і пригощань, мають бути прозорими. Це означає, що в рахунках, які засвідчують ці витрати та дії, має бути зазначено залучених осіб, чітко вказано ділову мету, описано дії, зазначено витрачену суму грошей тощо.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2D224679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Theme="minorHAnsi" w:hAnsiTheme="minorHAnsi"/>
          <w:sz w:val="22"/>
          <w:szCs w:val="22"/>
        </w:rPr>
      </w:pPr>
    </w:p>
    <w:p w14:paraId="16F65D70" w14:textId="10B5F6D8" w:rsidR="0085042C" w:rsidRDefault="002A0565" w:rsidP="00B21148">
      <w:pPr>
        <w:pStyle w:val="NormalWeb"/>
        <w:numPr>
          <w:ilvl w:val="0"/>
          <w:numId w:val="10"/>
        </w:numPr>
        <w:spacing w:before="0" w:beforeAutospacing="0" w:after="0" w:afterAutospacing="0"/>
        <w:ind w:left="54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b/>
          <w:i/>
          <w:rFonts w:asciiTheme="minorHAnsi" w:hAnsiTheme="minorHAnsi"/>
        </w:rPr>
        <w:t xml:space="preserve">Благодійні внески іноді можуть вважатися хабарами.</w:t>
      </w:r>
      <w:r>
        <w:rPr>
          <w:sz w:val="22"/>
          <w:szCs w:val="22"/>
          <w:b/>
          <w:i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Багато співробітників дивуються, коли дізнаються, що благодійні внески й спонсорство можуть становити ризик порушення антикорупційних і антихабарницьких нормативно-правових актів.</w:t>
      </w:r>
    </w:p>
    <w:p w14:paraId="046B3E20" w14:textId="597B138A" w:rsidR="0085042C" w:rsidRDefault="00B21148" w:rsidP="00B21148">
      <w:pPr>
        <w:pStyle w:val="NormalWeb"/>
        <w:spacing w:before="0"/>
        <w:ind w:left="540" w:hanging="360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ab/>
      </w:r>
      <w:r>
        <w:rPr>
          <w:sz w:val="22"/>
          <w:szCs w:val="22"/>
          <w:rFonts w:asciiTheme="minorHAnsi" w:hAnsiTheme="minorHAnsi"/>
        </w:rPr>
        <w:t xml:space="preserve">Наприклад, діловий партнер PPG або державний посадовець може активно підтримувати благодійну організацію чи входити до її ради директорів.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Як докладніше описано в розділі </w:t>
      </w:r>
      <w:hyperlink r:id="rId19" w:history="1">
        <w:r>
          <w:rPr>
            <w:rStyle w:val="Hyperlink"/>
            <w:i/>
            <w:sz w:val="22"/>
            <w:szCs w:val="22"/>
            <w:rFonts w:asciiTheme="minorHAnsi" w:hAnsiTheme="minorHAnsi"/>
          </w:rPr>
          <w:t xml:space="preserve">Благодійні внески</w:t>
        </w:r>
      </w:hyperlink>
      <w:r>
        <w:rPr>
          <w:sz w:val="22"/>
          <w:szCs w:val="22"/>
          <w:rFonts w:asciiTheme="minorHAnsi" w:hAnsiTheme="minorHAnsi"/>
        </w:rPr>
        <w:t xml:space="preserve"> нашого Кодексу, PPG не може використовувати внесок у цю благодійну організацію з метою схилити партнера або посадовця до співпраці з нами, надання дозволу чи отримання будь-якої іншої неправомірної бізнес-переваги.</w:t>
      </w:r>
      <w:r>
        <w:rPr>
          <w:sz w:val="22"/>
          <w:szCs w:val="22"/>
          <w:rFonts w:asciiTheme="minorHAnsi" w:hAnsiTheme="minorHAnsi"/>
        </w:rPr>
        <w:t xml:space="preserve">  </w:t>
      </w:r>
    </w:p>
    <w:p w14:paraId="213AFA17" w14:textId="2A969EE2" w:rsidR="0085042C" w:rsidRDefault="002A0565" w:rsidP="00B21148">
      <w:pPr>
        <w:pStyle w:val="NormalWeb"/>
        <w:numPr>
          <w:ilvl w:val="0"/>
          <w:numId w:val="13"/>
        </w:numPr>
        <w:spacing w:before="0" w:beforeAutospacing="0" w:after="0" w:afterAutospacing="0"/>
        <w:ind w:left="540"/>
        <w:rPr>
          <w:sz w:val="22"/>
          <w:szCs w:val="22"/>
          <w:rFonts w:ascii="Calibri" w:hAnsi="Calibri"/>
        </w:rPr>
      </w:pPr>
      <w:r>
        <w:rPr>
          <w:sz w:val="22"/>
          <w:szCs w:val="22"/>
          <w:b/>
          <w:bCs/>
          <w:i/>
          <w:rFonts w:ascii="Calibri" w:hAnsi="Calibri"/>
        </w:rPr>
        <w:t xml:space="preserve">Внески на політичні цілі</w:t>
      </w:r>
      <w:r>
        <w:rPr>
          <w:sz w:val="22"/>
          <w:szCs w:val="22"/>
          <w:rFonts w:ascii="Calibri" w:hAnsi="Calibri"/>
        </w:rPr>
        <w:t xml:space="preserve">.</w:t>
      </w:r>
      <w:r>
        <w:rPr>
          <w:sz w:val="22"/>
          <w:szCs w:val="22"/>
          <w:rFonts w:ascii="Calibri" w:hAnsi="Calibri"/>
        </w:rPr>
        <w:t xml:space="preserve"> </w:t>
      </w:r>
      <w:r>
        <w:rPr>
          <w:sz w:val="22"/>
          <w:szCs w:val="22"/>
          <w:rFonts w:ascii="Calibri" w:hAnsi="Calibri"/>
        </w:rPr>
        <w:t xml:space="preserve">PPG підтримує політичних кандидатів через затверджені компанією структури з дотриманням вимог місцевих законів і за наявності дозволу від відділу PPG Government Affairs.</w:t>
      </w:r>
      <w:r>
        <w:rPr>
          <w:sz w:val="22"/>
          <w:szCs w:val="22"/>
          <w:rFonts w:ascii="Calibri" w:hAnsi="Calibri"/>
        </w:rPr>
        <w:t xml:space="preserve"> </w:t>
      </w:r>
      <w:r>
        <w:rPr>
          <w:sz w:val="22"/>
          <w:szCs w:val="22"/>
          <w:rFonts w:ascii="Calibri" w:hAnsi="Calibri"/>
        </w:rPr>
        <w:t xml:space="preserve">Аналогічно до ризиків, пов’язаних із благодійними внесками, коли здійснюються внески на користь політичного кандидата чи партії, виникає явний ризик неналежного впливу на такого державного посадовця чи ділового партнера.</w:t>
      </w:r>
      <w:r>
        <w:rPr>
          <w:sz w:val="22"/>
          <w:szCs w:val="22"/>
          <w:rFonts w:ascii="Calibri" w:hAnsi="Calibri"/>
        </w:rPr>
        <w:t xml:space="preserve">  </w:t>
      </w:r>
      <w:r>
        <w:rPr>
          <w:sz w:val="22"/>
          <w:szCs w:val="22"/>
          <w:rFonts w:ascii="Calibri" w:hAnsi="Calibri"/>
        </w:rPr>
        <w:t xml:space="preserve">У разі отримання прохання здійснити платіж на користь державного посадовця, що не є добровільним персональним внеском у кампанію, кожен співробітник повинен зв’язатися з Chief Compliance Officer PPG і відділом Government Affairs PPG.</w:t>
      </w:r>
    </w:p>
    <w:p w14:paraId="6E98FB20" w14:textId="77777777" w:rsidR="0085042C" w:rsidRDefault="0085042C" w:rsidP="00B21148">
      <w:pPr>
        <w:pStyle w:val="NormalWeb"/>
        <w:spacing w:before="0" w:beforeAutospacing="0" w:after="0" w:afterAutospacing="0"/>
        <w:ind w:left="540" w:hanging="360"/>
        <w:rPr>
          <w:rFonts w:ascii="Calibri" w:hAnsi="Calibri"/>
          <w:sz w:val="22"/>
          <w:szCs w:val="22"/>
        </w:rPr>
      </w:pPr>
    </w:p>
    <w:p w14:paraId="7DE6F25B" w14:textId="77777777" w:rsidR="0085042C" w:rsidRDefault="0085042C">
      <w:pPr>
        <w:spacing w:before="0"/>
        <w:rPr>
          <w:rFonts w:asciiTheme="minorHAnsi" w:hAnsiTheme="minorHAnsi"/>
          <w:sz w:val="22"/>
          <w:szCs w:val="22"/>
          <w:u w:val="single"/>
        </w:rPr>
      </w:pPr>
    </w:p>
    <w:p w14:paraId="1FEC9774" w14:textId="77777777" w:rsidR="0085042C" w:rsidRDefault="002A0565" w:rsidP="00411E2B">
      <w:pPr>
        <w:spacing w:before="0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Наслідки</w:t>
      </w:r>
    </w:p>
    <w:p w14:paraId="527B037F" w14:textId="77777777" w:rsidR="00AF084C" w:rsidRPr="00A55EC2" w:rsidRDefault="00AF084C" w:rsidP="00411E2B">
      <w:pPr>
        <w:spacing w:before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4420E7B" w14:textId="396E532C" w:rsidR="0085042C" w:rsidRDefault="002A0565" w:rsidP="008C3EBA">
      <w:pPr>
        <w:spacing w:before="0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Порушення цієї Політики та нормативно-правових актів, спрямованих на боротьбу з хабарництвом і корупцією, може призводити до серйозних кримінальних і/або цивільно-правових санкцій як для PPG, так і для людей, що мають до цього стосунок.</w:t>
      </w:r>
      <w:r>
        <w:rPr>
          <w:sz w:val="22"/>
          <w:szCs w:val="22"/>
          <w:rFonts w:asciiTheme="minorHAnsi" w:hAnsiTheme="minorHAnsi"/>
        </w:rPr>
        <w:t xml:space="preserve">  </w:t>
      </w:r>
      <w:r>
        <w:rPr>
          <w:sz w:val="22"/>
          <w:szCs w:val="22"/>
          <w:rFonts w:asciiTheme="minorHAnsi" w:hAnsiTheme="minorHAnsi"/>
        </w:rPr>
        <w:t xml:space="preserve">Важливо ніколи не допускати навіть створення враження потенційного порушення цих обмежень.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Певні закони передбачають необмежені фінансові санкції, які часто перевищують кілька мільйонів доларів.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Кримінальне покарання людей може сягати десяти чи більше років ув’язнення, а також включати особисті штрафи, які PPG не може сплатити від вашого імені.</w:t>
      </w:r>
    </w:p>
    <w:p w14:paraId="05325B61" w14:textId="77777777" w:rsidR="008C3EBA" w:rsidRDefault="008C3EBA" w:rsidP="008C3EBA">
      <w:pPr>
        <w:jc w:val="both"/>
        <w:rPr>
          <w:rFonts w:asciiTheme="minorHAnsi" w:hAnsiTheme="minorHAnsi"/>
          <w:sz w:val="22"/>
          <w:szCs w:val="22"/>
        </w:rPr>
      </w:pPr>
    </w:p>
    <w:p w14:paraId="77E851C8" w14:textId="77777777" w:rsidR="0085042C" w:rsidRDefault="002A0565" w:rsidP="008C3EBA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Будь-яке порушення цієї Політики або цих нормативно-правових актів може призвести до застосування дисциплінарних стягнень Компанією включно зі звільненням.</w:t>
      </w:r>
      <w:r>
        <w:rPr>
          <w:sz w:val="22"/>
          <w:szCs w:val="22"/>
          <w:rFonts w:asciiTheme="minorHAnsi" w:hAnsiTheme="minorHAnsi"/>
        </w:rPr>
        <w:t xml:space="preserve">  </w:t>
      </w:r>
    </w:p>
    <w:p w14:paraId="269652AE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6FEE9BC6" w14:textId="77777777" w:rsidR="0085042C" w:rsidRDefault="002A0565" w:rsidP="00411E2B">
      <w:pPr>
        <w:pStyle w:val="Default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Моніторинг і перевірка</w:t>
      </w:r>
    </w:p>
    <w:p w14:paraId="2FDAEE78" w14:textId="77777777" w:rsidR="00AF084C" w:rsidRPr="00A55EC2" w:rsidRDefault="00AF084C" w:rsidP="00411E2B">
      <w:pPr>
        <w:pStyle w:val="Default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7CFB4F07" w14:textId="6FB41C95" w:rsidR="0085042C" w:rsidRDefault="00AF084C">
      <w:pPr>
        <w:pStyle w:val="Default"/>
        <w:rPr>
          <w:b/>
          <w:sz w:val="22"/>
          <w:szCs w:val="22"/>
          <w:u w:val="single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Керівництво несе відповідальність за запровадження засобів контролю, які гарантуватимуть, що в усіх країнах світу ми ведемо бізнес відповідно до політик PPG й усіх застосовних нормативно-правових актів.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rFonts w:asciiTheme="minorHAnsi" w:hAnsiTheme="minorHAnsi"/>
        </w:rPr>
        <w:t xml:space="preserve">Відділ Corporate Audit Services PPG регулярно проводитиме моніторинг і перевірку дотримання співробітниками цієї Політики, пов’язаних процедур і згаданих нормативно-правових актів.</w:t>
      </w:r>
      <w:r>
        <w:rPr>
          <w:sz w:val="22"/>
          <w:szCs w:val="22"/>
          <w:rFonts w:asciiTheme="minorHAnsi" w:hAnsiTheme="minorHAnsi"/>
        </w:rPr>
        <w:t xml:space="preserve"> </w:t>
      </w:r>
    </w:p>
    <w:p w14:paraId="5013ACCA" w14:textId="77777777" w:rsidR="0085042C" w:rsidRDefault="0085042C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DD894EE" w14:textId="77777777" w:rsidR="0085042C" w:rsidRPr="00A55EC2" w:rsidRDefault="002A0565" w:rsidP="00411E2B">
      <w:pPr>
        <w:pStyle w:val="Default"/>
        <w:jc w:val="center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Звітування</w:t>
      </w:r>
    </w:p>
    <w:p w14:paraId="18D6363F" w14:textId="77777777" w:rsidR="0085042C" w:rsidRDefault="002A0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Кожен директор, посадовець або співробітник PPG та її дочірніх компаній, який запідозрив або знає про порушення цієї Політики чи цих нормативно-правових актів, повинен надати відповідну інформацію таким співробітникам PPG: Chief Compliance Officer чи Corporate Counsel або надати її відділу Global Ethics &amp; Compliance чи повідомити її за допомогою інших ресурсів, які наведено нижче, або через конфіденційну й анонімну «</w:t>
      </w:r>
      <w:hyperlink r:id="rId20" w:history="1">
        <w:r>
          <w:rPr>
            <w:rStyle w:val="Hyperlink"/>
            <w:sz w:val="22"/>
            <w:szCs w:val="22"/>
          </w:rPr>
          <w:t xml:space="preserve">Гарячу лінію</w:t>
        </w:r>
      </w:hyperlink>
      <w:r>
        <w:rPr>
          <w:sz w:val="22"/>
          <w:szCs w:val="22"/>
        </w:rPr>
        <w:t xml:space="preserve">» PPG.</w:t>
      </w:r>
      <w:r>
        <w:rPr>
          <w:sz w:val="22"/>
          <w:szCs w:val="22"/>
        </w:rPr>
        <w:t xml:space="preserve">  </w:t>
      </w:r>
    </w:p>
    <w:p w14:paraId="6CEBC2CF" w14:textId="77777777" w:rsidR="0085042C" w:rsidRDefault="0085042C">
      <w:pPr>
        <w:pStyle w:val="Default"/>
        <w:rPr>
          <w:rFonts w:asciiTheme="minorHAnsi" w:hAnsiTheme="minorHAnsi"/>
          <w:i/>
          <w:sz w:val="22"/>
          <w:szCs w:val="22"/>
        </w:rPr>
      </w:pPr>
    </w:p>
    <w:p w14:paraId="2B9D7AAF" w14:textId="77777777" w:rsidR="0085042C" w:rsidRDefault="002A0565">
      <w:pPr>
        <w:pStyle w:val="Default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Ресурси</w:t>
      </w:r>
    </w:p>
    <w:p w14:paraId="53784C3D" w14:textId="77777777" w:rsidR="0085042C" w:rsidRDefault="002A0565">
      <w:pPr>
        <w:pStyle w:val="Default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З усіма запитаннями про цю Політику або згадані нормативно-правові акти, будь ласка, звертайтеся до таких співробітників і відділів:</w:t>
      </w:r>
    </w:p>
    <w:p w14:paraId="491190A2" w14:textId="77777777" w:rsidR="008C3EBA" w:rsidRPr="008C3EBA" w:rsidRDefault="002A0565" w:rsidP="008C3EBA">
      <w:pPr>
        <w:pStyle w:val="Default"/>
        <w:numPr>
          <w:ilvl w:val="0"/>
          <w:numId w:val="2"/>
        </w:numPr>
        <w:ind w:left="763"/>
        <w:contextualSpacing/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Chief Compliance Officer PPG — США (412-434-3200)</w:t>
      </w:r>
    </w:p>
    <w:p w14:paraId="41E673D6" w14:textId="77777777" w:rsidR="00411E2B" w:rsidRPr="00411E2B" w:rsidRDefault="00411E2B" w:rsidP="008C3EBA">
      <w:pPr>
        <w:pStyle w:val="ListParagraph"/>
        <w:numPr>
          <w:ilvl w:val="0"/>
          <w:numId w:val="2"/>
        </w:numPr>
        <w:spacing w:before="0"/>
        <w:ind w:left="763"/>
        <w:rPr>
          <w:i/>
          <w:color w:val="000000"/>
          <w:sz w:val="22"/>
          <w:szCs w:val="22"/>
          <w:rFonts w:asciiTheme="minorHAnsi" w:eastAsiaTheme="minorHAnsi" w:hAnsiTheme="minorHAnsi" w:cs="Calibri"/>
        </w:rPr>
      </w:pPr>
      <w:r>
        <w:rPr>
          <w:i/>
          <w:color w:val="000000"/>
          <w:sz w:val="22"/>
          <w:szCs w:val="22"/>
          <w:rFonts w:asciiTheme="minorHAnsi" w:hAnsiTheme="minorHAnsi"/>
        </w:rPr>
        <w:t xml:space="preserve">Corporate Counsel, Global Ethics &amp; Compliance PPG (412-434-2434)</w:t>
      </w:r>
    </w:p>
    <w:p w14:paraId="40F6C28B" w14:textId="77777777" w:rsidR="0085042C" w:rsidRDefault="002A0565" w:rsidP="008C3EBA">
      <w:pPr>
        <w:pStyle w:val="Default"/>
        <w:numPr>
          <w:ilvl w:val="0"/>
          <w:numId w:val="2"/>
        </w:numPr>
        <w:contextualSpacing/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Senior V.P. та General Counsel PPG — США (412-434-2471)</w:t>
      </w:r>
    </w:p>
    <w:p w14:paraId="55921441" w14:textId="77777777" w:rsidR="0085042C" w:rsidRDefault="002A0565">
      <w:pPr>
        <w:pStyle w:val="Default"/>
        <w:numPr>
          <w:ilvl w:val="0"/>
          <w:numId w:val="2"/>
        </w:numPr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Регіональні юрисконсульти PPG:</w:t>
      </w:r>
    </w:p>
    <w:p w14:paraId="601FDF92" w14:textId="77777777" w:rsidR="0085042C" w:rsidRDefault="002A0565" w:rsidP="003270D8">
      <w:pPr>
        <w:pStyle w:val="Default"/>
        <w:numPr>
          <w:ilvl w:val="1"/>
          <w:numId w:val="17"/>
        </w:numPr>
        <w:rPr>
          <w:b/>
          <w:sz w:val="22"/>
          <w:szCs w:val="22"/>
          <w:u w:val="single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General Counsel — Азіатсько-Тихоокеанський регіон (852-2860-4569)</w:t>
      </w:r>
    </w:p>
    <w:p w14:paraId="41D0DBB3" w14:textId="77777777" w:rsidR="0085042C" w:rsidRDefault="002A0565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General Counsel — Європа, Близький Схід і Африка (41-21-822-3011)</w:t>
      </w:r>
    </w:p>
    <w:p w14:paraId="36FDEF75" w14:textId="77777777" w:rsidR="0030096A" w:rsidRDefault="0030096A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Law Director — Південна Америка (55 19 2103-6082)</w:t>
      </w:r>
    </w:p>
    <w:p w14:paraId="04893EF1" w14:textId="4EAFDFD6" w:rsidR="0085042C" w:rsidRDefault="003270D8" w:rsidP="003270D8">
      <w:pPr>
        <w:pStyle w:val="Default"/>
        <w:numPr>
          <w:ilvl w:val="1"/>
          <w:numId w:val="17"/>
        </w:numPr>
        <w:rPr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Law and Compliance Director — Північна Латинська Америка (52 55 5284-1779)</w:t>
      </w:r>
    </w:p>
    <w:sectPr w:rsidR="0085042C" w:rsidSect="0085042C">
      <w:footerReference w:type="default" r:id="rId21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2004" w14:textId="77777777" w:rsidR="003E2ED3" w:rsidRDefault="003E2ED3">
      <w:pPr>
        <w:spacing w:before="0"/>
      </w:pPr>
      <w:r>
        <w:separator/>
      </w:r>
    </w:p>
  </w:endnote>
  <w:endnote w:type="continuationSeparator" w:id="0">
    <w:p w14:paraId="12B886E1" w14:textId="77777777" w:rsidR="003E2ED3" w:rsidRDefault="003E2E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841" w14:textId="7FDC14AA" w:rsidR="004C79DC" w:rsidRDefault="00ED53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Ред. 19/12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Стор. </w:t>
    </w:r>
    <w:r w:rsidR="004C79DC">
      <w:fldChar w:fldCharType="begin"/>
    </w:r>
    <w:r w:rsidR="004C79DC">
      <w:instrText xml:space="preserve"> PAGE   \* MERGEFORMAT </w:instrText>
    </w:r>
    <w:r w:rsidR="004C79DC">
      <w:fldChar w:fldCharType="separate"/>
    </w:r>
    <w:r w:rsidR="005A6891" w:rsidRPr="005A6891">
      <w:rPr>
        <w:rFonts w:asciiTheme="majorHAnsi" w:hAnsiTheme="majorHAnsi"/>
      </w:rPr>
      <w:t>4</w:t>
    </w:r>
    <w:r w:rsidR="004C79DC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5613" w14:textId="77777777" w:rsidR="003E2ED3" w:rsidRDefault="003E2ED3">
      <w:pPr>
        <w:spacing w:before="0"/>
      </w:pPr>
      <w:r>
        <w:separator/>
      </w:r>
    </w:p>
  </w:footnote>
  <w:footnote w:type="continuationSeparator" w:id="0">
    <w:p w14:paraId="3596777B" w14:textId="77777777" w:rsidR="003E2ED3" w:rsidRDefault="003E2ED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15pt;height:9.15pt" o:bullet="t">
        <v:imagedata r:id="rId1" o:title="art8ED"/>
      </v:shape>
    </w:pict>
  </w:numPicBullet>
  <w:abstractNum w:abstractNumId="0" w15:restartNumberingAfterBreak="0">
    <w:nsid w:val="08D62D33"/>
    <w:multiLevelType w:val="hybridMultilevel"/>
    <w:tmpl w:val="71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E42C1"/>
    <w:multiLevelType w:val="hybridMultilevel"/>
    <w:tmpl w:val="6380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D5C5A"/>
    <w:multiLevelType w:val="hybridMultilevel"/>
    <w:tmpl w:val="75D00B10"/>
    <w:lvl w:ilvl="0" w:tplc="CEA088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A24A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A2A02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2E2DE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DDA35C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9DE113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78EF9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8A2E1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7B42F8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F9E530B"/>
    <w:multiLevelType w:val="hybridMultilevel"/>
    <w:tmpl w:val="1B1C5306"/>
    <w:lvl w:ilvl="0" w:tplc="A1C0F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E77A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CC2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AA2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02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42A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5C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A0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A8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5D3908"/>
    <w:multiLevelType w:val="hybridMultilevel"/>
    <w:tmpl w:val="2AD0B15C"/>
    <w:lvl w:ilvl="0" w:tplc="AD7E46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2891"/>
    <w:multiLevelType w:val="hybridMultilevel"/>
    <w:tmpl w:val="60B69E3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5C8311B"/>
    <w:multiLevelType w:val="hybridMultilevel"/>
    <w:tmpl w:val="127443C2"/>
    <w:lvl w:ilvl="0" w:tplc="E5BAB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3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C90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8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2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E6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9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6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6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73743D"/>
    <w:multiLevelType w:val="hybridMultilevel"/>
    <w:tmpl w:val="2050E47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C9A51AB"/>
    <w:multiLevelType w:val="hybridMultilevel"/>
    <w:tmpl w:val="A4887D18"/>
    <w:lvl w:ilvl="0" w:tplc="80DA8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C3C6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615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61D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A0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67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40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659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BB48F6"/>
    <w:multiLevelType w:val="hybridMultilevel"/>
    <w:tmpl w:val="9C66A0A2"/>
    <w:lvl w:ilvl="0" w:tplc="F77875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7488F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9EEFE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ECDD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492EF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981B6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460BD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BE8264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81E1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69F1114A"/>
    <w:multiLevelType w:val="hybridMultilevel"/>
    <w:tmpl w:val="DB2E2CDE"/>
    <w:lvl w:ilvl="0" w:tplc="C1F2F4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D832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9A0D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20F3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CE2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FADC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FA38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320A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8A39B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2C366AB"/>
    <w:multiLevelType w:val="hybridMultilevel"/>
    <w:tmpl w:val="00E25980"/>
    <w:lvl w:ilvl="0" w:tplc="3D9C14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D2606"/>
    <w:multiLevelType w:val="hybridMultilevel"/>
    <w:tmpl w:val="FD3C8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D2C5D"/>
    <w:multiLevelType w:val="hybridMultilevel"/>
    <w:tmpl w:val="656426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2C"/>
    <w:rsid w:val="0010137D"/>
    <w:rsid w:val="001023E7"/>
    <w:rsid w:val="001B70A7"/>
    <w:rsid w:val="001F44D4"/>
    <w:rsid w:val="001F59D3"/>
    <w:rsid w:val="002009CC"/>
    <w:rsid w:val="00201E84"/>
    <w:rsid w:val="002A0565"/>
    <w:rsid w:val="002C4D14"/>
    <w:rsid w:val="002C689C"/>
    <w:rsid w:val="002F6302"/>
    <w:rsid w:val="0030096A"/>
    <w:rsid w:val="00301743"/>
    <w:rsid w:val="00302DF2"/>
    <w:rsid w:val="003270D8"/>
    <w:rsid w:val="003477D5"/>
    <w:rsid w:val="0034795A"/>
    <w:rsid w:val="003821E3"/>
    <w:rsid w:val="003B7A3B"/>
    <w:rsid w:val="003E2ED3"/>
    <w:rsid w:val="003F53E9"/>
    <w:rsid w:val="003F5BF6"/>
    <w:rsid w:val="00411E2B"/>
    <w:rsid w:val="004534BC"/>
    <w:rsid w:val="004A7148"/>
    <w:rsid w:val="004C79DC"/>
    <w:rsid w:val="004E1F0A"/>
    <w:rsid w:val="004E359F"/>
    <w:rsid w:val="00504F8B"/>
    <w:rsid w:val="005A6891"/>
    <w:rsid w:val="005B3B81"/>
    <w:rsid w:val="005F19D4"/>
    <w:rsid w:val="00670AE0"/>
    <w:rsid w:val="00764DF4"/>
    <w:rsid w:val="007802EF"/>
    <w:rsid w:val="007B5071"/>
    <w:rsid w:val="00815680"/>
    <w:rsid w:val="00844DDF"/>
    <w:rsid w:val="0085042C"/>
    <w:rsid w:val="008C3EBA"/>
    <w:rsid w:val="00902A82"/>
    <w:rsid w:val="00915FB0"/>
    <w:rsid w:val="00985CFB"/>
    <w:rsid w:val="009F420F"/>
    <w:rsid w:val="00A47E7A"/>
    <w:rsid w:val="00A55EC2"/>
    <w:rsid w:val="00A957D3"/>
    <w:rsid w:val="00AA7101"/>
    <w:rsid w:val="00AC350E"/>
    <w:rsid w:val="00AC37DC"/>
    <w:rsid w:val="00AD5545"/>
    <w:rsid w:val="00AF084C"/>
    <w:rsid w:val="00B05D5A"/>
    <w:rsid w:val="00B21148"/>
    <w:rsid w:val="00B5431E"/>
    <w:rsid w:val="00BF33FD"/>
    <w:rsid w:val="00C54B31"/>
    <w:rsid w:val="00C613B2"/>
    <w:rsid w:val="00D07999"/>
    <w:rsid w:val="00D10839"/>
    <w:rsid w:val="00D73F88"/>
    <w:rsid w:val="00D93250"/>
    <w:rsid w:val="00DA425F"/>
    <w:rsid w:val="00DB76C7"/>
    <w:rsid w:val="00E00542"/>
    <w:rsid w:val="00E05FB7"/>
    <w:rsid w:val="00E95A14"/>
    <w:rsid w:val="00EB7D4D"/>
    <w:rsid w:val="00ED53A3"/>
    <w:rsid w:val="00F30C7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F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2C"/>
    <w:pPr>
      <w:autoSpaceDE w:val="0"/>
      <w:autoSpaceDN w:val="0"/>
      <w:adjustRightInd w:val="0"/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0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2C"/>
    <w:pPr>
      <w:autoSpaceDE/>
      <w:autoSpaceDN/>
      <w:adjustRightInd/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42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0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4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5042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42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7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3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76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9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4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63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9E9E9"/>
                        <w:left w:val="single" w:sz="4" w:space="6" w:color="E9E9E9"/>
                        <w:bottom w:val="single" w:sz="4" w:space="6" w:color="E9E9E9"/>
                        <w:right w:val="single" w:sz="4" w:space="6" w:color="E9E9E9"/>
                      </w:divBdr>
                    </w:div>
                  </w:divsChild>
                </w:div>
              </w:divsChild>
            </w:div>
          </w:divsChild>
        </w:div>
      </w:divsChild>
    </w:div>
    <w:div w:id="1867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rporate.ppg.com/Our-Company/Ethics.aspx" TargetMode="External"/><Relationship Id="rId18" Type="http://schemas.openxmlformats.org/officeDocument/2006/relationships/hyperlink" Target="https://one.web.ppg.com/na/ethics/en/Pages/Third-Party-Due-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one.web.ppg.com/na/globalfinance/policies/Documents/CM.pdf" TargetMode="External"/><Relationship Id="rId17" Type="http://schemas.openxmlformats.org/officeDocument/2006/relationships/hyperlink" Target="https://one.web.ppg.com/na/globalfinance/policies/Documents/C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ne.web.ppg.com/na/travel/TE/Policies/2018%20Policies/PPG%20Global%20Travel%20Policy%20030118.pdf" TargetMode="External"/><Relationship Id="rId20" Type="http://schemas.openxmlformats.org/officeDocument/2006/relationships/hyperlink" Target="https://app.convercent.com/en-us/LandingPage/ada23786-4d8b-e611-810b-000d3ab2fee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rporate.ppg.com/Our-Company/Ethic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one.web.ppg.com/na/ethics/en/Pages/Due-Diligence-Policies-and-Procedures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corporate.ppg.com/Our-Company/Ethic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rporate.ppg.com/Our-Company/Ethics.asp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C239AD5C10548B01EB05D2CE458CF" ma:contentTypeVersion="4" ma:contentTypeDescription="Create a new document." ma:contentTypeScope="" ma:versionID="65fd16864e68018b9e3939b8f0f274a4">
  <xsd:schema xmlns:xsd="http://www.w3.org/2001/XMLSchema" xmlns:xs="http://www.w3.org/2001/XMLSchema" xmlns:p="http://schemas.microsoft.com/office/2006/metadata/properties" xmlns:ns1="http://schemas.microsoft.com/sharepoint/v3" xmlns:ns2="a78e3f42-8b58-4cf5-a404-787808b7749f" targetNamespace="http://schemas.microsoft.com/office/2006/metadata/properties" ma:root="true" ma:fieldsID="450291bc940ef47ead59f383331a6da3" ns1:_="" ns2:_="">
    <xsd:import namespace="http://schemas.microsoft.com/sharepoint/v3"/>
    <xsd:import namespace="a78e3f42-8b58-4cf5-a404-787808b774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3f42-8b58-4cf5-a404-787808b7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29663-5853-4DD1-8258-892CFC41AC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94DA8A-4275-404A-8F87-31BF73144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e3f42-8b58-4cf5-a404-787808b7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8AC8B-8DD9-4129-AC12-EBA15D9F6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2019-11-26T20:23:00Z</dcterms:created>
  <dcterms:modified xsi:type="dcterms:W3CDTF">2020-01-14T15:18:00Z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0x01010096CC239AD5C10548B01EB05D2CE458CF</vt:lpwstr>
  </property>
  <property fmtid="{D5CDD505-2E9C-101B-9397-08002B2CF9AE}" pid="3" name="Order">
    <vt:r8>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