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7CD85C3" w14:textId="77777777" w:rsidR="0085042C" w:rsidRDefault="00D73F88">
      <w:pPr>
        <w:pStyle w:val="Default"/>
        <w:rPr>
          <w:rFonts w:hint="eastAsia"/>
        </w:rPr>
      </w:pPr>
      <w:r>
        <w:rPr>
          <w:rFonts w:hint="eastAsia"/>
        </w:rPr>
        <w:drawing>
          <wp:inline distT="0" distB="0" distL="0" distR="0" wp14:anchorId="20406005" wp14:editId="60B069B2">
            <wp:extent cx="971550" cy="752475"/>
            <wp:effectExtent l="0" t="0" r="0"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971550" cy="752475"/>
                    </a:xfrm>
                    <a:prstGeom prst="rect">
                      <a:avLst/>
                    </a:prstGeom>
                    <a:noFill/>
                  </pic:spPr>
                </pic:pic>
              </a:graphicData>
            </a:graphic>
          </wp:inline>
        </w:drawing>
      </w:r>
    </w:p>
    <w:p w14:paraId="629160D4" w14:textId="77777777" w:rsidR="0085042C" w:rsidRPr="00AA7101" w:rsidRDefault="002A0565">
      <w:pPr>
        <w:pStyle w:val="Default"/>
        <w:jc w:val="center"/>
        <w:rPr>
          <w:sz w:val="28"/>
          <w:szCs w:val="28"/>
          <w:rFonts w:hint="eastAsia"/>
        </w:rPr>
      </w:pPr>
      <w:r>
        <w:rPr>
          <w:b/>
          <w:bCs/>
          <w:sz w:val="28"/>
          <w:szCs w:val="28"/>
          <w:rFonts w:hint="eastAsia"/>
        </w:rPr>
        <w:t xml:space="preserve">PPGグローバル不正行為防止方針 </w:t>
      </w:r>
    </w:p>
    <w:p w14:paraId="7E3CA0CB" w14:textId="77777777" w:rsidR="0085042C" w:rsidRDefault="0085042C">
      <w:pPr>
        <w:pStyle w:val="Default"/>
        <w:rPr>
          <w:sz w:val="23"/>
          <w:szCs w:val="23"/>
        </w:rPr>
      </w:pPr>
    </w:p>
    <w:p w14:paraId="76F18EA5" w14:textId="77777777" w:rsidR="0085042C" w:rsidRDefault="002A0565" w:rsidP="00AA7101">
      <w:pPr>
        <w:pStyle w:val="Default"/>
        <w:jc w:val="center"/>
        <w:rPr>
          <w:b/>
          <w:sz w:val="22"/>
          <w:szCs w:val="22"/>
          <w:u w:val="single"/>
          <w:rFonts w:hint="eastAsia"/>
        </w:rPr>
      </w:pPr>
      <w:r>
        <w:rPr>
          <w:b/>
          <w:sz w:val="22"/>
          <w:szCs w:val="22"/>
          <w:u w:val="single"/>
          <w:rFonts w:hint="eastAsia"/>
        </w:rPr>
        <w:t xml:space="preserve">はじめに</w:t>
      </w:r>
    </w:p>
    <w:p w14:paraId="2BFA365F" w14:textId="77777777" w:rsidR="001B70A7" w:rsidRPr="003F5BF6" w:rsidRDefault="001B70A7" w:rsidP="00AA7101">
      <w:pPr>
        <w:pStyle w:val="Default"/>
        <w:jc w:val="center"/>
        <w:rPr>
          <w:b/>
          <w:sz w:val="22"/>
          <w:szCs w:val="22"/>
          <w:u w:val="single"/>
        </w:rPr>
      </w:pPr>
    </w:p>
    <w:p w14:paraId="390499AD" w14:textId="27E590B6" w:rsidR="0085042C" w:rsidRDefault="002A0565">
      <w:pPr>
        <w:pStyle w:val="Default"/>
        <w:rPr>
          <w:sz w:val="22"/>
          <w:szCs w:val="22"/>
          <w:rFonts w:asciiTheme="minorHAnsi" w:hAnsiTheme="minorHAnsi" w:hint="eastAsia"/>
        </w:rPr>
      </w:pPr>
      <w:r>
        <w:rPr>
          <w:sz w:val="22"/>
          <w:szCs w:val="22"/>
          <w:rFonts w:asciiTheme="minorHAnsi" w:hAnsiTheme="minorHAnsi" w:hint="eastAsia"/>
        </w:rPr>
        <w:t xml:space="preserve">70か国以上で事業を展開するグローバル企業として、PPGは多くの法規制を遵守する必要があります。</w:t>
      </w:r>
      <w:r>
        <w:rPr>
          <w:sz w:val="22"/>
          <w:szCs w:val="22"/>
          <w:rFonts w:asciiTheme="minorHAnsi" w:hAnsiTheme="minorHAnsi" w:hint="eastAsia"/>
        </w:rPr>
        <w:t xml:space="preserve">これらの法律や規制の中でも重要なのは、贈収賄と不正行為を規制するものです。</w:t>
      </w:r>
    </w:p>
    <w:p w14:paraId="00886069" w14:textId="77777777" w:rsidR="0085042C" w:rsidRDefault="002A0565">
      <w:pPr>
        <w:pStyle w:val="Default"/>
        <w:rPr>
          <w:sz w:val="22"/>
          <w:szCs w:val="22"/>
          <w:rFonts w:asciiTheme="minorHAnsi" w:hAnsiTheme="minorHAnsi" w:hint="eastAsia"/>
        </w:rPr>
      </w:pPr>
      <w:r>
        <w:rPr>
          <w:sz w:val="22"/>
          <w:szCs w:val="22"/>
          <w:rFonts w:asciiTheme="minorHAnsi" w:hAnsiTheme="minorHAnsi" w:hint="eastAsia"/>
        </w:rPr>
        <w:tab/>
      </w:r>
      <w:r>
        <w:rPr>
          <w:sz w:val="22"/>
          <w:szCs w:val="22"/>
          <w:rFonts w:asciiTheme="minorHAnsi" w:hAnsiTheme="minorHAnsi" w:hint="eastAsia"/>
        </w:rPr>
        <w:t xml:space="preserve"> </w:t>
      </w:r>
    </w:p>
    <w:p w14:paraId="0AE75877" w14:textId="2FC8A6FF" w:rsidR="0085042C" w:rsidRDefault="002A0565">
      <w:pPr>
        <w:rPr>
          <w:sz w:val="22"/>
          <w:szCs w:val="22"/>
          <w:rFonts w:asciiTheme="minorHAnsi" w:hAnsiTheme="minorHAnsi" w:hint="eastAsia"/>
        </w:rPr>
      </w:pPr>
      <w:r>
        <w:rPr>
          <w:sz w:val="22"/>
          <w:szCs w:val="22"/>
          <w:rFonts w:asciiTheme="minorHAnsi" w:hAnsiTheme="minorHAnsi" w:hint="eastAsia"/>
        </w:rPr>
        <w:t xml:space="preserve">これらの要件を認識し、誠実に行動して不正行為を防ぐための当社の</w:t>
      </w:r>
      <w:hyperlink r:id="rId11" w:history="1">
        <w:r>
          <w:rPr>
            <w:rStyle w:val="Hyperlink"/>
            <w:sz w:val="22"/>
            <w:szCs w:val="22"/>
            <w:rFonts w:asciiTheme="minorHAnsi" w:hAnsiTheme="minorHAnsi" w:hint="eastAsia"/>
          </w:rPr>
          <w:t xml:space="preserve">グローバル倫理規範</w:t>
        </w:r>
      </w:hyperlink>
      <w:r>
        <w:rPr>
          <w:sz w:val="22"/>
          <w:szCs w:val="22"/>
          <w:rFonts w:asciiTheme="minorHAnsi" w:hAnsiTheme="minorHAnsi" w:hint="eastAsia"/>
        </w:rPr>
        <w:t xml:space="preserve">（以下「規範」）</w:t>
      </w:r>
      <w:r>
        <w:rPr>
          <w:sz w:val="22"/>
          <w:szCs w:val="22"/>
          <w:rFonts w:asciiTheme="minorHAnsi" w:hAnsiTheme="minorHAnsi" w:hint="eastAsia"/>
        </w:rPr>
        <w:t xml:space="preserve">への取り組みを明確にするために、PPGはグローバル不正行為防止方針（以下「方針」）を設けています。</w:t>
      </w:r>
      <w:r>
        <w:rPr>
          <w:sz w:val="22"/>
          <w:szCs w:val="22"/>
          <w:rFonts w:asciiTheme="minorHAnsi" w:hAnsiTheme="minorHAnsi" w:hint="eastAsia"/>
        </w:rPr>
        <w:t xml:space="preserve">本方針は、世界中のPPG Industries、Inc.（以下「PPG」）、およびPPGが完全所有または管理する子会社（以下「子会社」）に適用されます。</w:t>
      </w:r>
      <w:r>
        <w:rPr>
          <w:sz w:val="22"/>
          <w:szCs w:val="22"/>
          <w:rFonts w:asciiTheme="minorHAnsi" w:hAnsiTheme="minorHAnsi" w:hint="eastAsia"/>
        </w:rPr>
        <w:t xml:space="preserve">本方針は、当社の規範を基につくられています。世界中で施行される、数ある厳格な賄賂防止法および不正行為防止法を遵守するために、当社の行動を管理する基準と原則を強化することがその目的です。</w:t>
      </w:r>
      <w:r>
        <w:rPr>
          <w:sz w:val="22"/>
          <w:szCs w:val="22"/>
          <w:rFonts w:asciiTheme="minorHAnsi" w:hAnsiTheme="minorHAnsi" w:hint="eastAsia"/>
        </w:rPr>
        <w:t xml:space="preserve"> </w:t>
      </w:r>
    </w:p>
    <w:p w14:paraId="6839892C" w14:textId="77777777" w:rsidR="0085042C" w:rsidRDefault="0085042C">
      <w:pPr>
        <w:pStyle w:val="Default"/>
        <w:rPr>
          <w:rFonts w:asciiTheme="minorHAnsi" w:hAnsiTheme="minorHAnsi"/>
          <w:sz w:val="22"/>
          <w:szCs w:val="22"/>
        </w:rPr>
      </w:pPr>
    </w:p>
    <w:p w14:paraId="70F27C33" w14:textId="422766A1" w:rsidR="004E1F0A" w:rsidRPr="004E1F0A" w:rsidRDefault="00D07999" w:rsidP="004E1F0A">
      <w:pPr>
        <w:pStyle w:val="Default"/>
        <w:spacing w:after="240"/>
        <w:rPr>
          <w:sz w:val="22"/>
          <w:szCs w:val="22"/>
          <w:rFonts w:asciiTheme="minorHAnsi" w:hAnsiTheme="minorHAnsi" w:hint="eastAsia"/>
        </w:rPr>
      </w:pPr>
      <w:r>
        <w:rPr>
          <w:sz w:val="22"/>
          <w:szCs w:val="22"/>
          <w:rFonts w:asciiTheme="minorHAnsi" w:hAnsiTheme="minorHAnsi" w:hint="eastAsia"/>
        </w:rPr>
        <w:t xml:space="preserve">PPGが事業を行うすべての国が、1つ以上のこうした法律の対象となっています。</w:t>
      </w:r>
      <w:r>
        <w:rPr>
          <w:sz w:val="22"/>
          <w:szCs w:val="22"/>
          <w:rFonts w:asciiTheme="minorHAnsi" w:hAnsiTheme="minorHAnsi" w:hint="eastAsia"/>
        </w:rPr>
        <w:t xml:space="preserve">例としては、米国の連邦海外腐敗行為防止法（FCPA）、フランスのロイ・サパン2、メキシコの全国腐敗行為防止制度、英国賄賂防止法、中国刑法、ブラジルの企業腐敗防止法などがあげられます。</w:t>
      </w:r>
      <w:r>
        <w:rPr>
          <w:sz w:val="22"/>
          <w:szCs w:val="22"/>
          <w:rFonts w:asciiTheme="minorHAnsi" w:hAnsiTheme="minorHAnsi" w:hint="eastAsia"/>
        </w:rPr>
        <w:t xml:space="preserve">これらの法律にはいくつかの違いがありますが、いずれも腐敗を無くし、グローバル市場において誠実であることで人々の信頼を回復し、ビジネスを行う上での公正かつ競争が存在するような商業環境を促進するために導入されました。</w:t>
      </w:r>
      <w:r>
        <w:rPr>
          <w:sz w:val="22"/>
          <w:szCs w:val="22"/>
          <w:rFonts w:asciiTheme="minorHAnsi" w:hAnsiTheme="minorHAnsi" w:hint="eastAsia"/>
        </w:rPr>
        <w:t xml:space="preserve">  </w:t>
      </w:r>
    </w:p>
    <w:p w14:paraId="2193A93D" w14:textId="77777777" w:rsidR="0085042C" w:rsidRPr="00D07999" w:rsidRDefault="00F30C7E" w:rsidP="00411E2B">
      <w:pPr>
        <w:spacing w:after="240"/>
        <w:jc w:val="center"/>
        <w:rPr>
          <w:b/>
          <w:sz w:val="22"/>
          <w:szCs w:val="22"/>
          <w:u w:val="single"/>
          <w:rFonts w:asciiTheme="minorHAnsi" w:hAnsiTheme="minorHAnsi" w:hint="eastAsia"/>
        </w:rPr>
      </w:pPr>
      <w:r>
        <w:rPr>
          <w:b/>
          <w:sz w:val="22"/>
          <w:szCs w:val="22"/>
          <w:u w:val="single"/>
          <w:rFonts w:asciiTheme="minorHAnsi" w:hAnsiTheme="minorHAnsi" w:hint="eastAsia"/>
        </w:rPr>
        <w:t xml:space="preserve">方針</w:t>
      </w:r>
      <w:r>
        <w:rPr>
          <w:b/>
          <w:sz w:val="22"/>
          <w:szCs w:val="22"/>
          <w:u w:val="single"/>
          <w:rFonts w:asciiTheme="minorHAnsi" w:hAnsiTheme="minorHAnsi" w:hint="eastAsia"/>
        </w:rPr>
        <w:t xml:space="preserve"> </w:t>
      </w:r>
    </w:p>
    <w:p w14:paraId="38D0549D" w14:textId="77777777" w:rsidR="0085042C" w:rsidRDefault="00915FB0">
      <w:pPr>
        <w:pStyle w:val="Default"/>
        <w:rPr>
          <w:sz w:val="22"/>
          <w:szCs w:val="22"/>
          <w:rFonts w:asciiTheme="minorHAnsi" w:hAnsiTheme="minorHAnsi" w:hint="eastAsia"/>
        </w:rPr>
      </w:pPr>
      <w:r>
        <w:rPr>
          <w:sz w:val="22"/>
          <w:szCs w:val="22"/>
          <w:rFonts w:asciiTheme="minorHAnsi" w:hAnsiTheme="minorHAnsi" w:hint="eastAsia"/>
        </w:rPr>
        <w:t xml:space="preserve">当社の方針：</w:t>
      </w:r>
    </w:p>
    <w:p w14:paraId="2B4AE181" w14:textId="77777777" w:rsidR="00915FB0" w:rsidRPr="00AA7101" w:rsidRDefault="002C4D14" w:rsidP="00AA7101">
      <w:pPr>
        <w:pStyle w:val="ListParagraph"/>
        <w:numPr>
          <w:ilvl w:val="0"/>
          <w:numId w:val="15"/>
        </w:numPr>
        <w:ind w:left="720"/>
        <w:rPr>
          <w:sz w:val="22"/>
          <w:szCs w:val="22"/>
          <w:rFonts w:asciiTheme="minorHAnsi" w:hAnsiTheme="minorHAnsi" w:hint="eastAsia"/>
        </w:rPr>
      </w:pPr>
      <w:r>
        <w:rPr>
          <w:bCs/>
          <w:sz w:val="22"/>
          <w:szCs w:val="22"/>
          <w:rFonts w:asciiTheme="minorHAnsi" w:hAnsiTheme="minorHAnsi" w:hint="eastAsia"/>
        </w:rPr>
        <w:t xml:space="preserve">当社は、あらゆる国での、あらゆるビジネス取引における贈収賄および不正行為を禁止しています。</w:t>
      </w:r>
      <w:r>
        <w:rPr>
          <w:bCs/>
          <w:sz w:val="22"/>
          <w:szCs w:val="22"/>
          <w:rFonts w:asciiTheme="minorHAnsi" w:hAnsiTheme="minorHAnsi" w:hint="eastAsia"/>
        </w:rPr>
        <w:t xml:space="preserve">   </w:t>
      </w:r>
    </w:p>
    <w:p w14:paraId="72B9DCDD" w14:textId="77777777" w:rsidR="00915FB0" w:rsidRPr="00AA7101" w:rsidRDefault="00915FB0" w:rsidP="00AA7101">
      <w:pPr>
        <w:pStyle w:val="ListParagraph"/>
        <w:numPr>
          <w:ilvl w:val="0"/>
          <w:numId w:val="15"/>
        </w:numPr>
        <w:ind w:left="720"/>
        <w:rPr>
          <w:sz w:val="22"/>
          <w:szCs w:val="22"/>
          <w:rFonts w:asciiTheme="minorHAnsi" w:hAnsiTheme="minorHAnsi" w:hint="eastAsia"/>
        </w:rPr>
      </w:pPr>
      <w:r>
        <w:rPr>
          <w:bCs/>
          <w:sz w:val="22"/>
          <w:szCs w:val="22"/>
          <w:rFonts w:asciiTheme="minorHAnsi" w:hAnsiTheme="minorHAnsi" w:hint="eastAsia"/>
        </w:rPr>
        <w:t xml:space="preserve">PPGの従業員、またはPPGに代わって行動する人は、PPGの事業を行う際に、賄賂またはキックバックを約束したり、申し出たり、提供したり、受け入れることはできません。</w:t>
      </w:r>
      <w:r>
        <w:rPr>
          <w:bCs/>
          <w:sz w:val="22"/>
          <w:szCs w:val="22"/>
          <w:rFonts w:asciiTheme="minorHAnsi" w:hAnsiTheme="minorHAnsi" w:hint="eastAsia"/>
        </w:rPr>
        <w:t xml:space="preserve"> </w:t>
      </w:r>
    </w:p>
    <w:p w14:paraId="5F5B03AB" w14:textId="77777777" w:rsidR="00D07999" w:rsidRDefault="00D07999" w:rsidP="00AA7101">
      <w:pPr>
        <w:pStyle w:val="ListParagraph"/>
        <w:numPr>
          <w:ilvl w:val="0"/>
          <w:numId w:val="15"/>
        </w:numPr>
        <w:ind w:left="720"/>
        <w:rPr>
          <w:sz w:val="22"/>
          <w:szCs w:val="22"/>
          <w:rFonts w:asciiTheme="minorHAnsi" w:hAnsiTheme="minorHAnsi" w:hint="eastAsia"/>
        </w:rPr>
      </w:pPr>
      <w:r>
        <w:rPr>
          <w:sz w:val="22"/>
          <w:szCs w:val="22"/>
          <w:rFonts w:asciiTheme="minorHAnsi" w:hAnsiTheme="minorHAnsi" w:hint="eastAsia"/>
        </w:rPr>
        <w:t xml:space="preserve">当社は、第三者の仲介業者、民間企業、政府、またはそれぞれの代理人との、帳簿に載らない取引を禁止しています。</w:t>
      </w:r>
    </w:p>
    <w:p w14:paraId="41A89ADA" w14:textId="77777777" w:rsidR="00915FB0" w:rsidRPr="00AA7101" w:rsidRDefault="002A0565" w:rsidP="00AA7101">
      <w:pPr>
        <w:pStyle w:val="ListParagraph"/>
        <w:numPr>
          <w:ilvl w:val="0"/>
          <w:numId w:val="15"/>
        </w:numPr>
        <w:ind w:left="720"/>
        <w:rPr>
          <w:sz w:val="22"/>
          <w:szCs w:val="22"/>
          <w:rFonts w:asciiTheme="minorHAnsi" w:hAnsiTheme="minorHAnsi" w:hint="eastAsia"/>
        </w:rPr>
      </w:pPr>
      <w:r>
        <w:rPr>
          <w:sz w:val="22"/>
          <w:szCs w:val="22"/>
          <w:rFonts w:asciiTheme="minorHAnsi" w:hAnsiTheme="minorHAnsi" w:hint="eastAsia"/>
        </w:rPr>
        <w:t xml:space="preserve">これらの禁止事項は、PPGおよび他の当事者との間のあらゆる取引に適用されます - 民間団体、個人、国有組織/公共団体/政府組織または政府職員であるかどうかは関係ありません。</w:t>
      </w:r>
    </w:p>
    <w:p w14:paraId="7C496DF7" w14:textId="77777777" w:rsidR="00A47E7A" w:rsidRPr="00AA7101" w:rsidRDefault="002C4D14" w:rsidP="00AA7101">
      <w:pPr>
        <w:pStyle w:val="ListParagraph"/>
        <w:numPr>
          <w:ilvl w:val="0"/>
          <w:numId w:val="15"/>
        </w:numPr>
        <w:ind w:left="720"/>
        <w:rPr>
          <w:sz w:val="22"/>
          <w:szCs w:val="22"/>
          <w:rFonts w:asciiTheme="minorHAnsi" w:hAnsiTheme="minorHAnsi" w:hint="eastAsia"/>
        </w:rPr>
      </w:pPr>
      <w:r>
        <w:rPr>
          <w:sz w:val="22"/>
          <w:szCs w:val="22"/>
          <w:rFonts w:asciiTheme="minorHAnsi" w:hAnsiTheme="minorHAnsi" w:hint="eastAsia"/>
        </w:rPr>
        <w:t xml:space="preserve">当社は、会社の取引を正確かつ公正に反映し、十分な詳細が記載されている完全な帳簿と記録を作成し、これを維持します。</w:t>
      </w:r>
    </w:p>
    <w:p w14:paraId="280C9597" w14:textId="77777777" w:rsidR="00A47E7A" w:rsidRPr="00D07999" w:rsidRDefault="00A47E7A" w:rsidP="00D07999">
      <w:pPr>
        <w:pStyle w:val="ListParagraph"/>
        <w:numPr>
          <w:ilvl w:val="0"/>
          <w:numId w:val="15"/>
        </w:numPr>
        <w:ind w:left="720"/>
        <w:rPr>
          <w:sz w:val="22"/>
          <w:szCs w:val="22"/>
          <w:rFonts w:asciiTheme="minorHAnsi" w:hAnsiTheme="minorHAnsi" w:hint="eastAsia"/>
        </w:rPr>
      </w:pPr>
      <w:r>
        <w:rPr>
          <w:sz w:val="22"/>
          <w:szCs w:val="22"/>
          <w:rFonts w:asciiTheme="minorHAnsi" w:hAnsiTheme="minorHAnsi" w:hint="eastAsia"/>
        </w:rPr>
        <w:t xml:space="preserve">当社は、</w:t>
      </w:r>
      <w:hyperlink r:id="rId12" w:anchor="search=controller%27s%20manual" w:history="1">
        <w:r>
          <w:rPr>
            <w:rStyle w:val="Hyperlink"/>
            <w:sz w:val="22"/>
            <w:szCs w:val="22"/>
            <w:rFonts w:asciiTheme="minorHAnsi" w:hAnsiTheme="minorHAnsi" w:hint="eastAsia"/>
          </w:rPr>
          <w:t xml:space="preserve">PPGの会計監査役マニュアル</w:t>
        </w:r>
      </w:hyperlink>
      <w:r>
        <w:rPr>
          <w:sz w:val="22"/>
          <w:szCs w:val="22"/>
          <w:rFonts w:asciiTheme="minorHAnsi" w:hAnsiTheme="minorHAnsi" w:hint="eastAsia"/>
        </w:rPr>
        <w:t xml:space="preserve">に記載されているように、適切な内部会計管理システムを維持します。</w:t>
      </w:r>
    </w:p>
    <w:p w14:paraId="05D39B40" w14:textId="77777777" w:rsidR="007802EF" w:rsidRDefault="007802EF" w:rsidP="00AA7101">
      <w:pPr>
        <w:ind w:left="90"/>
        <w:rPr>
          <w:rFonts w:asciiTheme="minorHAnsi" w:hAnsiTheme="minorHAnsi"/>
          <w:b/>
          <w:sz w:val="22"/>
          <w:szCs w:val="22"/>
        </w:rPr>
      </w:pPr>
    </w:p>
    <w:p w14:paraId="21F78E1D" w14:textId="33AE93E9" w:rsidR="0085042C" w:rsidRPr="00AA7101" w:rsidRDefault="007802EF" w:rsidP="00AA7101">
      <w:pPr>
        <w:ind w:left="90"/>
        <w:rPr>
          <w:sz w:val="22"/>
          <w:szCs w:val="22"/>
          <w:rFonts w:asciiTheme="minorHAnsi" w:hAnsiTheme="minorHAnsi" w:hint="eastAsia"/>
        </w:rPr>
      </w:pPr>
      <w:r>
        <w:rPr>
          <w:sz w:val="22"/>
          <w:szCs w:val="22"/>
          <w:rFonts w:asciiTheme="minorHAnsi" w:hAnsiTheme="minorHAnsi" w:hint="eastAsia"/>
        </w:rPr>
        <w:t xml:space="preserve">本方針は、グローバル倫理規範の</w:t>
      </w:r>
      <w:hyperlink r:id="rId13" w:history="1">
        <w:r>
          <w:rPr>
            <w:rStyle w:val="Hyperlink"/>
            <w:i/>
            <w:sz w:val="22"/>
            <w:szCs w:val="22"/>
            <w:rFonts w:asciiTheme="minorHAnsi" w:hAnsiTheme="minorHAnsi" w:hint="eastAsia"/>
          </w:rPr>
          <w:t xml:space="preserve">贈収賄および不正行為</w:t>
        </w:r>
      </w:hyperlink>
      <w:r>
        <w:rPr>
          <w:sz w:val="22"/>
          <w:szCs w:val="22"/>
          <w:rFonts w:asciiTheme="minorHAnsi" w:hAnsiTheme="minorHAnsi" w:hint="eastAsia"/>
        </w:rPr>
        <w:t xml:space="preserve">、ならびに</w:t>
      </w:r>
      <w:hyperlink r:id="rId14" w:history="1">
        <w:r>
          <w:rPr>
            <w:rStyle w:val="Hyperlink"/>
            <w:i/>
            <w:sz w:val="22"/>
            <w:szCs w:val="22"/>
            <w:rFonts w:asciiTheme="minorHAnsi" w:hAnsiTheme="minorHAnsi" w:hint="eastAsia"/>
          </w:rPr>
          <w:t xml:space="preserve">ビジネスおよび財務記録</w:t>
        </w:r>
      </w:hyperlink>
      <w:r>
        <w:rPr>
          <w:sz w:val="22"/>
          <w:szCs w:val="22"/>
          <w:rFonts w:asciiTheme="minorHAnsi" w:hAnsiTheme="minorHAnsi" w:hint="eastAsia"/>
        </w:rPr>
        <w:t xml:space="preserve">セクションを補完するものです。</w:t>
      </w:r>
      <w:r>
        <w:rPr>
          <w:sz w:val="22"/>
          <w:szCs w:val="22"/>
          <w:rFonts w:asciiTheme="minorHAnsi" w:hAnsiTheme="minorHAnsi" w:hint="eastAsia"/>
        </w:rPr>
        <w:t xml:space="preserve">  </w:t>
      </w:r>
      <w:r>
        <w:rPr>
          <w:sz w:val="22"/>
          <w:szCs w:val="22"/>
          <w:rFonts w:asciiTheme="minorHAnsi" w:hAnsiTheme="minorHAnsi" w:hint="eastAsia"/>
        </w:rPr>
        <w:t xml:space="preserve">本方針は、</w:t>
      </w:r>
      <w:hyperlink r:id="rId15" w:history="1">
        <w:r>
          <w:rPr>
            <w:rStyle w:val="Hyperlink"/>
            <w:sz w:val="22"/>
            <w:szCs w:val="22"/>
            <w:rFonts w:asciiTheme="minorHAnsi" w:hAnsiTheme="minorHAnsi" w:hint="eastAsia"/>
          </w:rPr>
          <w:t xml:space="preserve">第三者の調査に関する方針</w:t>
        </w:r>
      </w:hyperlink>
      <w:r>
        <w:rPr>
          <w:sz w:val="22"/>
          <w:szCs w:val="22"/>
          <w:rFonts w:asciiTheme="minorHAnsi" w:hAnsiTheme="minorHAnsi" w:hint="eastAsia"/>
        </w:rPr>
        <w:t xml:space="preserve">もサポートしています。</w:t>
      </w:r>
    </w:p>
    <w:p w14:paraId="3113BA4A" w14:textId="77777777" w:rsidR="00D73F88" w:rsidRDefault="00D73F88">
      <w:pPr>
        <w:autoSpaceDE/>
        <w:autoSpaceDN/>
        <w:adjustRightInd/>
        <w:spacing w:before="0" w:after="200" w:line="276" w:lineRule="auto"/>
        <w:rPr>
          <w:rFonts w:asciiTheme="minorHAnsi" w:hAnsiTheme="minorHAnsi"/>
          <w:sz w:val="22"/>
          <w:szCs w:val="22"/>
        </w:rPr>
      </w:pPr>
    </w:p>
    <w:p w14:paraId="5CDE74DC" w14:textId="77777777" w:rsidR="0085042C" w:rsidRPr="0010137D" w:rsidRDefault="002A0565" w:rsidP="00411E2B">
      <w:pPr>
        <w:jc w:val="center"/>
        <w:rPr>
          <w:b/>
          <w:sz w:val="22"/>
          <w:szCs w:val="22"/>
          <w:u w:val="single"/>
          <w:rFonts w:asciiTheme="minorHAnsi" w:hAnsiTheme="minorHAnsi" w:hint="eastAsia"/>
        </w:rPr>
      </w:pPr>
      <w:r>
        <w:rPr>
          <w:b/>
          <w:sz w:val="22"/>
          <w:szCs w:val="22"/>
          <w:u w:val="single"/>
          <w:rFonts w:asciiTheme="minorHAnsi" w:hAnsiTheme="minorHAnsi" w:hint="eastAsia"/>
        </w:rPr>
        <w:t xml:space="preserve">ガイダンス</w:t>
      </w:r>
    </w:p>
    <w:p w14:paraId="5D35FCCD" w14:textId="4A3B9C21" w:rsidR="0085042C" w:rsidRDefault="002A0565">
      <w:pPr>
        <w:rPr>
          <w:sz w:val="22"/>
          <w:szCs w:val="22"/>
          <w:rFonts w:asciiTheme="minorHAnsi" w:hAnsiTheme="minorHAnsi" w:hint="eastAsia"/>
        </w:rPr>
      </w:pPr>
      <w:r>
        <w:rPr>
          <w:sz w:val="22"/>
          <w:szCs w:val="22"/>
          <w:rFonts w:asciiTheme="minorHAnsi" w:hAnsiTheme="minorHAnsi" w:hint="eastAsia"/>
        </w:rPr>
        <w:t xml:space="preserve">PPGの従業員として、次の点を理解することはあなたの責任です：</w:t>
      </w:r>
    </w:p>
    <w:p w14:paraId="7B303F5A" w14:textId="77777777" w:rsidR="00D07999" w:rsidRDefault="00D07999">
      <w:pPr>
        <w:rPr>
          <w:rFonts w:asciiTheme="minorHAnsi" w:hAnsiTheme="minorHAnsi"/>
          <w:sz w:val="22"/>
          <w:szCs w:val="22"/>
        </w:rPr>
      </w:pPr>
    </w:p>
    <w:p w14:paraId="04FB5BB5" w14:textId="64178DD2" w:rsidR="00C613B2" w:rsidRDefault="00411E2B" w:rsidP="00B21148">
      <w:pPr>
        <w:pStyle w:val="ListParagraph"/>
        <w:numPr>
          <w:ilvl w:val="0"/>
          <w:numId w:val="16"/>
        </w:numPr>
        <w:spacing w:before="0"/>
        <w:ind w:left="540"/>
        <w:rPr>
          <w:sz w:val="22"/>
          <w:szCs w:val="22"/>
          <w:rFonts w:asciiTheme="minorHAnsi" w:hAnsiTheme="minorHAnsi" w:hint="eastAsia"/>
        </w:rPr>
      </w:pPr>
      <w:r>
        <w:rPr>
          <w:sz w:val="22"/>
          <w:szCs w:val="22"/>
          <w:b/>
          <w:i/>
          <w:rFonts w:asciiTheme="minorHAnsi" w:hAnsiTheme="minorHAnsi" w:hint="eastAsia"/>
        </w:rPr>
        <w:t xml:space="preserve">賄賂は現金に限定されません。</w:t>
      </w:r>
      <w:r>
        <w:rPr>
          <w:sz w:val="22"/>
          <w:szCs w:val="22"/>
          <w:rFonts w:asciiTheme="minorHAnsi" w:hAnsiTheme="minorHAnsi" w:hint="eastAsia"/>
        </w:rPr>
        <w:t xml:space="preserve"> </w:t>
      </w:r>
      <w:r>
        <w:rPr>
          <w:sz w:val="22"/>
          <w:szCs w:val="22"/>
          <w:rFonts w:asciiTheme="minorHAnsi" w:hAnsiTheme="minorHAnsi" w:hint="eastAsia"/>
        </w:rPr>
        <w:t xml:space="preserve">賄賂には、商業上または政府の決定に不適切に影響を与えることを意図したあらゆる「価値のあるもの」が含まれます。</w:t>
      </w:r>
      <w:r>
        <w:rPr>
          <w:sz w:val="22"/>
          <w:szCs w:val="22"/>
          <w:rFonts w:asciiTheme="minorHAnsi" w:hAnsiTheme="minorHAnsi" w:hint="eastAsia"/>
        </w:rPr>
        <w:t xml:space="preserve">「価値のあるもの」には、現金、現金同等物、贈答品、食事、接待、旅行、個人の所有物、債務の肩代わりまたは免除、慈善寄付、後援、サービス、雇用の申し出、またはその他の不適切な便宜が含まれます。</w:t>
      </w:r>
      <w:r>
        <w:rPr>
          <w:sz w:val="22"/>
          <w:szCs w:val="22"/>
          <w:rFonts w:asciiTheme="minorHAnsi" w:hAnsiTheme="minorHAnsi" w:hint="eastAsia"/>
        </w:rPr>
        <w:t xml:space="preserve">少額、またはささいな贈答品/敬意のしるしは、一般的に賄賂とは見なされません。</w:t>
      </w:r>
      <w:r>
        <w:rPr>
          <w:sz w:val="22"/>
          <w:szCs w:val="22"/>
          <w:rFonts w:asciiTheme="minorHAnsi" w:hAnsiTheme="minorHAnsi" w:hint="eastAsia"/>
        </w:rPr>
        <w:t xml:space="preserve"> </w:t>
      </w:r>
    </w:p>
    <w:p w14:paraId="39F9D38B" w14:textId="77777777" w:rsidR="00C613B2" w:rsidRDefault="00C613B2" w:rsidP="00B21148">
      <w:pPr>
        <w:spacing w:before="0"/>
        <w:ind w:left="540" w:hanging="360"/>
        <w:rPr>
          <w:rFonts w:asciiTheme="minorHAnsi" w:hAnsiTheme="minorHAnsi"/>
          <w:sz w:val="22"/>
          <w:szCs w:val="22"/>
        </w:rPr>
      </w:pPr>
    </w:p>
    <w:p w14:paraId="40355C74" w14:textId="0448D6EE" w:rsidR="0085042C" w:rsidRPr="00AA7101" w:rsidRDefault="00B21148" w:rsidP="00B21148">
      <w:pPr>
        <w:spacing w:before="0"/>
        <w:ind w:left="540" w:hanging="360"/>
        <w:rPr>
          <w:sz w:val="22"/>
          <w:szCs w:val="22"/>
          <w:rFonts w:asciiTheme="minorHAnsi" w:hAnsiTheme="minorHAnsi" w:hint="eastAsia"/>
        </w:rPr>
      </w:pPr>
      <w:r>
        <w:rPr>
          <w:sz w:val="22"/>
          <w:szCs w:val="22"/>
          <w:rFonts w:asciiTheme="minorHAnsi" w:hAnsiTheme="minorHAnsi" w:hint="eastAsia"/>
        </w:rPr>
        <w:tab/>
      </w:r>
      <w:r>
        <w:rPr>
          <w:sz w:val="22"/>
          <w:szCs w:val="22"/>
          <w:rFonts w:asciiTheme="minorHAnsi" w:hAnsiTheme="minorHAnsi" w:hint="eastAsia"/>
        </w:rPr>
        <w:t xml:space="preserve">会社によるもてない、旅行、贈答品、接待および食事は、状況にふさわしいものでなければならず、PPGの方針、そして受け取り側が拠点を置く国の法律および規制に準拠している必要があります。</w:t>
      </w:r>
      <w:r>
        <w:rPr>
          <w:sz w:val="22"/>
          <w:szCs w:val="22"/>
          <w:rFonts w:asciiTheme="minorHAnsi" w:hAnsiTheme="minorHAnsi" w:hint="eastAsia"/>
        </w:rPr>
        <w:t xml:space="preserve">たとえば、PPGの生産施設、研究施設またはその他の施設を正当な事業目的で訪問する顧客の出張費用を負担することは適切であり許容されますが、慎重に行うことが重要です。</w:t>
      </w:r>
      <w:r>
        <w:rPr>
          <w:sz w:val="22"/>
          <w:szCs w:val="22"/>
          <w:rFonts w:asciiTheme="minorHAnsi" w:hAnsiTheme="minorHAnsi" w:hint="eastAsia"/>
        </w:rPr>
        <w:t xml:space="preserve">  </w:t>
      </w:r>
      <w:r>
        <w:rPr>
          <w:sz w:val="22"/>
          <w:szCs w:val="22"/>
          <w:rFonts w:asciiTheme="minorHAnsi" w:hAnsiTheme="minorHAnsi" w:hint="eastAsia"/>
        </w:rPr>
        <w:t xml:space="preserve">訪問期間は、事業目的を果たすのに必要な時間に見合うものでなければならず、出張費用は合理的で、実際の出張関連費用のみを負担します。</w:t>
      </w:r>
      <w:r>
        <w:rPr>
          <w:sz w:val="22"/>
          <w:szCs w:val="22"/>
          <w:rFonts w:asciiTheme="minorHAnsi" w:hAnsiTheme="minorHAnsi" w:hint="eastAsia"/>
        </w:rPr>
        <w:t xml:space="preserve">出張の延長、買い物、サービスなど、関係のない経費は、顧客自身が負担する必要があります。</w:t>
      </w:r>
      <w:r>
        <w:rPr>
          <w:sz w:val="22"/>
          <w:szCs w:val="22"/>
          <w:rFonts w:asciiTheme="minorHAnsi" w:hAnsiTheme="minorHAnsi" w:hint="eastAsia"/>
        </w:rPr>
        <w:t xml:space="preserve">詳細は、</w:t>
      </w:r>
      <w:hyperlink r:id="rId16" w:history="1">
        <w:r>
          <w:rPr>
            <w:rStyle w:val="Hyperlink"/>
            <w:sz w:val="22"/>
            <w:szCs w:val="22"/>
            <w:rFonts w:asciiTheme="minorHAnsi" w:hAnsiTheme="minorHAnsi" w:hint="eastAsia"/>
          </w:rPr>
          <w:t xml:space="preserve">PPGの出張に関するグローバル方針</w:t>
        </w:r>
      </w:hyperlink>
      <w:r>
        <w:rPr>
          <w:sz w:val="22"/>
          <w:szCs w:val="22"/>
          <w:rFonts w:asciiTheme="minorHAnsi" w:hAnsiTheme="minorHAnsi" w:hint="eastAsia"/>
        </w:rPr>
        <w:t xml:space="preserve">および</w:t>
      </w:r>
      <w:hyperlink r:id="rId17" w:anchor="search=controller%27s%20manual" w:history="1">
        <w:r>
          <w:rPr>
            <w:rStyle w:val="Hyperlink"/>
            <w:sz w:val="22"/>
            <w:szCs w:val="22"/>
            <w:rFonts w:asciiTheme="minorHAnsi" w:hAnsiTheme="minorHAnsi" w:hint="eastAsia"/>
          </w:rPr>
          <w:t xml:space="preserve">会計監査役マニュアル</w:t>
        </w:r>
      </w:hyperlink>
      <w:r>
        <w:rPr>
          <w:sz w:val="22"/>
          <w:szCs w:val="22"/>
          <w:rFonts w:asciiTheme="minorHAnsi" w:hAnsiTheme="minorHAnsi" w:hint="eastAsia"/>
        </w:rPr>
        <w:t xml:space="preserve">を参照してください。</w:t>
      </w:r>
    </w:p>
    <w:p w14:paraId="5A28A9A0" w14:textId="77777777" w:rsidR="0085042C" w:rsidRDefault="0085042C" w:rsidP="00B21148">
      <w:pPr>
        <w:spacing w:before="0"/>
        <w:ind w:left="540" w:hanging="360"/>
        <w:rPr>
          <w:rFonts w:asciiTheme="minorHAnsi" w:hAnsiTheme="minorHAnsi"/>
          <w:sz w:val="22"/>
          <w:szCs w:val="22"/>
        </w:rPr>
      </w:pPr>
    </w:p>
    <w:p w14:paraId="65005702" w14:textId="22201CE8" w:rsidR="0085042C" w:rsidRDefault="00D93250" w:rsidP="00B21148">
      <w:pPr>
        <w:pStyle w:val="ListParagraph"/>
        <w:numPr>
          <w:ilvl w:val="0"/>
          <w:numId w:val="2"/>
        </w:numPr>
        <w:spacing w:before="0"/>
        <w:ind w:left="540"/>
        <w:rPr>
          <w:sz w:val="22"/>
          <w:szCs w:val="22"/>
          <w:rFonts w:asciiTheme="minorHAnsi" w:hAnsiTheme="minorHAnsi" w:hint="eastAsia"/>
        </w:rPr>
      </w:pPr>
      <w:r>
        <w:rPr>
          <w:sz w:val="22"/>
          <w:szCs w:val="22"/>
          <w:b/>
          <w:i/>
          <w:rFonts w:asciiTheme="minorHAnsi" w:hAnsiTheme="minorHAnsi" w:hint="eastAsia"/>
        </w:rPr>
        <w:t xml:space="preserve">賄賂を受諾したり、贈収賄が成立しなくても、法律違反になる可能性はあります。</w:t>
      </w:r>
      <w:r>
        <w:rPr>
          <w:sz w:val="22"/>
          <w:szCs w:val="22"/>
          <w:rFonts w:asciiTheme="minorHAnsi" w:hAnsiTheme="minorHAnsi" w:hint="eastAsia"/>
        </w:rPr>
        <w:t xml:space="preserve">  </w:t>
      </w:r>
      <w:r>
        <w:rPr>
          <w:sz w:val="22"/>
          <w:szCs w:val="22"/>
          <w:rFonts w:asciiTheme="minorHAnsi" w:hAnsiTheme="minorHAnsi" w:hint="eastAsia"/>
        </w:rPr>
        <w:t xml:space="preserve">賄賂の申し出や賄賂の支払いが断られたとしても、多くの国の法の下では、PPGが違反したことになります。</w:t>
      </w:r>
      <w:r>
        <w:rPr>
          <w:sz w:val="22"/>
          <w:szCs w:val="22"/>
          <w:rFonts w:asciiTheme="minorHAnsi" w:hAnsiTheme="minorHAnsi" w:hint="eastAsia"/>
        </w:rPr>
        <w:t xml:space="preserve">また、支払いが実際に行なわれたかどうか、あるいは、受取人が実際に見返りを行ったかどうかは関係ありません。</w:t>
      </w:r>
      <w:r>
        <w:rPr>
          <w:sz w:val="22"/>
          <w:szCs w:val="22"/>
          <w:rFonts w:asciiTheme="minorHAnsi" w:hAnsiTheme="minorHAnsi" w:hint="eastAsia"/>
        </w:rPr>
        <w:t xml:space="preserve">  </w:t>
      </w:r>
      <w:r>
        <w:rPr>
          <w:sz w:val="22"/>
          <w:szCs w:val="22"/>
          <w:rFonts w:asciiTheme="minorHAnsi" w:hAnsiTheme="minorHAnsi" w:hint="eastAsia"/>
        </w:rPr>
        <w:t xml:space="preserve">不適切な申し出または支払いが行われた</w:t>
      </w:r>
      <w:r>
        <w:rPr>
          <w:sz w:val="22"/>
          <w:szCs w:val="22"/>
          <w:bCs/>
          <w:rFonts w:asciiTheme="minorHAnsi" w:hAnsiTheme="minorHAnsi" w:hint="eastAsia"/>
        </w:rPr>
        <w:t xml:space="preserve">時点</w:t>
      </w:r>
      <w:r>
        <w:rPr>
          <w:sz w:val="22"/>
          <w:szCs w:val="22"/>
          <w:rFonts w:asciiTheme="minorHAnsi" w:hAnsiTheme="minorHAnsi" w:hint="eastAsia"/>
        </w:rPr>
        <w:t xml:space="preserve">で、違反が発生します。</w:t>
      </w:r>
    </w:p>
    <w:p w14:paraId="5916D98B" w14:textId="77777777" w:rsidR="0085042C" w:rsidRDefault="0085042C" w:rsidP="00B21148">
      <w:pPr>
        <w:pStyle w:val="ListParagraph"/>
        <w:spacing w:before="0"/>
        <w:ind w:left="540" w:hanging="360"/>
        <w:rPr>
          <w:rFonts w:asciiTheme="minorHAnsi" w:hAnsiTheme="minorHAnsi"/>
          <w:sz w:val="22"/>
          <w:szCs w:val="22"/>
        </w:rPr>
      </w:pPr>
    </w:p>
    <w:p w14:paraId="5CA47FF6" w14:textId="20EAF6B5" w:rsidR="00670AE0" w:rsidRPr="00670AE0" w:rsidRDefault="00670AE0" w:rsidP="00B21148">
      <w:pPr>
        <w:pStyle w:val="ListParagraph"/>
        <w:numPr>
          <w:ilvl w:val="0"/>
          <w:numId w:val="2"/>
        </w:numPr>
        <w:spacing w:before="0"/>
        <w:ind w:left="540"/>
        <w:rPr>
          <w:sz w:val="22"/>
          <w:szCs w:val="22"/>
          <w:rFonts w:asciiTheme="minorHAnsi" w:hAnsiTheme="minorHAnsi" w:hint="eastAsia"/>
        </w:rPr>
      </w:pPr>
      <w:r>
        <w:rPr>
          <w:sz w:val="22"/>
          <w:szCs w:val="22"/>
          <w:b/>
          <w:i/>
          <w:rFonts w:asciiTheme="minorHAnsi" w:hAnsiTheme="minorHAnsi" w:hint="eastAsia"/>
        </w:rPr>
        <w:t xml:space="preserve">許可、ライセンス、商品、その他の承認などを取得するための賄賂も違法です。</w:t>
      </w:r>
      <w:r>
        <w:rPr>
          <w:sz w:val="22"/>
          <w:szCs w:val="22"/>
          <w:rFonts w:asciiTheme="minorHAnsi" w:hAnsiTheme="minorHAnsi" w:hint="eastAsia"/>
        </w:rPr>
        <w:t xml:space="preserve">ほとんどの人は、賄賂というと、顧客からのビジネスの獲得を想像します。</w:t>
      </w:r>
      <w:r>
        <w:rPr>
          <w:sz w:val="22"/>
          <w:szCs w:val="22"/>
          <w:rFonts w:asciiTheme="minorHAnsi" w:hAnsiTheme="minorHAnsi" w:hint="eastAsia"/>
        </w:rPr>
        <w:t xml:space="preserve">  </w:t>
      </w:r>
      <w:r>
        <w:rPr>
          <w:sz w:val="22"/>
          <w:szCs w:val="22"/>
          <w:rFonts w:asciiTheme="minorHAnsi" w:hAnsiTheme="minorHAnsi" w:hint="eastAsia"/>
        </w:rPr>
        <w:t xml:space="preserve">ですが、営業許可やEHS許可、税控除、製品の承認または認証、事業を行うためのライセンスなど、その他の便宜を得るために政府や規制当局に賄賂を支払うことも違法です。不適切なビジネス上の便宜を得る目的で賄賂を支払うことはできないことも忘れないでください。</w:t>
      </w:r>
      <w:r>
        <w:rPr>
          <w:sz w:val="22"/>
          <w:szCs w:val="22"/>
          <w:rFonts w:asciiTheme="minorHAnsi" w:hAnsiTheme="minorHAnsi" w:hint="eastAsia"/>
        </w:rPr>
        <w:t xml:space="preserve"> </w:t>
      </w:r>
    </w:p>
    <w:p w14:paraId="2DCDF1BC" w14:textId="77777777" w:rsidR="00670AE0" w:rsidRPr="00670AE0" w:rsidRDefault="00670AE0" w:rsidP="00B21148">
      <w:pPr>
        <w:pStyle w:val="ListParagraph"/>
        <w:ind w:left="540" w:hanging="360"/>
        <w:rPr>
          <w:rFonts w:asciiTheme="minorHAnsi" w:hAnsiTheme="minorHAnsi"/>
          <w:b/>
          <w:i/>
          <w:sz w:val="22"/>
          <w:szCs w:val="22"/>
        </w:rPr>
      </w:pPr>
    </w:p>
    <w:p w14:paraId="50BF8C51" w14:textId="77777777" w:rsidR="00844DDF" w:rsidRDefault="00301743" w:rsidP="00B21148">
      <w:pPr>
        <w:pStyle w:val="ListParagraph"/>
        <w:numPr>
          <w:ilvl w:val="0"/>
          <w:numId w:val="2"/>
        </w:numPr>
        <w:spacing w:before="0"/>
        <w:ind w:left="540"/>
        <w:rPr>
          <w:sz w:val="22"/>
          <w:szCs w:val="22"/>
          <w:rFonts w:asciiTheme="minorHAnsi" w:hAnsiTheme="minorHAnsi" w:hint="eastAsia"/>
        </w:rPr>
      </w:pPr>
      <w:r>
        <w:rPr>
          <w:sz w:val="22"/>
          <w:szCs w:val="22"/>
          <w:b/>
          <w:i/>
          <w:rFonts w:asciiTheme="minorHAnsi" w:hAnsiTheme="minorHAnsi" w:hint="eastAsia"/>
        </w:rPr>
        <w:t xml:space="preserve">政府職員に不適切な影響を与える試みは、いかなるものであっても特に厳しく禁止されています。</w:t>
      </w:r>
      <w:r>
        <w:rPr>
          <w:sz w:val="22"/>
          <w:szCs w:val="22"/>
          <w:rFonts w:asciiTheme="minorHAnsi" w:hAnsiTheme="minorHAnsi" w:hint="eastAsia"/>
        </w:rPr>
        <w:t xml:space="preserve">当社の方針は、PPGと政府機関/政府職員に加え、PPGとその商業パートナーとの間の贈収賄および汚職も禁止しています。</w:t>
      </w:r>
      <w:r>
        <w:rPr>
          <w:sz w:val="22"/>
          <w:szCs w:val="22"/>
          <w:rFonts w:asciiTheme="minorHAnsi" w:hAnsiTheme="minorHAnsi" w:hint="eastAsia"/>
        </w:rPr>
        <w:t xml:space="preserve">  </w:t>
      </w:r>
      <w:r>
        <w:rPr>
          <w:sz w:val="22"/>
          <w:szCs w:val="22"/>
          <w:rFonts w:asciiTheme="minorHAnsi" w:hAnsiTheme="minorHAnsi" w:hint="eastAsia"/>
        </w:rPr>
        <w:t xml:space="preserve">米国FCPAを含む一部の法律は、外国政府職員への賄賂や支払いに対し、</w:t>
      </w:r>
      <w:r>
        <w:rPr>
          <w:sz w:val="22"/>
          <w:szCs w:val="22"/>
          <w:u w:val="single"/>
          <w:rFonts w:asciiTheme="minorHAnsi" w:hAnsiTheme="minorHAnsi" w:hint="eastAsia"/>
        </w:rPr>
        <w:t xml:space="preserve">特に</w:t>
      </w:r>
      <w:r>
        <w:rPr>
          <w:sz w:val="22"/>
          <w:szCs w:val="22"/>
          <w:rFonts w:asciiTheme="minorHAnsi" w:hAnsiTheme="minorHAnsi" w:hint="eastAsia"/>
        </w:rPr>
        <w:t xml:space="preserve">大きな罰金と罰則を科しています。</w:t>
      </w:r>
      <w:r>
        <w:rPr>
          <w:sz w:val="22"/>
          <w:szCs w:val="22"/>
          <w:rFonts w:asciiTheme="minorHAnsi" w:hAnsiTheme="minorHAnsi" w:hint="eastAsia"/>
        </w:rPr>
        <w:t xml:space="preserve">   </w:t>
      </w:r>
    </w:p>
    <w:p w14:paraId="5F76E327" w14:textId="77777777" w:rsidR="00844DDF" w:rsidRPr="00AA7101" w:rsidRDefault="00844DDF" w:rsidP="00B21148">
      <w:pPr>
        <w:pStyle w:val="ListParagraph"/>
        <w:ind w:left="540" w:hanging="360"/>
        <w:rPr>
          <w:rFonts w:asciiTheme="minorHAnsi" w:hAnsiTheme="minorHAnsi"/>
          <w:sz w:val="22"/>
          <w:szCs w:val="22"/>
        </w:rPr>
      </w:pPr>
    </w:p>
    <w:p w14:paraId="6EF5464D" w14:textId="051C7050" w:rsidR="0085042C" w:rsidRDefault="00844DDF" w:rsidP="00B21148">
      <w:pPr>
        <w:pStyle w:val="ListParagraph"/>
        <w:numPr>
          <w:ilvl w:val="0"/>
          <w:numId w:val="2"/>
        </w:numPr>
        <w:spacing w:before="0"/>
        <w:ind w:left="540"/>
        <w:rPr>
          <w:sz w:val="22"/>
          <w:szCs w:val="22"/>
          <w:rFonts w:asciiTheme="minorHAnsi" w:hAnsiTheme="minorHAnsi" w:hint="eastAsia"/>
        </w:rPr>
      </w:pPr>
      <w:r>
        <w:rPr>
          <w:sz w:val="22"/>
          <w:szCs w:val="22"/>
          <w:b/>
          <w:i/>
          <w:rFonts w:asciiTheme="minorHAnsi" w:hAnsiTheme="minorHAnsi" w:hint="eastAsia"/>
        </w:rPr>
        <w:t xml:space="preserve">国有企業（SOE）の職員は、政府職員と見なされます</w:t>
      </w:r>
      <w:r>
        <w:rPr>
          <w:sz w:val="22"/>
          <w:szCs w:val="22"/>
          <w:rFonts w:asciiTheme="minorHAnsi" w:hAnsiTheme="minorHAnsi" w:hint="eastAsia"/>
        </w:rPr>
        <w:t xml:space="preserve">。</w:t>
      </w:r>
      <w:r>
        <w:rPr>
          <w:sz w:val="22"/>
          <w:szCs w:val="22"/>
          <w:rFonts w:asciiTheme="minorHAnsi" w:hAnsiTheme="minorHAnsi" w:hint="eastAsia"/>
        </w:rPr>
        <w:t xml:space="preserve">多くの国では、PPGが取引を行うことになった会社の一部の所有権を、政府が持っている場合があります。</w:t>
      </w:r>
      <w:r>
        <w:rPr>
          <w:sz w:val="22"/>
          <w:szCs w:val="22"/>
          <w:rFonts w:asciiTheme="minorHAnsi" w:hAnsiTheme="minorHAnsi" w:hint="eastAsia"/>
        </w:rPr>
        <w:t xml:space="preserve">国有企業は世界中、特に中国、ロシア、アラブ首長国連邦、インドネシアでは一般的です。</w:t>
      </w:r>
      <w:r>
        <w:rPr>
          <w:sz w:val="22"/>
          <w:szCs w:val="22"/>
          <w:rFonts w:asciiTheme="minorHAnsi" w:hAnsiTheme="minorHAnsi" w:hint="eastAsia"/>
        </w:rPr>
        <w:t xml:space="preserve">その会社が完全な個人のベンチャーか、あるいは政府がある程度の所有権を持っているのかどうかは、必ずしも常に明白ではないので、PPGの従業員が、いかなる組織にも不適切な賄賂または支払いを提供しないことが、いっそう重要になります。</w:t>
      </w:r>
      <w:r>
        <w:rPr>
          <w:sz w:val="22"/>
          <w:szCs w:val="22"/>
          <w:rFonts w:asciiTheme="minorHAnsi" w:hAnsiTheme="minorHAnsi" w:hint="eastAsia"/>
        </w:rPr>
        <w:t xml:space="preserve"> </w:t>
      </w:r>
    </w:p>
    <w:p w14:paraId="5296F0D5" w14:textId="77777777" w:rsidR="0085042C" w:rsidRDefault="0085042C" w:rsidP="00B21148">
      <w:pPr>
        <w:spacing w:before="0"/>
        <w:ind w:left="540" w:hanging="360"/>
        <w:rPr>
          <w:rFonts w:asciiTheme="minorHAnsi" w:hAnsiTheme="minorHAnsi"/>
          <w:sz w:val="22"/>
          <w:szCs w:val="22"/>
        </w:rPr>
      </w:pPr>
    </w:p>
    <w:p w14:paraId="03A1F4C6" w14:textId="13CA9196" w:rsidR="0085042C" w:rsidRDefault="00A957D3" w:rsidP="00B21148">
      <w:pPr>
        <w:pStyle w:val="NormalWeb"/>
        <w:numPr>
          <w:ilvl w:val="0"/>
          <w:numId w:val="2"/>
        </w:numPr>
        <w:spacing w:before="0" w:beforeAutospacing="0" w:after="0" w:afterAutospacing="0"/>
        <w:ind w:left="540"/>
        <w:rPr>
          <w:sz w:val="22"/>
          <w:szCs w:val="22"/>
          <w:rFonts w:asciiTheme="minorHAnsi" w:hAnsiTheme="minorHAnsi" w:hint="eastAsia"/>
        </w:rPr>
      </w:pPr>
      <w:r>
        <w:rPr>
          <w:sz w:val="22"/>
          <w:szCs w:val="22"/>
          <w:b/>
          <w:i/>
          <w:rFonts w:asciiTheme="minorHAnsi" w:hAnsiTheme="minorHAnsi" w:hint="eastAsia"/>
        </w:rPr>
        <w:t xml:space="preserve">当社の代理人および仲介業者が、当社に代わって賄賂を支払った場合も、PPGが責任を問われることがあります</w:t>
      </w:r>
      <w:r>
        <w:rPr>
          <w:sz w:val="22"/>
          <w:szCs w:val="22"/>
          <w:rFonts w:asciiTheme="minorHAnsi" w:hAnsiTheme="minorHAnsi" w:hint="eastAsia"/>
        </w:rPr>
        <w:t xml:space="preserve">。</w:t>
      </w:r>
      <w:r>
        <w:rPr>
          <w:sz w:val="22"/>
          <w:szCs w:val="22"/>
          <w:rFonts w:asciiTheme="minorHAnsi" w:hAnsiTheme="minorHAnsi" w:hint="eastAsia"/>
        </w:rPr>
        <w:t xml:space="preserve">当社の商品とサービスを販売するために、PPGは多くの国で第三者を頼っています。</w:t>
      </w:r>
      <w:r>
        <w:rPr>
          <w:sz w:val="22"/>
          <w:szCs w:val="22"/>
          <w:rFonts w:asciiTheme="minorHAnsi" w:hAnsiTheme="minorHAnsi" w:hint="eastAsia"/>
        </w:rPr>
        <w:t xml:space="preserve">賄賂および支払いの申し出や提供の禁止は、このような仲介業者にも同様に適用されます。</w:t>
      </w:r>
      <w:r>
        <w:rPr>
          <w:sz w:val="22"/>
          <w:szCs w:val="22"/>
          <w:rFonts w:asciiTheme="minorHAnsi" w:hAnsiTheme="minorHAnsi" w:hint="eastAsia"/>
        </w:rPr>
        <w:t xml:space="preserve">同様に、その支払いが顧客または政府職員に不適切な利益をもたらすことをPPGが認識していたり、これを強く確信している場合は、顧客または政府組織に雇用されている人物の友人や親戚にも、不適切な支払いまたは賄賂を贈ることはできません。</w:t>
      </w:r>
    </w:p>
    <w:p w14:paraId="7737F7CA" w14:textId="77777777" w:rsidR="0085042C" w:rsidRDefault="0085042C" w:rsidP="00B21148">
      <w:pPr>
        <w:pStyle w:val="Default"/>
        <w:ind w:left="540" w:hanging="360"/>
        <w:rPr>
          <w:rFonts w:asciiTheme="minorHAnsi" w:hAnsiTheme="minorHAnsi" w:cs="Times New Roman"/>
          <w:i/>
          <w:sz w:val="22"/>
          <w:szCs w:val="22"/>
        </w:rPr>
      </w:pPr>
    </w:p>
    <w:p w14:paraId="3929F280" w14:textId="22B446E8" w:rsidR="00AC350E" w:rsidRDefault="00B21148" w:rsidP="00B21148">
      <w:pPr>
        <w:spacing w:after="240"/>
        <w:ind w:left="540" w:hanging="360"/>
        <w:rPr>
          <w:sz w:val="22"/>
          <w:szCs w:val="22"/>
          <w:rFonts w:asciiTheme="minorHAnsi" w:hAnsiTheme="minorHAnsi" w:hint="eastAsia"/>
        </w:rPr>
      </w:pPr>
      <w:r>
        <w:rPr>
          <w:sz w:val="22"/>
          <w:szCs w:val="22"/>
          <w:rFonts w:asciiTheme="minorHAnsi" w:hAnsiTheme="minorHAnsi" w:hint="eastAsia"/>
        </w:rPr>
        <w:tab/>
      </w:r>
      <w:r>
        <w:rPr>
          <w:sz w:val="22"/>
          <w:szCs w:val="22"/>
          <w:rFonts w:asciiTheme="minorHAnsi" w:hAnsiTheme="minorHAnsi" w:hint="eastAsia"/>
        </w:rPr>
        <w:t xml:space="preserve">PPGは、代理人や仲介業者を審査および管理するために、徹底的な第三者のデューデリジェンスプログラムを開発・維持しています。</w:t>
      </w:r>
      <w:r>
        <w:rPr>
          <w:sz w:val="22"/>
          <w:szCs w:val="22"/>
          <w:rFonts w:asciiTheme="minorHAnsi" w:hAnsiTheme="minorHAnsi" w:hint="eastAsia"/>
        </w:rPr>
        <w:t xml:space="preserve">詳細については、このサイトの情報を参照してください：</w:t>
      </w:r>
      <w:hyperlink r:id="rId18" w:history="1">
        <w:r>
          <w:rPr>
            <w:rStyle w:val="Hyperlink"/>
            <w:sz w:val="22"/>
            <w:szCs w:val="22"/>
            <w:rFonts w:asciiTheme="minorHAnsi" w:hAnsiTheme="minorHAnsi" w:hint="eastAsia"/>
          </w:rPr>
          <w:t xml:space="preserve">PPGによる第三者のデューデリジェンス</w:t>
        </w:r>
      </w:hyperlink>
      <w:r>
        <w:rPr>
          <w:sz w:val="22"/>
          <w:szCs w:val="22"/>
          <w:rFonts w:asciiTheme="minorHAnsi" w:hAnsiTheme="minorHAnsi" w:hint="eastAsia"/>
        </w:rPr>
        <w:t xml:space="preserve">。</w:t>
      </w:r>
    </w:p>
    <w:p w14:paraId="1948E48E" w14:textId="4DD92C42" w:rsidR="0085042C" w:rsidRDefault="002A0565" w:rsidP="00B21148">
      <w:pPr>
        <w:spacing w:after="240"/>
        <w:ind w:left="540" w:hanging="360"/>
        <w:rPr>
          <w:sz w:val="22"/>
          <w:szCs w:val="22"/>
          <w:rFonts w:asciiTheme="minorHAnsi" w:hAnsiTheme="minorHAnsi" w:hint="eastAsia"/>
        </w:rPr>
      </w:pPr>
      <w:r>
        <w:rPr>
          <w:sz w:val="22"/>
          <w:szCs w:val="22"/>
          <w:rFonts w:asciiTheme="minorHAnsi" w:hAnsiTheme="minorHAnsi" w:hint="eastAsia"/>
        </w:rPr>
        <w:t xml:space="preserve">また、合弁事業パートナー、買収候補、およびそれぞれの代理人や代表者を選ぶときにも、適切なデューデリジェンスを行う必要があります。</w:t>
      </w:r>
      <w:r>
        <w:rPr>
          <w:sz w:val="22"/>
          <w:szCs w:val="22"/>
          <w:rFonts w:asciiTheme="minorHAnsi" w:hAnsiTheme="minorHAnsi" w:hint="eastAsia"/>
        </w:rPr>
        <w:t xml:space="preserve">以下を怠った場合、PPGは、買収した企業または合弁事業パートナーが行った不適切な活動の責任を問われることがあります。(i) 潜在的な危険分野を慎重かつタイムリーに見直すこと (ii) これらの組織において、効果的なコンプライアンス・プログラムを導入すること (iii) 不適切な活動を阻止すること。</w:t>
      </w:r>
    </w:p>
    <w:p w14:paraId="1C74DD13" w14:textId="4CF21B5C" w:rsidR="0085042C" w:rsidRDefault="00AC350E" w:rsidP="00B21148">
      <w:pPr>
        <w:pStyle w:val="ListParagraph"/>
        <w:numPr>
          <w:ilvl w:val="0"/>
          <w:numId w:val="2"/>
        </w:numPr>
        <w:spacing w:before="0"/>
        <w:ind w:left="540"/>
        <w:rPr>
          <w:sz w:val="22"/>
          <w:szCs w:val="22"/>
          <w:rFonts w:asciiTheme="minorHAnsi" w:hAnsiTheme="minorHAnsi" w:hint="eastAsia"/>
        </w:rPr>
      </w:pPr>
      <w:r>
        <w:rPr>
          <w:sz w:val="22"/>
          <w:szCs w:val="22"/>
          <w:b/>
          <w:i/>
          <w:rFonts w:asciiTheme="minorHAnsi" w:hAnsiTheme="minorHAnsi" w:hint="eastAsia"/>
        </w:rPr>
        <w:t xml:space="preserve">リベート、プリベート、割引に注意してください。</w:t>
      </w:r>
      <w:r>
        <w:rPr>
          <w:sz w:val="22"/>
          <w:szCs w:val="22"/>
          <w:b/>
          <w:i/>
          <w:rFonts w:asciiTheme="minorHAnsi" w:hAnsiTheme="minorHAnsi" w:hint="eastAsia"/>
        </w:rPr>
        <w:t xml:space="preserve">  </w:t>
      </w:r>
      <w:r>
        <w:rPr>
          <w:sz w:val="22"/>
          <w:szCs w:val="22"/>
          <w:rFonts w:asciiTheme="minorHAnsi" w:hAnsiTheme="minorHAnsi" w:hint="eastAsia"/>
        </w:rPr>
        <w:t xml:space="preserve">多くの会社と同様に、PPGは交渉済の商業契約の一環として、契約やビジネスを締結したり、これらを保持するために、リベートやプリベートおよび同様の支払いや割引を顧客に提供する場合があります。</w:t>
      </w:r>
      <w:r>
        <w:rPr>
          <w:sz w:val="22"/>
          <w:szCs w:val="22"/>
          <w:rFonts w:asciiTheme="minorHAnsi" w:hAnsiTheme="minorHAnsi" w:hint="eastAsia"/>
        </w:rPr>
        <w:t xml:space="preserve">契約に明記され、合理的かつSBUの現行に従ったもので、現金で支払われず、個人ではなく直接顧客組織に支払われており、当社の会計帳簿や記録に適切に記載され、契約要項に従っている場合、これらの支払いは「不適切」ではありません。</w:t>
      </w:r>
    </w:p>
    <w:p w14:paraId="4A51F24D" w14:textId="77777777" w:rsidR="00C613B2" w:rsidRDefault="00C613B2" w:rsidP="00B21148">
      <w:pPr>
        <w:pStyle w:val="ListParagraph"/>
        <w:spacing w:before="0"/>
        <w:ind w:left="540" w:hanging="360"/>
        <w:rPr>
          <w:rFonts w:asciiTheme="minorHAnsi" w:hAnsiTheme="minorHAnsi"/>
          <w:sz w:val="22"/>
          <w:szCs w:val="22"/>
        </w:rPr>
      </w:pPr>
    </w:p>
    <w:p w14:paraId="44C949FE" w14:textId="77777777" w:rsidR="0085042C" w:rsidRDefault="00C613B2" w:rsidP="00B21148">
      <w:pPr>
        <w:pStyle w:val="ListParagraph"/>
        <w:numPr>
          <w:ilvl w:val="0"/>
          <w:numId w:val="2"/>
        </w:numPr>
        <w:spacing w:before="0"/>
        <w:ind w:left="540"/>
        <w:rPr>
          <w:sz w:val="22"/>
          <w:szCs w:val="22"/>
          <w:rFonts w:asciiTheme="minorHAnsi" w:hAnsiTheme="minorHAnsi" w:hint="eastAsia"/>
        </w:rPr>
      </w:pPr>
      <w:r>
        <w:rPr>
          <w:sz w:val="22"/>
          <w:szCs w:val="22"/>
          <w:b/>
          <w:i/>
          <w:rFonts w:asciiTheme="minorHAnsi" w:hAnsiTheme="minorHAnsi" w:hint="eastAsia"/>
        </w:rPr>
        <w:t xml:space="preserve">正確で透明性のある帳簿と記録、および適切な内部会計規則が不可欠です。</w:t>
      </w:r>
      <w:r>
        <w:rPr>
          <w:sz w:val="22"/>
          <w:szCs w:val="22"/>
          <w:b/>
          <w:i/>
          <w:rFonts w:asciiTheme="minorHAnsi" w:hAnsiTheme="minorHAnsi" w:hint="eastAsia"/>
        </w:rPr>
        <w:t xml:space="preserve">  </w:t>
      </w:r>
      <w:r>
        <w:rPr>
          <w:sz w:val="22"/>
          <w:szCs w:val="22"/>
          <w:rFonts w:asciiTheme="minorHAnsi" w:hAnsiTheme="minorHAnsi" w:hint="eastAsia"/>
        </w:rPr>
        <w:t xml:space="preserve">当社の帳簿や記録において、取引を誤った区分に記載することは決して適切ではありません。</w:t>
      </w:r>
      <w:r>
        <w:rPr>
          <w:sz w:val="22"/>
          <w:szCs w:val="22"/>
          <w:rFonts w:asciiTheme="minorHAnsi" w:hAnsiTheme="minorHAnsi" w:hint="eastAsia"/>
        </w:rPr>
        <w:t xml:space="preserve">賄賂は、手数料やコンサルティング料などの正当な支払いを装って隠ぺいされることがよくあります。</w:t>
      </w:r>
      <w:r>
        <w:rPr>
          <w:sz w:val="22"/>
          <w:szCs w:val="22"/>
          <w:rFonts w:asciiTheme="minorHAnsi" w:hAnsiTheme="minorHAnsi" w:hint="eastAsia"/>
        </w:rPr>
        <w:t xml:space="preserve">  </w:t>
      </w:r>
      <w:r>
        <w:rPr>
          <w:sz w:val="22"/>
          <w:szCs w:val="22"/>
          <w:rFonts w:asciiTheme="minorHAnsi" w:hAnsiTheme="minorHAnsi" w:hint="eastAsia"/>
        </w:rPr>
        <w:t xml:space="preserve">不適切な支払いが不正確に記録されたり、内部統制が弱く、不正が発生するリスクが発見されたりすると、多くの場合、賄賂の証拠がない場合でも、不正行為防止法違反で企業が起訴されることがあります。</w:t>
      </w:r>
      <w:r>
        <w:rPr>
          <w:sz w:val="22"/>
          <w:szCs w:val="22"/>
          <w:rFonts w:asciiTheme="minorHAnsi" w:hAnsiTheme="minorHAnsi" w:hint="eastAsia"/>
        </w:rPr>
        <w:t xml:space="preserve"> </w:t>
      </w:r>
    </w:p>
    <w:p w14:paraId="79285CD4" w14:textId="77777777" w:rsidR="005F19D4" w:rsidRPr="00AA7101" w:rsidRDefault="005F19D4" w:rsidP="00B21148">
      <w:pPr>
        <w:spacing w:before="0"/>
        <w:ind w:left="540" w:hanging="360"/>
        <w:rPr>
          <w:rFonts w:asciiTheme="minorHAnsi" w:hAnsiTheme="minorHAnsi"/>
          <w:sz w:val="22"/>
          <w:szCs w:val="22"/>
        </w:rPr>
      </w:pPr>
    </w:p>
    <w:p w14:paraId="1C7E1CC4" w14:textId="57864599" w:rsidR="0085042C" w:rsidRDefault="00B21148" w:rsidP="00B21148">
      <w:pPr>
        <w:pStyle w:val="NormalWeb"/>
        <w:spacing w:before="0" w:beforeAutospacing="0" w:after="0" w:afterAutospacing="0"/>
        <w:ind w:left="540" w:hanging="360"/>
        <w:rPr>
          <w:sz w:val="22"/>
          <w:szCs w:val="22"/>
          <w:rFonts w:asciiTheme="minorHAnsi" w:hAnsiTheme="minorHAnsi" w:hint="eastAsia"/>
        </w:rPr>
      </w:pPr>
      <w:r>
        <w:rPr>
          <w:sz w:val="22"/>
          <w:szCs w:val="22"/>
          <w:rFonts w:asciiTheme="minorHAnsi" w:hAnsiTheme="minorHAnsi" w:hint="eastAsia"/>
        </w:rPr>
        <w:tab/>
      </w:r>
      <w:r>
        <w:rPr>
          <w:sz w:val="22"/>
          <w:szCs w:val="22"/>
          <w:rFonts w:asciiTheme="minorHAnsi" w:hAnsiTheme="minorHAnsi" w:hint="eastAsia"/>
        </w:rPr>
        <w:t xml:space="preserve">これに加え、おもてなしや旅行、贈答品、接待、および食事の一部として発生する費用と活動には透明性がなければなりません。つまり、こうした費用や活動を証明する記述には、関係者とビジネス目的が明記され、活動の説明や、支払われた金額も明示されていなければなりません。</w:t>
      </w:r>
      <w:r>
        <w:rPr>
          <w:sz w:val="22"/>
          <w:szCs w:val="22"/>
          <w:rFonts w:asciiTheme="minorHAnsi" w:hAnsiTheme="minorHAnsi" w:hint="eastAsia"/>
        </w:rPr>
        <w:t xml:space="preserve"> </w:t>
      </w:r>
    </w:p>
    <w:p w14:paraId="2D224679" w14:textId="77777777" w:rsidR="0085042C" w:rsidRDefault="0085042C" w:rsidP="00B21148">
      <w:pPr>
        <w:pStyle w:val="NormalWeb"/>
        <w:spacing w:before="0" w:beforeAutospacing="0" w:after="0" w:afterAutospacing="0"/>
        <w:ind w:left="540" w:hanging="360"/>
        <w:rPr>
          <w:rFonts w:asciiTheme="minorHAnsi" w:hAnsiTheme="minorHAnsi"/>
          <w:sz w:val="22"/>
          <w:szCs w:val="22"/>
        </w:rPr>
      </w:pPr>
    </w:p>
    <w:p w14:paraId="16F65D70" w14:textId="10B5F6D8" w:rsidR="0085042C" w:rsidRDefault="002A0565" w:rsidP="00B21148">
      <w:pPr>
        <w:pStyle w:val="NormalWeb"/>
        <w:numPr>
          <w:ilvl w:val="0"/>
          <w:numId w:val="10"/>
        </w:numPr>
        <w:spacing w:before="0" w:beforeAutospacing="0" w:after="0" w:afterAutospacing="0"/>
        <w:ind w:left="540"/>
        <w:rPr>
          <w:sz w:val="22"/>
          <w:szCs w:val="22"/>
          <w:rFonts w:asciiTheme="minorHAnsi" w:hAnsiTheme="minorHAnsi" w:hint="eastAsia"/>
        </w:rPr>
      </w:pPr>
      <w:r>
        <w:rPr>
          <w:sz w:val="22"/>
          <w:szCs w:val="22"/>
          <w:b/>
          <w:i/>
          <w:rFonts w:asciiTheme="minorHAnsi" w:hAnsiTheme="minorHAnsi" w:hint="eastAsia"/>
        </w:rPr>
        <w:t xml:space="preserve">慈善活動への寄付も賄賂と見なされる場合があります。</w:t>
      </w:r>
      <w:r>
        <w:rPr>
          <w:sz w:val="22"/>
          <w:szCs w:val="22"/>
          <w:b/>
          <w:i/>
          <w:rFonts w:asciiTheme="minorHAnsi" w:hAnsiTheme="minorHAnsi" w:hint="eastAsia"/>
        </w:rPr>
        <w:t xml:space="preserve">  </w:t>
      </w:r>
      <w:r>
        <w:rPr>
          <w:sz w:val="22"/>
          <w:szCs w:val="22"/>
          <w:rFonts w:asciiTheme="minorHAnsi" w:hAnsiTheme="minorHAnsi" w:hint="eastAsia"/>
        </w:rPr>
        <w:t xml:space="preserve">慈善活動への寄付や後援が、贈収賄防止または不正行為防止の法律や規制に違反するリスクがあることを知ると、多くの従業員は驚きます。</w:t>
      </w:r>
    </w:p>
    <w:p w14:paraId="046B3E20" w14:textId="597B138A" w:rsidR="0085042C" w:rsidRDefault="00B21148" w:rsidP="00B21148">
      <w:pPr>
        <w:pStyle w:val="NormalWeb"/>
        <w:spacing w:before="0"/>
        <w:ind w:left="540" w:hanging="360"/>
        <w:rPr>
          <w:sz w:val="22"/>
          <w:szCs w:val="22"/>
          <w:rFonts w:asciiTheme="minorHAnsi" w:hAnsiTheme="minorHAnsi" w:hint="eastAsia"/>
        </w:rPr>
      </w:pPr>
      <w:r>
        <w:rPr>
          <w:sz w:val="22"/>
          <w:szCs w:val="22"/>
          <w:rFonts w:asciiTheme="minorHAnsi" w:hAnsiTheme="minorHAnsi" w:hint="eastAsia"/>
        </w:rPr>
        <w:tab/>
      </w:r>
      <w:r>
        <w:rPr>
          <w:sz w:val="22"/>
          <w:szCs w:val="22"/>
          <w:rFonts w:asciiTheme="minorHAnsi" w:hAnsiTheme="minorHAnsi" w:hint="eastAsia"/>
        </w:rPr>
        <w:t xml:space="preserve">例えば、PPGのビジネスパートナーまたは政府職員が、慈善団体を積極的に支援していたり、慈善団体の役員を務めていることがあります。</w:t>
      </w:r>
      <w:r>
        <w:rPr>
          <w:sz w:val="22"/>
          <w:szCs w:val="22"/>
          <w:rFonts w:asciiTheme="minorHAnsi" w:hAnsiTheme="minorHAnsi" w:hint="eastAsia"/>
        </w:rPr>
        <w:t xml:space="preserve">規範の</w:t>
      </w:r>
      <w:hyperlink r:id="rId19" w:history="1">
        <w:r>
          <w:rPr>
            <w:rStyle w:val="Hyperlink"/>
            <w:i/>
            <w:sz w:val="22"/>
            <w:szCs w:val="22"/>
            <w:rFonts w:asciiTheme="minorHAnsi" w:hAnsiTheme="minorHAnsi" w:hint="eastAsia"/>
          </w:rPr>
          <w:t xml:space="preserve">慈善活動への寄付</w:t>
        </w:r>
      </w:hyperlink>
      <w:r>
        <w:rPr>
          <w:sz w:val="22"/>
          <w:szCs w:val="22"/>
          <w:rFonts w:asciiTheme="minorHAnsi" w:hAnsiTheme="minorHAnsi" w:hint="eastAsia"/>
        </w:rPr>
        <w:t xml:space="preserve">セクションに詳しく説明されているように、当社とビジネス関係を結んだり、承認を取得したり、その他の不適切なビジネス上の便宜を得るために相手に影響を与える目的で、その慈善団体への寄付することはできません。</w:t>
      </w:r>
      <w:r>
        <w:rPr>
          <w:sz w:val="22"/>
          <w:szCs w:val="22"/>
          <w:rFonts w:asciiTheme="minorHAnsi" w:hAnsiTheme="minorHAnsi" w:hint="eastAsia"/>
        </w:rPr>
        <w:t xml:space="preserve">  </w:t>
      </w:r>
    </w:p>
    <w:p w14:paraId="213AFA17" w14:textId="2A969EE2" w:rsidR="0085042C" w:rsidRDefault="002A0565" w:rsidP="00B21148">
      <w:pPr>
        <w:pStyle w:val="NormalWeb"/>
        <w:numPr>
          <w:ilvl w:val="0"/>
          <w:numId w:val="13"/>
        </w:numPr>
        <w:spacing w:before="0" w:beforeAutospacing="0" w:after="0" w:afterAutospacing="0"/>
        <w:ind w:left="540"/>
        <w:rPr>
          <w:sz w:val="22"/>
          <w:szCs w:val="22"/>
          <w:rFonts w:ascii="Calibri" w:hAnsi="Calibri" w:hint="eastAsia" w:eastAsia="MS Mincho"/>
        </w:rPr>
      </w:pPr>
      <w:r>
        <w:rPr>
          <w:sz w:val="22"/>
          <w:szCs w:val="22"/>
          <w:b/>
          <w:bCs/>
          <w:i/>
          <w:rFonts w:ascii="Calibri" w:hAnsi="Calibri" w:hint="eastAsia" w:eastAsia="MS Mincho"/>
        </w:rPr>
        <w:t xml:space="preserve">政治献金</w:t>
      </w:r>
      <w:r>
        <w:rPr>
          <w:sz w:val="22"/>
          <w:szCs w:val="22"/>
          <w:rFonts w:ascii="Calibri" w:hAnsi="Calibri" w:hint="eastAsia" w:eastAsia="MS Mincho"/>
        </w:rPr>
        <w:t xml:space="preserve">PPGは、会社が承認した方法で政治候補者を支援しますが、その支援は、現地法の要件内で、PPGの政府担当者の承認を得た上で行われます。</w:t>
      </w:r>
      <w:r>
        <w:rPr>
          <w:sz w:val="22"/>
          <w:szCs w:val="22"/>
          <w:rFonts w:ascii="Calibri" w:hAnsi="Calibri" w:hint="eastAsia" w:eastAsia="MS Mincho"/>
        </w:rPr>
        <w:t xml:space="preserve">慈善団体への寄付のリスクと同様に、政府職員またはビジネスパートナーに不適切な影響を与える目的で、政治家候補者または政党に寄付が行われる場合は、懸念されるべきです。</w:t>
      </w:r>
      <w:r>
        <w:rPr>
          <w:sz w:val="22"/>
          <w:szCs w:val="22"/>
          <w:rFonts w:ascii="Calibri" w:hAnsi="Calibri" w:hint="eastAsia" w:eastAsia="MS Mincho"/>
        </w:rPr>
        <w:t xml:space="preserve">  </w:t>
      </w:r>
      <w:r>
        <w:rPr>
          <w:sz w:val="22"/>
          <w:szCs w:val="22"/>
          <w:rFonts w:ascii="Calibri" w:hAnsi="Calibri" w:hint="eastAsia" w:eastAsia="MS Mincho"/>
        </w:rPr>
        <w:t xml:space="preserve">政治活動に個人で自発的に寄付をする以外に、支払いを政府職員に行うよう求められた従業員は、PPGの最高コンプライアンス責任者およびPPG政府問題担当者に連絡する必要があります。</w:t>
      </w:r>
    </w:p>
    <w:p w14:paraId="6E98FB20" w14:textId="77777777" w:rsidR="0085042C" w:rsidRDefault="0085042C" w:rsidP="00B21148">
      <w:pPr>
        <w:pStyle w:val="NormalWeb"/>
        <w:spacing w:before="0" w:beforeAutospacing="0" w:after="0" w:afterAutospacing="0"/>
        <w:ind w:left="540" w:hanging="360"/>
        <w:rPr>
          <w:rFonts w:ascii="Calibri" w:hAnsi="Calibri"/>
          <w:sz w:val="22"/>
          <w:szCs w:val="22"/>
        </w:rPr>
      </w:pPr>
    </w:p>
    <w:p w14:paraId="7DE6F25B" w14:textId="77777777" w:rsidR="0085042C" w:rsidRDefault="0085042C">
      <w:pPr>
        <w:spacing w:before="0"/>
        <w:rPr>
          <w:rFonts w:asciiTheme="minorHAnsi" w:hAnsiTheme="minorHAnsi"/>
          <w:sz w:val="22"/>
          <w:szCs w:val="22"/>
          <w:u w:val="single"/>
        </w:rPr>
      </w:pPr>
    </w:p>
    <w:p w14:paraId="1FEC9774" w14:textId="77777777" w:rsidR="0085042C" w:rsidRDefault="002A0565" w:rsidP="00411E2B">
      <w:pPr>
        <w:spacing w:before="0"/>
        <w:jc w:val="center"/>
        <w:rPr>
          <w:b/>
          <w:sz w:val="22"/>
          <w:szCs w:val="22"/>
          <w:u w:val="single"/>
          <w:rFonts w:asciiTheme="minorHAnsi" w:hAnsiTheme="minorHAnsi" w:hint="eastAsia"/>
        </w:rPr>
      </w:pPr>
      <w:r>
        <w:rPr>
          <w:b/>
          <w:sz w:val="22"/>
          <w:szCs w:val="22"/>
          <w:u w:val="single"/>
          <w:rFonts w:asciiTheme="minorHAnsi" w:hAnsiTheme="minorHAnsi" w:hint="eastAsia"/>
        </w:rPr>
        <w:t xml:space="preserve">結果</w:t>
      </w:r>
    </w:p>
    <w:p w14:paraId="527B037F" w14:textId="77777777" w:rsidR="00AF084C" w:rsidRPr="00A55EC2" w:rsidRDefault="00AF084C" w:rsidP="00411E2B">
      <w:pPr>
        <w:spacing w:before="0"/>
        <w:jc w:val="center"/>
        <w:rPr>
          <w:rFonts w:asciiTheme="minorHAnsi" w:hAnsiTheme="minorHAnsi"/>
          <w:b/>
          <w:sz w:val="22"/>
          <w:szCs w:val="22"/>
          <w:u w:val="single"/>
        </w:rPr>
      </w:pPr>
    </w:p>
    <w:p w14:paraId="54420E7B" w14:textId="396E532C" w:rsidR="0085042C" w:rsidRDefault="002A0565" w:rsidP="008C3EBA">
      <w:pPr>
        <w:spacing w:before="0"/>
        <w:jc w:val="both"/>
        <w:rPr>
          <w:sz w:val="22"/>
          <w:szCs w:val="22"/>
          <w:rFonts w:asciiTheme="minorHAnsi" w:hAnsiTheme="minorHAnsi" w:hint="eastAsia"/>
        </w:rPr>
      </w:pPr>
      <w:r>
        <w:rPr>
          <w:sz w:val="22"/>
          <w:szCs w:val="22"/>
          <w:rFonts w:asciiTheme="minorHAnsi" w:hAnsiTheme="minorHAnsi" w:hint="eastAsia"/>
        </w:rPr>
        <w:t xml:space="preserve">本方針および、不正行為防止および賄賂防止に関する方針や規制に対する違反は、会社と個人を含む両方にとって、深刻な刑事罰と民事制裁金につながる可能性があります。</w:t>
      </w:r>
      <w:r>
        <w:rPr>
          <w:sz w:val="22"/>
          <w:szCs w:val="22"/>
          <w:rFonts w:asciiTheme="minorHAnsi" w:hAnsiTheme="minorHAnsi" w:hint="eastAsia"/>
        </w:rPr>
        <w:t xml:space="preserve">  </w:t>
      </w:r>
      <w:r>
        <w:rPr>
          <w:sz w:val="22"/>
          <w:szCs w:val="22"/>
          <w:rFonts w:asciiTheme="minorHAnsi" w:hAnsiTheme="minorHAnsi" w:hint="eastAsia"/>
        </w:rPr>
        <w:t xml:space="preserve">こうした規制への違反があるかの疑いも与えないように、常に行動することが重要です。</w:t>
      </w:r>
      <w:r>
        <w:rPr>
          <w:sz w:val="22"/>
          <w:szCs w:val="22"/>
          <w:rFonts w:asciiTheme="minorHAnsi" w:hAnsiTheme="minorHAnsi" w:hint="eastAsia"/>
        </w:rPr>
        <w:t xml:space="preserve">特定の法律では罰金に制限がなく、しばしば数百万ドルを超える場合もあります。</w:t>
      </w:r>
      <w:r>
        <w:rPr>
          <w:sz w:val="22"/>
          <w:szCs w:val="22"/>
          <w:rFonts w:asciiTheme="minorHAnsi" w:hAnsiTheme="minorHAnsi" w:hint="eastAsia"/>
        </w:rPr>
        <w:t xml:space="preserve">個人に対する刑事罰は10年以上の懲役に加え、罰金が科される場合があります。この罰金をPPGが代わりに支払うことはできません。</w:t>
      </w:r>
    </w:p>
    <w:p w14:paraId="05325B61" w14:textId="77777777" w:rsidR="008C3EBA" w:rsidRDefault="008C3EBA" w:rsidP="008C3EBA">
      <w:pPr>
        <w:jc w:val="both"/>
        <w:rPr>
          <w:rFonts w:asciiTheme="minorHAnsi" w:hAnsiTheme="minorHAnsi"/>
          <w:sz w:val="22"/>
          <w:szCs w:val="22"/>
        </w:rPr>
      </w:pPr>
    </w:p>
    <w:p w14:paraId="77E851C8" w14:textId="77777777" w:rsidR="0085042C" w:rsidRDefault="002A0565" w:rsidP="008C3EBA">
      <w:pPr>
        <w:jc w:val="both"/>
        <w:rPr>
          <w:sz w:val="22"/>
          <w:szCs w:val="22"/>
          <w:rFonts w:asciiTheme="minorHAnsi" w:hAnsiTheme="minorHAnsi" w:hint="eastAsia"/>
        </w:rPr>
      </w:pPr>
      <w:r>
        <w:rPr>
          <w:sz w:val="22"/>
          <w:szCs w:val="22"/>
          <w:rFonts w:asciiTheme="minorHAnsi" w:hAnsiTheme="minorHAnsi" w:hint="eastAsia"/>
        </w:rPr>
        <w:t xml:space="preserve">本方針またはこれらの法規制への違反は、会社からの解雇を含む懲戒処分につながる恐れもあります。</w:t>
      </w:r>
      <w:r>
        <w:rPr>
          <w:sz w:val="22"/>
          <w:szCs w:val="22"/>
          <w:rFonts w:asciiTheme="minorHAnsi" w:hAnsiTheme="minorHAnsi" w:hint="eastAsia"/>
        </w:rPr>
        <w:t xml:space="preserve">  </w:t>
      </w:r>
    </w:p>
    <w:p w14:paraId="269652AE" w14:textId="77777777" w:rsidR="0085042C" w:rsidRDefault="0085042C">
      <w:pPr>
        <w:pStyle w:val="Default"/>
        <w:rPr>
          <w:rFonts w:asciiTheme="minorHAnsi" w:hAnsiTheme="minorHAnsi"/>
          <w:i/>
          <w:sz w:val="22"/>
          <w:szCs w:val="22"/>
        </w:rPr>
      </w:pPr>
    </w:p>
    <w:p w14:paraId="6FEE9BC6" w14:textId="77777777" w:rsidR="0085042C" w:rsidRDefault="002A0565" w:rsidP="00411E2B">
      <w:pPr>
        <w:pStyle w:val="Default"/>
        <w:jc w:val="center"/>
        <w:rPr>
          <w:b/>
          <w:sz w:val="22"/>
          <w:szCs w:val="22"/>
          <w:u w:val="single"/>
          <w:rFonts w:asciiTheme="minorHAnsi" w:hAnsiTheme="minorHAnsi" w:hint="eastAsia"/>
        </w:rPr>
      </w:pPr>
      <w:r>
        <w:rPr>
          <w:b/>
          <w:sz w:val="22"/>
          <w:szCs w:val="22"/>
          <w:u w:val="single"/>
          <w:rFonts w:asciiTheme="minorHAnsi" w:hAnsiTheme="minorHAnsi" w:hint="eastAsia"/>
        </w:rPr>
        <w:t xml:space="preserve">監視と確認</w:t>
      </w:r>
    </w:p>
    <w:p w14:paraId="2FDAEE78" w14:textId="77777777" w:rsidR="00AF084C" w:rsidRPr="00A55EC2" w:rsidRDefault="00AF084C" w:rsidP="00411E2B">
      <w:pPr>
        <w:pStyle w:val="Default"/>
        <w:jc w:val="center"/>
        <w:rPr>
          <w:rFonts w:asciiTheme="minorHAnsi" w:hAnsiTheme="minorHAnsi"/>
          <w:b/>
          <w:sz w:val="22"/>
          <w:szCs w:val="22"/>
          <w:u w:val="single"/>
        </w:rPr>
      </w:pPr>
    </w:p>
    <w:p w14:paraId="7CFB4F07" w14:textId="6FB41C95" w:rsidR="0085042C" w:rsidRDefault="00AF084C">
      <w:pPr>
        <w:pStyle w:val="Default"/>
        <w:rPr>
          <w:b/>
          <w:sz w:val="22"/>
          <w:szCs w:val="22"/>
          <w:u w:val="single"/>
          <w:rFonts w:asciiTheme="minorHAnsi" w:hAnsiTheme="minorHAnsi" w:hint="eastAsia"/>
        </w:rPr>
      </w:pPr>
      <w:r>
        <w:rPr>
          <w:sz w:val="22"/>
          <w:szCs w:val="22"/>
          <w:rFonts w:asciiTheme="minorHAnsi" w:hAnsiTheme="minorHAnsi" w:hint="eastAsia"/>
        </w:rPr>
        <w:t xml:space="preserve">PPGの方針、および適用されるあらゆる法規制に準拠して事業が世界的に行われていることを確実にするため、経営陣は管理体制を整える責任があります。</w:t>
      </w:r>
      <w:r>
        <w:rPr>
          <w:sz w:val="22"/>
          <w:szCs w:val="22"/>
          <w:rFonts w:asciiTheme="minorHAnsi" w:hAnsiTheme="minorHAnsi" w:hint="eastAsia"/>
        </w:rPr>
        <w:t xml:space="preserve">PPGの企業監査サービスは、従業員が本方針と関連手順、および当該法や当該規制を遵守しているかどうかを定期的に監視・確認します。</w:t>
      </w:r>
      <w:r>
        <w:rPr>
          <w:sz w:val="22"/>
          <w:szCs w:val="22"/>
          <w:rFonts w:asciiTheme="minorHAnsi" w:hAnsiTheme="minorHAnsi" w:hint="eastAsia"/>
        </w:rPr>
        <w:t xml:space="preserve"> </w:t>
      </w:r>
    </w:p>
    <w:p w14:paraId="5013ACCA" w14:textId="77777777" w:rsidR="0085042C" w:rsidRDefault="0085042C">
      <w:pPr>
        <w:pStyle w:val="Default"/>
        <w:rPr>
          <w:rFonts w:asciiTheme="minorHAnsi" w:hAnsiTheme="minorHAnsi"/>
          <w:b/>
          <w:sz w:val="22"/>
          <w:szCs w:val="22"/>
          <w:u w:val="single"/>
        </w:rPr>
      </w:pPr>
    </w:p>
    <w:p w14:paraId="1DD894EE" w14:textId="77777777" w:rsidR="0085042C" w:rsidRPr="00A55EC2" w:rsidRDefault="002A0565" w:rsidP="00411E2B">
      <w:pPr>
        <w:pStyle w:val="Default"/>
        <w:jc w:val="center"/>
        <w:rPr>
          <w:b/>
          <w:sz w:val="22"/>
          <w:szCs w:val="22"/>
          <w:u w:val="single"/>
          <w:rFonts w:asciiTheme="minorHAnsi" w:hAnsiTheme="minorHAnsi" w:hint="eastAsia"/>
        </w:rPr>
      </w:pPr>
      <w:r>
        <w:rPr>
          <w:b/>
          <w:sz w:val="22"/>
          <w:szCs w:val="22"/>
          <w:u w:val="single"/>
          <w:rFonts w:asciiTheme="minorHAnsi" w:hAnsiTheme="minorHAnsi" w:hint="eastAsia"/>
        </w:rPr>
        <w:t xml:space="preserve">報告</w:t>
      </w:r>
    </w:p>
    <w:p w14:paraId="18D6363F" w14:textId="77777777" w:rsidR="0085042C" w:rsidRDefault="002A0565">
      <w:pPr>
        <w:pStyle w:val="Default"/>
        <w:rPr>
          <w:sz w:val="22"/>
          <w:szCs w:val="22"/>
          <w:rFonts w:hint="eastAsia"/>
        </w:rPr>
      </w:pPr>
      <w:r>
        <w:rPr>
          <w:sz w:val="22"/>
          <w:szCs w:val="22"/>
          <w:rFonts w:hint="eastAsia"/>
        </w:rPr>
        <w:t xml:space="preserve">本方針またはこれらの法規制への違反を疑ったり、認識しているPPGおよびその子会社の取締役、役員または従業員は、PPGの最高コンプライアンス責任者、PPGの企業顧問、グローバル倫理およびコンプライアンス、以下に示す別のリソース、または匿名かつ機密に報告できるPPGの</w:t>
      </w:r>
      <w:hyperlink r:id="rId20" w:history="1">
        <w:r>
          <w:rPr>
            <w:rStyle w:val="Hyperlink"/>
            <w:sz w:val="22"/>
            <w:szCs w:val="22"/>
            <w:rFonts w:hint="eastAsia"/>
          </w:rPr>
          <w:t xml:space="preserve">「倫理ヘルプライン」</w:t>
        </w:r>
      </w:hyperlink>
      <w:r>
        <w:rPr>
          <w:sz w:val="22"/>
          <w:szCs w:val="22"/>
          <w:rFonts w:hint="eastAsia"/>
        </w:rPr>
        <w:t xml:space="preserve">にその情報を伝える必要があります。</w:t>
      </w:r>
      <w:r>
        <w:rPr>
          <w:sz w:val="22"/>
          <w:szCs w:val="22"/>
          <w:rFonts w:hint="eastAsia"/>
        </w:rPr>
        <w:t xml:space="preserve">  </w:t>
      </w:r>
    </w:p>
    <w:p w14:paraId="6CEBC2CF" w14:textId="77777777" w:rsidR="0085042C" w:rsidRDefault="0085042C">
      <w:pPr>
        <w:pStyle w:val="Default"/>
        <w:rPr>
          <w:rFonts w:asciiTheme="minorHAnsi" w:hAnsiTheme="minorHAnsi"/>
          <w:i/>
          <w:sz w:val="22"/>
          <w:szCs w:val="22"/>
        </w:rPr>
      </w:pPr>
    </w:p>
    <w:p w14:paraId="2B9D7AAF" w14:textId="77777777" w:rsidR="0085042C" w:rsidRDefault="002A0565">
      <w:pPr>
        <w:pStyle w:val="Default"/>
        <w:rPr>
          <w:b/>
          <w:sz w:val="22"/>
          <w:szCs w:val="22"/>
          <w:u w:val="single"/>
          <w:rFonts w:asciiTheme="minorHAnsi" w:hAnsiTheme="minorHAnsi" w:hint="eastAsia"/>
        </w:rPr>
      </w:pPr>
      <w:r>
        <w:rPr>
          <w:b/>
          <w:sz w:val="22"/>
          <w:szCs w:val="22"/>
          <w:u w:val="single"/>
          <w:rFonts w:asciiTheme="minorHAnsi" w:hAnsiTheme="minorHAnsi" w:hint="eastAsia"/>
        </w:rPr>
        <w:t xml:space="preserve">リソース</w:t>
      </w:r>
    </w:p>
    <w:p w14:paraId="53784C3D" w14:textId="77777777" w:rsidR="0085042C" w:rsidRDefault="002A0565">
      <w:pPr>
        <w:pStyle w:val="Default"/>
        <w:rPr>
          <w:sz w:val="22"/>
          <w:szCs w:val="22"/>
          <w:rFonts w:asciiTheme="minorHAnsi" w:hAnsiTheme="minorHAnsi" w:hint="eastAsia"/>
        </w:rPr>
      </w:pPr>
      <w:r>
        <w:rPr>
          <w:sz w:val="22"/>
          <w:szCs w:val="22"/>
          <w:rFonts w:asciiTheme="minorHAnsi" w:hAnsiTheme="minorHAnsi" w:hint="eastAsia"/>
        </w:rPr>
        <w:t xml:space="preserve">本方針や、当該する法律や規制に関して質問がある場合は、以下にご連絡ください：</w:t>
      </w:r>
    </w:p>
    <w:p w14:paraId="491190A2" w14:textId="77777777" w:rsidR="008C3EBA" w:rsidRPr="008C3EBA" w:rsidRDefault="002A0565" w:rsidP="008C3EBA">
      <w:pPr>
        <w:pStyle w:val="Default"/>
        <w:numPr>
          <w:ilvl w:val="0"/>
          <w:numId w:val="2"/>
        </w:numPr>
        <w:ind w:left="763"/>
        <w:contextualSpacing/>
        <w:rPr>
          <w:b/>
          <w:sz w:val="22"/>
          <w:szCs w:val="22"/>
          <w:u w:val="single"/>
          <w:rFonts w:asciiTheme="minorHAnsi" w:hAnsiTheme="minorHAnsi" w:hint="eastAsia"/>
        </w:rPr>
      </w:pPr>
      <w:r>
        <w:rPr>
          <w:i/>
          <w:sz w:val="22"/>
          <w:szCs w:val="22"/>
          <w:rFonts w:asciiTheme="minorHAnsi" w:hAnsiTheme="minorHAnsi" w:hint="eastAsia"/>
        </w:rPr>
        <w:t xml:space="preserve">PPG最高コンプライアンス責任者 – 米国 (412.434.3200)</w:t>
      </w:r>
    </w:p>
    <w:p w14:paraId="41E673D6" w14:textId="77777777" w:rsidR="00411E2B" w:rsidRPr="00411E2B" w:rsidRDefault="00411E2B" w:rsidP="008C3EBA">
      <w:pPr>
        <w:pStyle w:val="ListParagraph"/>
        <w:numPr>
          <w:ilvl w:val="0"/>
          <w:numId w:val="2"/>
        </w:numPr>
        <w:spacing w:before="0"/>
        <w:ind w:left="763"/>
        <w:rPr>
          <w:i/>
          <w:color w:val="000000"/>
          <w:sz w:val="22"/>
          <w:szCs w:val="22"/>
          <w:rFonts w:asciiTheme="minorHAnsi" w:eastAsiaTheme="minorEastAsia" w:hAnsiTheme="minorHAnsi" w:cs="Calibri" w:hint="eastAsia"/>
        </w:rPr>
      </w:pPr>
      <w:r>
        <w:rPr>
          <w:i/>
          <w:color w:val="000000"/>
          <w:sz w:val="22"/>
          <w:szCs w:val="22"/>
          <w:rFonts w:asciiTheme="minorHAnsi" w:hAnsiTheme="minorHAnsi" w:hint="eastAsia"/>
        </w:rPr>
        <w:t xml:space="preserve">PPG企業顧問、倫理およびコンプライアンス（412.434.2434）</w:t>
      </w:r>
    </w:p>
    <w:p w14:paraId="40F6C28B" w14:textId="77777777" w:rsidR="0085042C" w:rsidRDefault="002A0565" w:rsidP="008C3EBA">
      <w:pPr>
        <w:pStyle w:val="Default"/>
        <w:numPr>
          <w:ilvl w:val="0"/>
          <w:numId w:val="2"/>
        </w:numPr>
        <w:contextualSpacing/>
        <w:rPr>
          <w:b/>
          <w:sz w:val="22"/>
          <w:szCs w:val="22"/>
          <w:u w:val="single"/>
          <w:rFonts w:asciiTheme="minorHAnsi" w:hAnsiTheme="minorHAnsi" w:hint="eastAsia"/>
        </w:rPr>
      </w:pPr>
      <w:r>
        <w:rPr>
          <w:i/>
          <w:sz w:val="22"/>
          <w:szCs w:val="22"/>
          <w:rFonts w:asciiTheme="minorHAnsi" w:hAnsiTheme="minorHAnsi" w:hint="eastAsia"/>
        </w:rPr>
        <w:t xml:space="preserve">PPG上級副社長および法務顧問 – 米国 (412.434.2471)</w:t>
      </w:r>
    </w:p>
    <w:p w14:paraId="55921441" w14:textId="77777777" w:rsidR="0085042C" w:rsidRDefault="002A0565">
      <w:pPr>
        <w:pStyle w:val="Default"/>
        <w:numPr>
          <w:ilvl w:val="0"/>
          <w:numId w:val="2"/>
        </w:numPr>
        <w:rPr>
          <w:b/>
          <w:sz w:val="22"/>
          <w:szCs w:val="22"/>
          <w:u w:val="single"/>
          <w:rFonts w:asciiTheme="minorHAnsi" w:hAnsiTheme="minorHAnsi" w:hint="eastAsia"/>
        </w:rPr>
      </w:pPr>
      <w:r>
        <w:rPr>
          <w:i/>
          <w:sz w:val="22"/>
          <w:szCs w:val="22"/>
          <w:rFonts w:asciiTheme="minorHAnsi" w:hAnsiTheme="minorHAnsi" w:hint="eastAsia"/>
        </w:rPr>
        <w:t xml:space="preserve">PPG地域顧問：</w:t>
      </w:r>
    </w:p>
    <w:p w14:paraId="601FDF92" w14:textId="77777777" w:rsidR="0085042C" w:rsidRDefault="002A0565" w:rsidP="003270D8">
      <w:pPr>
        <w:pStyle w:val="Default"/>
        <w:numPr>
          <w:ilvl w:val="1"/>
          <w:numId w:val="17"/>
        </w:numPr>
        <w:rPr>
          <w:b/>
          <w:sz w:val="22"/>
          <w:szCs w:val="22"/>
          <w:u w:val="single"/>
          <w:rFonts w:asciiTheme="minorHAnsi" w:hAnsiTheme="minorHAnsi" w:hint="eastAsia"/>
        </w:rPr>
      </w:pPr>
      <w:r>
        <w:rPr>
          <w:i/>
          <w:sz w:val="22"/>
          <w:szCs w:val="22"/>
          <w:rFonts w:asciiTheme="minorHAnsi" w:hAnsiTheme="minorHAnsi" w:hint="eastAsia"/>
        </w:rPr>
        <w:t xml:space="preserve">法務顧問 – アジア太平洋 （852.2860.4569）</w:t>
      </w:r>
    </w:p>
    <w:p w14:paraId="41D0DBB3" w14:textId="77777777" w:rsidR="0085042C" w:rsidRDefault="002A0565" w:rsidP="003270D8">
      <w:pPr>
        <w:pStyle w:val="Default"/>
        <w:numPr>
          <w:ilvl w:val="1"/>
          <w:numId w:val="17"/>
        </w:numPr>
        <w:rPr>
          <w:i/>
          <w:sz w:val="22"/>
          <w:szCs w:val="22"/>
          <w:rFonts w:asciiTheme="minorHAnsi" w:hAnsiTheme="minorHAnsi" w:hint="eastAsia"/>
        </w:rPr>
      </w:pPr>
      <w:r>
        <w:rPr>
          <w:i/>
          <w:sz w:val="22"/>
          <w:szCs w:val="22"/>
          <w:rFonts w:asciiTheme="minorHAnsi" w:hAnsiTheme="minorHAnsi" w:hint="eastAsia"/>
        </w:rPr>
        <w:t xml:space="preserve">法務担当 – ヨーロッパ・中東・アフリカ (41.21.822.3011)</w:t>
      </w:r>
    </w:p>
    <w:p w14:paraId="36FDEF75" w14:textId="77777777" w:rsidR="0030096A" w:rsidRDefault="0030096A" w:rsidP="003270D8">
      <w:pPr>
        <w:pStyle w:val="Default"/>
        <w:numPr>
          <w:ilvl w:val="1"/>
          <w:numId w:val="17"/>
        </w:numPr>
        <w:rPr>
          <w:i/>
          <w:sz w:val="22"/>
          <w:szCs w:val="22"/>
          <w:rFonts w:asciiTheme="minorHAnsi" w:hAnsiTheme="minorHAnsi" w:hint="eastAsia"/>
        </w:rPr>
      </w:pPr>
      <w:r>
        <w:rPr>
          <w:i/>
          <w:sz w:val="22"/>
          <w:szCs w:val="22"/>
          <w:rFonts w:asciiTheme="minorHAnsi" w:hAnsiTheme="minorHAnsi" w:hint="eastAsia"/>
        </w:rPr>
        <w:t xml:space="preserve">法務部長 – 南米 （55 19 2103.6082）</w:t>
      </w:r>
    </w:p>
    <w:p w14:paraId="04893EF1" w14:textId="4EAFDFD6" w:rsidR="0085042C" w:rsidRDefault="003270D8" w:rsidP="003270D8">
      <w:pPr>
        <w:pStyle w:val="Default"/>
        <w:numPr>
          <w:ilvl w:val="1"/>
          <w:numId w:val="17"/>
        </w:numPr>
        <w:rPr>
          <w:i/>
          <w:sz w:val="22"/>
          <w:szCs w:val="22"/>
          <w:rFonts w:asciiTheme="minorHAnsi" w:hAnsiTheme="minorHAnsi" w:hint="eastAsia"/>
        </w:rPr>
      </w:pPr>
      <w:r>
        <w:rPr>
          <w:i/>
          <w:sz w:val="22"/>
          <w:szCs w:val="22"/>
          <w:rFonts w:asciiTheme="minorHAnsi" w:hAnsiTheme="minorHAnsi" w:hint="eastAsia"/>
        </w:rPr>
        <w:t xml:space="preserve">法務コンプライアンス部長 – ラテンアメリカ北部 (52 55 5284.1779)</w:t>
      </w:r>
    </w:p>
    <w:sectPr w:rsidR="0085042C" w:rsidSect="0085042C">
      <w:footerReference w:type="default" r:id="rId21"/>
      <w:pgSz w:w="12240" w:h="15840"/>
      <w:pgMar w:top="1350" w:right="1440" w:bottom="108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92A2004" w14:textId="77777777" w:rsidR="003E2ED3" w:rsidRDefault="003E2ED3">
      <w:pPr>
        <w:spacing w:before="0"/>
      </w:pPr>
      <w:r>
        <w:separator/>
      </w:r>
    </w:p>
  </w:endnote>
  <w:endnote w:type="continuationSeparator" w:id="0">
    <w:p w14:paraId="12B886E1" w14:textId="77777777" w:rsidR="003E2ED3" w:rsidRDefault="003E2ED3">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altName w:val="Symbol"/>
    <w:panose1 w:val="05050102010706020507"/>
    <w:charset w:val="02"/>
    <w:family w:val="roman"/>
    <w:pitch w:val="variable"/>
    <w:sig w:usb0="00000000" w:usb1="10000000" w:usb2="00000000" w:usb3="00000000" w:csb0="80000000" w:csb1="00000000"/>
  </w:font>
  <w:font w:name="Times New Roman">
    <w:altName w:val="Courier New"/>
    <w:panose1 w:val="02020603050405020304"/>
    <w:charset w:val="00"/>
    <w:family w:val="roman"/>
    <w:pitch w:val="variable"/>
    <w:sig w:usb0="E0002AFF" w:usb1="C0007841" w:usb2="00000009" w:usb3="00000000" w:csb0="000001FF" w:csb1="00000000"/>
  </w:font>
  <w:font w:name="Courier New">
    <w:altName w:val="?l?r ???fc"/>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Wingdings 3">
    <w:panose1 w:val="05040102010807070707"/>
    <w:charset w:val="02"/>
    <w:family w:val="roman"/>
    <w:pitch w:val="variable"/>
    <w:sig w:usb0="00000000" w:usb1="10000000" w:usb2="00000000" w:usb3="00000000" w:csb0="80000000" w:csb1="00000000"/>
  </w:font>
  <w:font w:name="Tahoma">
    <w:altName w:val="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Arial">
    <w:altName w:val="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MS Mincho"/>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E59A841" w14:textId="7FDC14AA" w:rsidR="004C79DC" w:rsidRDefault="00ED53A3">
    <w:pPr>
      <w:pStyle w:val="Footer"/>
      <w:pBdr>
        <w:top w:val="thinThickSmallGap" w:sz="24" w:space="1" w:color="622423" w:themeColor="accent2" w:themeShade="7F"/>
      </w:pBdr>
      <w:rPr>
        <w:rFonts w:asciiTheme="majorHAnsi" w:hAnsiTheme="majorHAnsi" w:hint="eastAsia"/>
      </w:rPr>
    </w:pPr>
    <w:r>
      <w:rPr>
        <w:rFonts w:asciiTheme="majorHAnsi" w:hAnsiTheme="majorHAnsi" w:hint="eastAsia"/>
      </w:rPr>
      <w:t xml:space="preserve">改訂 2019年12月</w:t>
    </w:r>
    <w:r>
      <w:rPr>
        <w:rFonts w:asciiTheme="majorHAnsi" w:hAnsiTheme="majorHAnsi" w:hint="eastAsia"/>
      </w:rPr>
      <w:ptab w:relativeTo="margin" w:alignment="right" w:leader="none"/>
    </w:r>
    <w:r>
      <w:rPr>
        <w:rFonts w:asciiTheme="majorHAnsi" w:hAnsiTheme="majorHAnsi" w:hint="eastAsia"/>
      </w:rPr>
      <w:t xml:space="preserve">ページ </w:t>
    </w:r>
    <w:r w:rsidR="004C79DC">
      <w:fldChar w:fldCharType="begin"/>
    </w:r>
    <w:r w:rsidR="004C79DC">
      <w:instrText xml:space="preserve"> PAGE   \* MERGEFORMAT </w:instrText>
    </w:r>
    <w:r w:rsidR="004C79DC">
      <w:fldChar w:fldCharType="separate"/>
    </w:r>
    <w:r w:rsidR="005A6891" w:rsidRPr="005A6891">
      <w:rPr>
        <w:rFonts w:asciiTheme="majorHAnsi" w:hAnsiTheme="majorHAnsi" w:hint="eastAsia"/>
      </w:rPr>
      <w:t>4</w:t>
    </w:r>
    <w:r w:rsidR="004C79DC">
      <w:rPr>
        <w:rFonts w:asciiTheme="majorHAnsi" w:hAnsiTheme="majorHAnsi" w:hint="eastAsia"/>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3BB5613" w14:textId="77777777" w:rsidR="003E2ED3" w:rsidRDefault="003E2ED3">
      <w:pPr>
        <w:spacing w:before="0"/>
      </w:pPr>
      <w:r>
        <w:separator/>
      </w:r>
    </w:p>
  </w:footnote>
  <w:footnote w:type="continuationSeparator" w:id="0">
    <w:p w14:paraId="3596777B" w14:textId="77777777" w:rsidR="003E2ED3" w:rsidRDefault="003E2ED3">
      <w:pPr>
        <w:spacing w:before="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5" type="#_x0000_t75" style="width:9.15pt;height:9.15pt" o:bullet="t">
        <v:imagedata r:id="rId1" o:title="art8ED"/>
      </v:shape>
    </w:pict>
  </w:numPicBullet>
  <w:abstractNum w:abstractNumId="0" w15:restartNumberingAfterBreak="0">
    <w:nsid w:val="08D62D33"/>
    <w:multiLevelType w:val="hybridMultilevel"/>
    <w:tmpl w:val="718C95D8"/>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 w15:restartNumberingAfterBreak="0">
    <w:nsid w:val="207E42C1"/>
    <w:multiLevelType w:val="hybridMultilevel"/>
    <w:tmpl w:val="6380961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3C1D5C5A"/>
    <w:multiLevelType w:val="hybridMultilevel"/>
    <w:tmpl w:val="75D00B10"/>
    <w:lvl w:ilvl="0" w:tplc="CEA088DA">
      <w:start w:val="1"/>
      <w:numFmt w:val="bullet"/>
      <w:lvlText w:val="◦"/>
      <w:lvlJc w:val="left"/>
      <w:pPr>
        <w:tabs>
          <w:tab w:val="num" w:pos="720"/>
        </w:tabs>
        <w:ind w:left="720" w:hanging="360"/>
      </w:pPr>
      <w:rPr>
        <w:rFonts w:ascii="Verdana" w:hAnsi="Verdana" w:hint="default"/>
      </w:rPr>
    </w:lvl>
    <w:lvl w:ilvl="1" w:tplc="878A24A0">
      <w:start w:val="1"/>
      <w:numFmt w:val="bullet"/>
      <w:lvlText w:val="◦"/>
      <w:lvlJc w:val="left"/>
      <w:pPr>
        <w:tabs>
          <w:tab w:val="num" w:pos="1440"/>
        </w:tabs>
        <w:ind w:left="1440" w:hanging="360"/>
      </w:pPr>
      <w:rPr>
        <w:rFonts w:ascii="Verdana" w:hAnsi="Verdana" w:hint="default"/>
      </w:rPr>
    </w:lvl>
    <w:lvl w:ilvl="2" w:tplc="76A2A024" w:tentative="1">
      <w:start w:val="1"/>
      <w:numFmt w:val="bullet"/>
      <w:lvlText w:val="◦"/>
      <w:lvlJc w:val="left"/>
      <w:pPr>
        <w:tabs>
          <w:tab w:val="num" w:pos="2160"/>
        </w:tabs>
        <w:ind w:left="2160" w:hanging="360"/>
      </w:pPr>
      <w:rPr>
        <w:rFonts w:ascii="Verdana" w:hAnsi="Verdana" w:hint="default"/>
      </w:rPr>
    </w:lvl>
    <w:lvl w:ilvl="3" w:tplc="02E2DE54" w:tentative="1">
      <w:start w:val="1"/>
      <w:numFmt w:val="bullet"/>
      <w:lvlText w:val="◦"/>
      <w:lvlJc w:val="left"/>
      <w:pPr>
        <w:tabs>
          <w:tab w:val="num" w:pos="2880"/>
        </w:tabs>
        <w:ind w:left="2880" w:hanging="360"/>
      </w:pPr>
      <w:rPr>
        <w:rFonts w:ascii="Verdana" w:hAnsi="Verdana" w:hint="default"/>
      </w:rPr>
    </w:lvl>
    <w:lvl w:ilvl="4" w:tplc="FDDA35CC" w:tentative="1">
      <w:start w:val="1"/>
      <w:numFmt w:val="bullet"/>
      <w:lvlText w:val="◦"/>
      <w:lvlJc w:val="left"/>
      <w:pPr>
        <w:tabs>
          <w:tab w:val="num" w:pos="3600"/>
        </w:tabs>
        <w:ind w:left="3600" w:hanging="360"/>
      </w:pPr>
      <w:rPr>
        <w:rFonts w:ascii="Verdana" w:hAnsi="Verdana" w:hint="default"/>
      </w:rPr>
    </w:lvl>
    <w:lvl w:ilvl="5" w:tplc="59DE1134" w:tentative="1">
      <w:start w:val="1"/>
      <w:numFmt w:val="bullet"/>
      <w:lvlText w:val="◦"/>
      <w:lvlJc w:val="left"/>
      <w:pPr>
        <w:tabs>
          <w:tab w:val="num" w:pos="4320"/>
        </w:tabs>
        <w:ind w:left="4320" w:hanging="360"/>
      </w:pPr>
      <w:rPr>
        <w:rFonts w:ascii="Verdana" w:hAnsi="Verdana" w:hint="default"/>
      </w:rPr>
    </w:lvl>
    <w:lvl w:ilvl="6" w:tplc="3E78EF92" w:tentative="1">
      <w:start w:val="1"/>
      <w:numFmt w:val="bullet"/>
      <w:lvlText w:val="◦"/>
      <w:lvlJc w:val="left"/>
      <w:pPr>
        <w:tabs>
          <w:tab w:val="num" w:pos="5040"/>
        </w:tabs>
        <w:ind w:left="5040" w:hanging="360"/>
      </w:pPr>
      <w:rPr>
        <w:rFonts w:ascii="Verdana" w:hAnsi="Verdana" w:hint="default"/>
      </w:rPr>
    </w:lvl>
    <w:lvl w:ilvl="7" w:tplc="48A2E1D6" w:tentative="1">
      <w:start w:val="1"/>
      <w:numFmt w:val="bullet"/>
      <w:lvlText w:val="◦"/>
      <w:lvlJc w:val="left"/>
      <w:pPr>
        <w:tabs>
          <w:tab w:val="num" w:pos="5760"/>
        </w:tabs>
        <w:ind w:left="5760" w:hanging="360"/>
      </w:pPr>
      <w:rPr>
        <w:rFonts w:ascii="Verdana" w:hAnsi="Verdana" w:hint="default"/>
      </w:rPr>
    </w:lvl>
    <w:lvl w:ilvl="8" w:tplc="57B42F8E" w:tentative="1">
      <w:start w:val="1"/>
      <w:numFmt w:val="bullet"/>
      <w:lvlText w:val="◦"/>
      <w:lvlJc w:val="left"/>
      <w:pPr>
        <w:tabs>
          <w:tab w:val="num" w:pos="6480"/>
        </w:tabs>
        <w:ind w:left="6480" w:hanging="360"/>
      </w:pPr>
      <w:rPr>
        <w:rFonts w:ascii="Verdana" w:hAnsi="Verdana" w:hint="default"/>
      </w:rPr>
    </w:lvl>
  </w:abstractNum>
  <w:abstractNum w:abstractNumId="3" w15:restartNumberingAfterBreak="0">
    <w:nsid w:val="3F9E530B"/>
    <w:multiLevelType w:val="hybridMultilevel"/>
    <w:tmpl w:val="1B1C5306"/>
    <w:lvl w:ilvl="0" w:tplc="A1C0F5B0">
      <w:start w:val="1"/>
      <w:numFmt w:val="bullet"/>
      <w:lvlText w:val=""/>
      <w:lvlPicBulletId w:val="0"/>
      <w:lvlJc w:val="left"/>
      <w:pPr>
        <w:tabs>
          <w:tab w:val="num" w:pos="720"/>
        </w:tabs>
        <w:ind w:left="720" w:hanging="360"/>
      </w:pPr>
      <w:rPr>
        <w:rFonts w:ascii="Symbol" w:hAnsi="Symbol" w:hint="default"/>
      </w:rPr>
    </w:lvl>
    <w:lvl w:ilvl="1" w:tplc="E90E77A6">
      <w:start w:val="1"/>
      <w:numFmt w:val="bullet"/>
      <w:lvlText w:val=""/>
      <w:lvlPicBulletId w:val="0"/>
      <w:lvlJc w:val="left"/>
      <w:pPr>
        <w:tabs>
          <w:tab w:val="num" w:pos="1440"/>
        </w:tabs>
        <w:ind w:left="1440" w:hanging="360"/>
      </w:pPr>
      <w:rPr>
        <w:rFonts w:ascii="Symbol" w:hAnsi="Symbol" w:hint="default"/>
      </w:rPr>
    </w:lvl>
    <w:lvl w:ilvl="2" w:tplc="96FCC26C" w:tentative="1">
      <w:start w:val="1"/>
      <w:numFmt w:val="bullet"/>
      <w:lvlText w:val=""/>
      <w:lvlPicBulletId w:val="0"/>
      <w:lvlJc w:val="left"/>
      <w:pPr>
        <w:tabs>
          <w:tab w:val="num" w:pos="2160"/>
        </w:tabs>
        <w:ind w:left="2160" w:hanging="360"/>
      </w:pPr>
      <w:rPr>
        <w:rFonts w:ascii="Symbol" w:hAnsi="Symbol" w:hint="default"/>
      </w:rPr>
    </w:lvl>
    <w:lvl w:ilvl="3" w:tplc="297AA23C" w:tentative="1">
      <w:start w:val="1"/>
      <w:numFmt w:val="bullet"/>
      <w:lvlText w:val=""/>
      <w:lvlPicBulletId w:val="0"/>
      <w:lvlJc w:val="left"/>
      <w:pPr>
        <w:tabs>
          <w:tab w:val="num" w:pos="2880"/>
        </w:tabs>
        <w:ind w:left="2880" w:hanging="360"/>
      </w:pPr>
      <w:rPr>
        <w:rFonts w:ascii="Symbol" w:hAnsi="Symbol" w:hint="default"/>
      </w:rPr>
    </w:lvl>
    <w:lvl w:ilvl="4" w:tplc="5AF02C30" w:tentative="1">
      <w:start w:val="1"/>
      <w:numFmt w:val="bullet"/>
      <w:lvlText w:val=""/>
      <w:lvlPicBulletId w:val="0"/>
      <w:lvlJc w:val="left"/>
      <w:pPr>
        <w:tabs>
          <w:tab w:val="num" w:pos="3600"/>
        </w:tabs>
        <w:ind w:left="3600" w:hanging="360"/>
      </w:pPr>
      <w:rPr>
        <w:rFonts w:ascii="Symbol" w:hAnsi="Symbol" w:hint="default"/>
      </w:rPr>
    </w:lvl>
    <w:lvl w:ilvl="5" w:tplc="B7642A72" w:tentative="1">
      <w:start w:val="1"/>
      <w:numFmt w:val="bullet"/>
      <w:lvlText w:val=""/>
      <w:lvlPicBulletId w:val="0"/>
      <w:lvlJc w:val="left"/>
      <w:pPr>
        <w:tabs>
          <w:tab w:val="num" w:pos="4320"/>
        </w:tabs>
        <w:ind w:left="4320" w:hanging="360"/>
      </w:pPr>
      <w:rPr>
        <w:rFonts w:ascii="Symbol" w:hAnsi="Symbol" w:hint="default"/>
      </w:rPr>
    </w:lvl>
    <w:lvl w:ilvl="6" w:tplc="C2A85CE2" w:tentative="1">
      <w:start w:val="1"/>
      <w:numFmt w:val="bullet"/>
      <w:lvlText w:val=""/>
      <w:lvlPicBulletId w:val="0"/>
      <w:lvlJc w:val="left"/>
      <w:pPr>
        <w:tabs>
          <w:tab w:val="num" w:pos="5040"/>
        </w:tabs>
        <w:ind w:left="5040" w:hanging="360"/>
      </w:pPr>
      <w:rPr>
        <w:rFonts w:ascii="Symbol" w:hAnsi="Symbol" w:hint="default"/>
      </w:rPr>
    </w:lvl>
    <w:lvl w:ilvl="7" w:tplc="E18A06B6" w:tentative="1">
      <w:start w:val="1"/>
      <w:numFmt w:val="bullet"/>
      <w:lvlText w:val=""/>
      <w:lvlPicBulletId w:val="0"/>
      <w:lvlJc w:val="left"/>
      <w:pPr>
        <w:tabs>
          <w:tab w:val="num" w:pos="5760"/>
        </w:tabs>
        <w:ind w:left="5760" w:hanging="360"/>
      </w:pPr>
      <w:rPr>
        <w:rFonts w:ascii="Symbol" w:hAnsi="Symbol" w:hint="default"/>
      </w:rPr>
    </w:lvl>
    <w:lvl w:ilvl="8" w:tplc="DC6A83A6" w:tentative="1">
      <w:start w:val="1"/>
      <w:numFmt w:val="bullet"/>
      <w:lvlText w:val=""/>
      <w:lvlPicBulletId w:val="0"/>
      <w:lvlJc w:val="left"/>
      <w:pPr>
        <w:tabs>
          <w:tab w:val="num" w:pos="6480"/>
        </w:tabs>
        <w:ind w:left="6480" w:hanging="360"/>
      </w:pPr>
      <w:rPr>
        <w:rFonts w:ascii="Symbol" w:hAnsi="Symbol" w:hint="default"/>
      </w:rPr>
    </w:lvl>
  </w:abstractNum>
  <w:abstractNum w:abstractNumId="4" w15:restartNumberingAfterBreak="0">
    <w:nsid w:val="4D5D3908"/>
    <w:multiLevelType w:val="hybridMultilevel"/>
    <w:tmpl w:val="2AD0B15C"/>
    <w:lvl w:ilvl="0" w:tplc="AD7E4664">
      <w:start w:val="1"/>
      <w:numFmt w:val="bullet"/>
      <w:lvlText w:val="o"/>
      <w:lvlJc w:val="left"/>
      <w:pPr>
        <w:ind w:left="720" w:hanging="360"/>
      </w:pPr>
      <w:rPr>
        <w:rFonts w:ascii="Courier New" w:hAnsi="Courier New"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51E2891"/>
    <w:multiLevelType w:val="hybridMultilevel"/>
    <w:tmpl w:val="60B69E38"/>
    <w:lvl w:ilvl="0" w:tplc="04090001">
      <w:start w:val="1"/>
      <w:numFmt w:val="bullet"/>
      <w:lvlText w:val=""/>
      <w:lvlJc w:val="left"/>
      <w:pPr>
        <w:ind w:left="760" w:hanging="360"/>
      </w:pPr>
      <w:rPr>
        <w:rFonts w:ascii="Symbol" w:hAnsi="Symbol" w:hint="default"/>
      </w:rPr>
    </w:lvl>
    <w:lvl w:ilvl="1" w:tplc="04090003">
      <w:start w:val="1"/>
      <w:numFmt w:val="bullet"/>
      <w:lvlText w:val="o"/>
      <w:lvlJc w:val="left"/>
      <w:pPr>
        <w:ind w:left="1480" w:hanging="360"/>
      </w:pPr>
      <w:rPr>
        <w:rFonts w:ascii="Courier New" w:hAnsi="Courier New" w:cs="Courier New" w:hint="default"/>
      </w:rPr>
    </w:lvl>
    <w:lvl w:ilvl="2" w:tplc="04090005" w:tentative="1">
      <w:start w:val="1"/>
      <w:numFmt w:val="bullet"/>
      <w:lvlText w:val=""/>
      <w:lvlJc w:val="left"/>
      <w:pPr>
        <w:ind w:left="2200" w:hanging="360"/>
      </w:pPr>
      <w:rPr>
        <w:rFonts w:ascii="Wingdings" w:hAnsi="Wingdings" w:hint="default"/>
      </w:rPr>
    </w:lvl>
    <w:lvl w:ilvl="3" w:tplc="04090001" w:tentative="1">
      <w:start w:val="1"/>
      <w:numFmt w:val="bullet"/>
      <w:lvlText w:val=""/>
      <w:lvlJc w:val="left"/>
      <w:pPr>
        <w:ind w:left="2920" w:hanging="360"/>
      </w:pPr>
      <w:rPr>
        <w:rFonts w:ascii="Symbol" w:hAnsi="Symbol" w:hint="default"/>
      </w:rPr>
    </w:lvl>
    <w:lvl w:ilvl="4" w:tplc="04090003" w:tentative="1">
      <w:start w:val="1"/>
      <w:numFmt w:val="bullet"/>
      <w:lvlText w:val="o"/>
      <w:lvlJc w:val="left"/>
      <w:pPr>
        <w:ind w:left="3640" w:hanging="360"/>
      </w:pPr>
      <w:rPr>
        <w:rFonts w:ascii="Courier New" w:hAnsi="Courier New" w:cs="Courier New" w:hint="default"/>
      </w:rPr>
    </w:lvl>
    <w:lvl w:ilvl="5" w:tplc="04090005" w:tentative="1">
      <w:start w:val="1"/>
      <w:numFmt w:val="bullet"/>
      <w:lvlText w:val=""/>
      <w:lvlJc w:val="left"/>
      <w:pPr>
        <w:ind w:left="4360" w:hanging="360"/>
      </w:pPr>
      <w:rPr>
        <w:rFonts w:ascii="Wingdings" w:hAnsi="Wingdings" w:hint="default"/>
      </w:rPr>
    </w:lvl>
    <w:lvl w:ilvl="6" w:tplc="04090001" w:tentative="1">
      <w:start w:val="1"/>
      <w:numFmt w:val="bullet"/>
      <w:lvlText w:val=""/>
      <w:lvlJc w:val="left"/>
      <w:pPr>
        <w:ind w:left="5080" w:hanging="360"/>
      </w:pPr>
      <w:rPr>
        <w:rFonts w:ascii="Symbol" w:hAnsi="Symbol" w:hint="default"/>
      </w:rPr>
    </w:lvl>
    <w:lvl w:ilvl="7" w:tplc="04090003" w:tentative="1">
      <w:start w:val="1"/>
      <w:numFmt w:val="bullet"/>
      <w:lvlText w:val="o"/>
      <w:lvlJc w:val="left"/>
      <w:pPr>
        <w:ind w:left="5800" w:hanging="360"/>
      </w:pPr>
      <w:rPr>
        <w:rFonts w:ascii="Courier New" w:hAnsi="Courier New" w:cs="Courier New" w:hint="default"/>
      </w:rPr>
    </w:lvl>
    <w:lvl w:ilvl="8" w:tplc="04090005" w:tentative="1">
      <w:start w:val="1"/>
      <w:numFmt w:val="bullet"/>
      <w:lvlText w:val=""/>
      <w:lvlJc w:val="left"/>
      <w:pPr>
        <w:ind w:left="6520" w:hanging="360"/>
      </w:pPr>
      <w:rPr>
        <w:rFonts w:ascii="Wingdings" w:hAnsi="Wingdings" w:hint="default"/>
      </w:rPr>
    </w:lvl>
  </w:abstractNum>
  <w:abstractNum w:abstractNumId="6" w15:restartNumberingAfterBreak="0">
    <w:nsid w:val="55C8311B"/>
    <w:multiLevelType w:val="hybridMultilevel"/>
    <w:tmpl w:val="127443C2"/>
    <w:lvl w:ilvl="0" w:tplc="E5BAB14A">
      <w:start w:val="1"/>
      <w:numFmt w:val="bullet"/>
      <w:lvlText w:val="•"/>
      <w:lvlJc w:val="left"/>
      <w:pPr>
        <w:tabs>
          <w:tab w:val="num" w:pos="720"/>
        </w:tabs>
        <w:ind w:left="720" w:hanging="360"/>
      </w:pPr>
      <w:rPr>
        <w:rFonts w:ascii="Times New Roman" w:hAnsi="Times New Roman" w:hint="default"/>
      </w:rPr>
    </w:lvl>
    <w:lvl w:ilvl="1" w:tplc="0D3E8562" w:tentative="1">
      <w:start w:val="1"/>
      <w:numFmt w:val="bullet"/>
      <w:lvlText w:val="•"/>
      <w:lvlJc w:val="left"/>
      <w:pPr>
        <w:tabs>
          <w:tab w:val="num" w:pos="1440"/>
        </w:tabs>
        <w:ind w:left="1440" w:hanging="360"/>
      </w:pPr>
      <w:rPr>
        <w:rFonts w:ascii="Times New Roman" w:hAnsi="Times New Roman" w:hint="default"/>
      </w:rPr>
    </w:lvl>
    <w:lvl w:ilvl="2" w:tplc="740C906C">
      <w:start w:val="1"/>
      <w:numFmt w:val="bullet"/>
      <w:lvlText w:val="•"/>
      <w:lvlJc w:val="left"/>
      <w:pPr>
        <w:tabs>
          <w:tab w:val="num" w:pos="2160"/>
        </w:tabs>
        <w:ind w:left="2160" w:hanging="360"/>
      </w:pPr>
      <w:rPr>
        <w:rFonts w:ascii="Times New Roman" w:hAnsi="Times New Roman" w:hint="default"/>
      </w:rPr>
    </w:lvl>
    <w:lvl w:ilvl="3" w:tplc="FF48FB78" w:tentative="1">
      <w:start w:val="1"/>
      <w:numFmt w:val="bullet"/>
      <w:lvlText w:val="•"/>
      <w:lvlJc w:val="left"/>
      <w:pPr>
        <w:tabs>
          <w:tab w:val="num" w:pos="2880"/>
        </w:tabs>
        <w:ind w:left="2880" w:hanging="360"/>
      </w:pPr>
      <w:rPr>
        <w:rFonts w:ascii="Times New Roman" w:hAnsi="Times New Roman" w:hint="default"/>
      </w:rPr>
    </w:lvl>
    <w:lvl w:ilvl="4" w:tplc="B3C2A850" w:tentative="1">
      <w:start w:val="1"/>
      <w:numFmt w:val="bullet"/>
      <w:lvlText w:val="•"/>
      <w:lvlJc w:val="left"/>
      <w:pPr>
        <w:tabs>
          <w:tab w:val="num" w:pos="3600"/>
        </w:tabs>
        <w:ind w:left="3600" w:hanging="360"/>
      </w:pPr>
      <w:rPr>
        <w:rFonts w:ascii="Times New Roman" w:hAnsi="Times New Roman" w:hint="default"/>
      </w:rPr>
    </w:lvl>
    <w:lvl w:ilvl="5" w:tplc="A18E6A48" w:tentative="1">
      <w:start w:val="1"/>
      <w:numFmt w:val="bullet"/>
      <w:lvlText w:val="•"/>
      <w:lvlJc w:val="left"/>
      <w:pPr>
        <w:tabs>
          <w:tab w:val="num" w:pos="4320"/>
        </w:tabs>
        <w:ind w:left="4320" w:hanging="360"/>
      </w:pPr>
      <w:rPr>
        <w:rFonts w:ascii="Times New Roman" w:hAnsi="Times New Roman" w:hint="default"/>
      </w:rPr>
    </w:lvl>
    <w:lvl w:ilvl="6" w:tplc="C2269FEC" w:tentative="1">
      <w:start w:val="1"/>
      <w:numFmt w:val="bullet"/>
      <w:lvlText w:val="•"/>
      <w:lvlJc w:val="left"/>
      <w:pPr>
        <w:tabs>
          <w:tab w:val="num" w:pos="5040"/>
        </w:tabs>
        <w:ind w:left="5040" w:hanging="360"/>
      </w:pPr>
      <w:rPr>
        <w:rFonts w:ascii="Times New Roman" w:hAnsi="Times New Roman" w:hint="default"/>
      </w:rPr>
    </w:lvl>
    <w:lvl w:ilvl="7" w:tplc="C276E484" w:tentative="1">
      <w:start w:val="1"/>
      <w:numFmt w:val="bullet"/>
      <w:lvlText w:val="•"/>
      <w:lvlJc w:val="left"/>
      <w:pPr>
        <w:tabs>
          <w:tab w:val="num" w:pos="5760"/>
        </w:tabs>
        <w:ind w:left="5760" w:hanging="360"/>
      </w:pPr>
      <w:rPr>
        <w:rFonts w:ascii="Times New Roman" w:hAnsi="Times New Roman" w:hint="default"/>
      </w:rPr>
    </w:lvl>
    <w:lvl w:ilvl="8" w:tplc="3F262A66" w:tentative="1">
      <w:start w:val="1"/>
      <w:numFmt w:val="bullet"/>
      <w:lvlText w:val="•"/>
      <w:lvlJc w:val="left"/>
      <w:pPr>
        <w:tabs>
          <w:tab w:val="num" w:pos="6480"/>
        </w:tabs>
        <w:ind w:left="6480" w:hanging="360"/>
      </w:pPr>
      <w:rPr>
        <w:rFonts w:ascii="Times New Roman" w:hAnsi="Times New Roman" w:hint="default"/>
      </w:rPr>
    </w:lvl>
  </w:abstractNum>
  <w:abstractNum w:abstractNumId="7" w15:restartNumberingAfterBreak="0">
    <w:nsid w:val="5C73743D"/>
    <w:multiLevelType w:val="hybridMultilevel"/>
    <w:tmpl w:val="2050E47E"/>
    <w:lvl w:ilvl="0" w:tplc="04090001">
      <w:start w:val="1"/>
      <w:numFmt w:val="bullet"/>
      <w:lvlText w:val=""/>
      <w:lvlJc w:val="left"/>
      <w:pPr>
        <w:ind w:left="1480" w:hanging="360"/>
      </w:pPr>
      <w:rPr>
        <w:rFonts w:ascii="Symbol" w:hAnsi="Symbol" w:hint="default"/>
      </w:rPr>
    </w:lvl>
    <w:lvl w:ilvl="1" w:tplc="04090003" w:tentative="1">
      <w:start w:val="1"/>
      <w:numFmt w:val="bullet"/>
      <w:lvlText w:val="o"/>
      <w:lvlJc w:val="left"/>
      <w:pPr>
        <w:ind w:left="2200" w:hanging="360"/>
      </w:pPr>
      <w:rPr>
        <w:rFonts w:ascii="Courier New" w:hAnsi="Courier New" w:cs="Courier New" w:hint="default"/>
      </w:rPr>
    </w:lvl>
    <w:lvl w:ilvl="2" w:tplc="04090005" w:tentative="1">
      <w:start w:val="1"/>
      <w:numFmt w:val="bullet"/>
      <w:lvlText w:val=""/>
      <w:lvlJc w:val="left"/>
      <w:pPr>
        <w:ind w:left="2920" w:hanging="360"/>
      </w:pPr>
      <w:rPr>
        <w:rFonts w:ascii="Wingdings" w:hAnsi="Wingdings" w:hint="default"/>
      </w:rPr>
    </w:lvl>
    <w:lvl w:ilvl="3" w:tplc="04090001" w:tentative="1">
      <w:start w:val="1"/>
      <w:numFmt w:val="bullet"/>
      <w:lvlText w:val=""/>
      <w:lvlJc w:val="left"/>
      <w:pPr>
        <w:ind w:left="3640" w:hanging="360"/>
      </w:pPr>
      <w:rPr>
        <w:rFonts w:ascii="Symbol" w:hAnsi="Symbol" w:hint="default"/>
      </w:rPr>
    </w:lvl>
    <w:lvl w:ilvl="4" w:tplc="04090003" w:tentative="1">
      <w:start w:val="1"/>
      <w:numFmt w:val="bullet"/>
      <w:lvlText w:val="o"/>
      <w:lvlJc w:val="left"/>
      <w:pPr>
        <w:ind w:left="4360" w:hanging="360"/>
      </w:pPr>
      <w:rPr>
        <w:rFonts w:ascii="Courier New" w:hAnsi="Courier New" w:cs="Courier New" w:hint="default"/>
      </w:rPr>
    </w:lvl>
    <w:lvl w:ilvl="5" w:tplc="04090005" w:tentative="1">
      <w:start w:val="1"/>
      <w:numFmt w:val="bullet"/>
      <w:lvlText w:val=""/>
      <w:lvlJc w:val="left"/>
      <w:pPr>
        <w:ind w:left="5080" w:hanging="360"/>
      </w:pPr>
      <w:rPr>
        <w:rFonts w:ascii="Wingdings" w:hAnsi="Wingdings" w:hint="default"/>
      </w:rPr>
    </w:lvl>
    <w:lvl w:ilvl="6" w:tplc="04090001" w:tentative="1">
      <w:start w:val="1"/>
      <w:numFmt w:val="bullet"/>
      <w:lvlText w:val=""/>
      <w:lvlJc w:val="left"/>
      <w:pPr>
        <w:ind w:left="5800" w:hanging="360"/>
      </w:pPr>
      <w:rPr>
        <w:rFonts w:ascii="Symbol" w:hAnsi="Symbol" w:hint="default"/>
      </w:rPr>
    </w:lvl>
    <w:lvl w:ilvl="7" w:tplc="04090003" w:tentative="1">
      <w:start w:val="1"/>
      <w:numFmt w:val="bullet"/>
      <w:lvlText w:val="o"/>
      <w:lvlJc w:val="left"/>
      <w:pPr>
        <w:ind w:left="6520" w:hanging="360"/>
      </w:pPr>
      <w:rPr>
        <w:rFonts w:ascii="Courier New" w:hAnsi="Courier New" w:cs="Courier New" w:hint="default"/>
      </w:rPr>
    </w:lvl>
    <w:lvl w:ilvl="8" w:tplc="04090005" w:tentative="1">
      <w:start w:val="1"/>
      <w:numFmt w:val="bullet"/>
      <w:lvlText w:val=""/>
      <w:lvlJc w:val="left"/>
      <w:pPr>
        <w:ind w:left="7240" w:hanging="360"/>
      </w:pPr>
      <w:rPr>
        <w:rFonts w:ascii="Wingdings" w:hAnsi="Wingdings" w:hint="default"/>
      </w:rPr>
    </w:lvl>
  </w:abstractNum>
  <w:abstractNum w:abstractNumId="8" w15:restartNumberingAfterBreak="0">
    <w:nsid w:val="5C9A51AB"/>
    <w:multiLevelType w:val="hybridMultilevel"/>
    <w:tmpl w:val="A4887D18"/>
    <w:lvl w:ilvl="0" w:tplc="80DA89A2">
      <w:start w:val="1"/>
      <w:numFmt w:val="bullet"/>
      <w:lvlText w:val=""/>
      <w:lvlPicBulletId w:val="0"/>
      <w:lvlJc w:val="left"/>
      <w:pPr>
        <w:tabs>
          <w:tab w:val="num" w:pos="720"/>
        </w:tabs>
        <w:ind w:left="720" w:hanging="360"/>
      </w:pPr>
      <w:rPr>
        <w:rFonts w:ascii="Symbol" w:hAnsi="Symbol" w:hint="default"/>
      </w:rPr>
    </w:lvl>
    <w:lvl w:ilvl="1" w:tplc="A99C3C62">
      <w:start w:val="1"/>
      <w:numFmt w:val="bullet"/>
      <w:lvlText w:val=""/>
      <w:lvlPicBulletId w:val="0"/>
      <w:lvlJc w:val="left"/>
      <w:pPr>
        <w:tabs>
          <w:tab w:val="num" w:pos="1440"/>
        </w:tabs>
        <w:ind w:left="1440" w:hanging="360"/>
      </w:pPr>
      <w:rPr>
        <w:rFonts w:ascii="Symbol" w:hAnsi="Symbol" w:hint="default"/>
      </w:rPr>
    </w:lvl>
    <w:lvl w:ilvl="2" w:tplc="E3D61570" w:tentative="1">
      <w:start w:val="1"/>
      <w:numFmt w:val="bullet"/>
      <w:lvlText w:val=""/>
      <w:lvlPicBulletId w:val="0"/>
      <w:lvlJc w:val="left"/>
      <w:pPr>
        <w:tabs>
          <w:tab w:val="num" w:pos="2160"/>
        </w:tabs>
        <w:ind w:left="2160" w:hanging="360"/>
      </w:pPr>
      <w:rPr>
        <w:rFonts w:ascii="Symbol" w:hAnsi="Symbol" w:hint="default"/>
      </w:rPr>
    </w:lvl>
    <w:lvl w:ilvl="3" w:tplc="D5B61DDE" w:tentative="1">
      <w:start w:val="1"/>
      <w:numFmt w:val="bullet"/>
      <w:lvlText w:val=""/>
      <w:lvlPicBulletId w:val="0"/>
      <w:lvlJc w:val="left"/>
      <w:pPr>
        <w:tabs>
          <w:tab w:val="num" w:pos="2880"/>
        </w:tabs>
        <w:ind w:left="2880" w:hanging="360"/>
      </w:pPr>
      <w:rPr>
        <w:rFonts w:ascii="Symbol" w:hAnsi="Symbol" w:hint="default"/>
      </w:rPr>
    </w:lvl>
    <w:lvl w:ilvl="4" w:tplc="441A03AE" w:tentative="1">
      <w:start w:val="1"/>
      <w:numFmt w:val="bullet"/>
      <w:lvlText w:val=""/>
      <w:lvlPicBulletId w:val="0"/>
      <w:lvlJc w:val="left"/>
      <w:pPr>
        <w:tabs>
          <w:tab w:val="num" w:pos="3600"/>
        </w:tabs>
        <w:ind w:left="3600" w:hanging="360"/>
      </w:pPr>
      <w:rPr>
        <w:rFonts w:ascii="Symbol" w:hAnsi="Symbol" w:hint="default"/>
      </w:rPr>
    </w:lvl>
    <w:lvl w:ilvl="5" w:tplc="80467C92" w:tentative="1">
      <w:start w:val="1"/>
      <w:numFmt w:val="bullet"/>
      <w:lvlText w:val=""/>
      <w:lvlPicBulletId w:val="0"/>
      <w:lvlJc w:val="left"/>
      <w:pPr>
        <w:tabs>
          <w:tab w:val="num" w:pos="4320"/>
        </w:tabs>
        <w:ind w:left="4320" w:hanging="360"/>
      </w:pPr>
      <w:rPr>
        <w:rFonts w:ascii="Symbol" w:hAnsi="Symbol" w:hint="default"/>
      </w:rPr>
    </w:lvl>
    <w:lvl w:ilvl="6" w:tplc="56C40046" w:tentative="1">
      <w:start w:val="1"/>
      <w:numFmt w:val="bullet"/>
      <w:lvlText w:val=""/>
      <w:lvlPicBulletId w:val="0"/>
      <w:lvlJc w:val="left"/>
      <w:pPr>
        <w:tabs>
          <w:tab w:val="num" w:pos="5040"/>
        </w:tabs>
        <w:ind w:left="5040" w:hanging="360"/>
      </w:pPr>
      <w:rPr>
        <w:rFonts w:ascii="Symbol" w:hAnsi="Symbol" w:hint="default"/>
      </w:rPr>
    </w:lvl>
    <w:lvl w:ilvl="7" w:tplc="CE5076F6" w:tentative="1">
      <w:start w:val="1"/>
      <w:numFmt w:val="bullet"/>
      <w:lvlText w:val=""/>
      <w:lvlPicBulletId w:val="0"/>
      <w:lvlJc w:val="left"/>
      <w:pPr>
        <w:tabs>
          <w:tab w:val="num" w:pos="5760"/>
        </w:tabs>
        <w:ind w:left="5760" w:hanging="360"/>
      </w:pPr>
      <w:rPr>
        <w:rFonts w:ascii="Symbol" w:hAnsi="Symbol" w:hint="default"/>
      </w:rPr>
    </w:lvl>
    <w:lvl w:ilvl="8" w:tplc="55A65964" w:tentative="1">
      <w:start w:val="1"/>
      <w:numFmt w:val="bullet"/>
      <w:lvlText w:val=""/>
      <w:lvlPicBulletId w:val="0"/>
      <w:lvlJc w:val="left"/>
      <w:pPr>
        <w:tabs>
          <w:tab w:val="num" w:pos="6480"/>
        </w:tabs>
        <w:ind w:left="6480" w:hanging="360"/>
      </w:pPr>
      <w:rPr>
        <w:rFonts w:ascii="Symbol" w:hAnsi="Symbol" w:hint="default"/>
      </w:rPr>
    </w:lvl>
  </w:abstractNum>
  <w:abstractNum w:abstractNumId="9" w15:restartNumberingAfterBreak="0">
    <w:nsid w:val="5FBB48F6"/>
    <w:multiLevelType w:val="hybridMultilevel"/>
    <w:tmpl w:val="9C66A0A2"/>
    <w:lvl w:ilvl="0" w:tplc="F77875A2">
      <w:start w:val="1"/>
      <w:numFmt w:val="bullet"/>
      <w:lvlText w:val="◦"/>
      <w:lvlJc w:val="left"/>
      <w:pPr>
        <w:tabs>
          <w:tab w:val="num" w:pos="720"/>
        </w:tabs>
        <w:ind w:left="720" w:hanging="360"/>
      </w:pPr>
      <w:rPr>
        <w:rFonts w:ascii="Verdana" w:hAnsi="Verdana" w:hint="default"/>
      </w:rPr>
    </w:lvl>
    <w:lvl w:ilvl="1" w:tplc="397488FA">
      <w:start w:val="1"/>
      <w:numFmt w:val="bullet"/>
      <w:lvlText w:val="◦"/>
      <w:lvlJc w:val="left"/>
      <w:pPr>
        <w:tabs>
          <w:tab w:val="num" w:pos="1440"/>
        </w:tabs>
        <w:ind w:left="1440" w:hanging="360"/>
      </w:pPr>
      <w:rPr>
        <w:rFonts w:ascii="Verdana" w:hAnsi="Verdana" w:hint="default"/>
      </w:rPr>
    </w:lvl>
    <w:lvl w:ilvl="2" w:tplc="7B9EEFE4" w:tentative="1">
      <w:start w:val="1"/>
      <w:numFmt w:val="bullet"/>
      <w:lvlText w:val="◦"/>
      <w:lvlJc w:val="left"/>
      <w:pPr>
        <w:tabs>
          <w:tab w:val="num" w:pos="2160"/>
        </w:tabs>
        <w:ind w:left="2160" w:hanging="360"/>
      </w:pPr>
      <w:rPr>
        <w:rFonts w:ascii="Verdana" w:hAnsi="Verdana" w:hint="default"/>
      </w:rPr>
    </w:lvl>
    <w:lvl w:ilvl="3" w:tplc="97ECDD54" w:tentative="1">
      <w:start w:val="1"/>
      <w:numFmt w:val="bullet"/>
      <w:lvlText w:val="◦"/>
      <w:lvlJc w:val="left"/>
      <w:pPr>
        <w:tabs>
          <w:tab w:val="num" w:pos="2880"/>
        </w:tabs>
        <w:ind w:left="2880" w:hanging="360"/>
      </w:pPr>
      <w:rPr>
        <w:rFonts w:ascii="Verdana" w:hAnsi="Verdana" w:hint="default"/>
      </w:rPr>
    </w:lvl>
    <w:lvl w:ilvl="4" w:tplc="A492EFD0" w:tentative="1">
      <w:start w:val="1"/>
      <w:numFmt w:val="bullet"/>
      <w:lvlText w:val="◦"/>
      <w:lvlJc w:val="left"/>
      <w:pPr>
        <w:tabs>
          <w:tab w:val="num" w:pos="3600"/>
        </w:tabs>
        <w:ind w:left="3600" w:hanging="360"/>
      </w:pPr>
      <w:rPr>
        <w:rFonts w:ascii="Verdana" w:hAnsi="Verdana" w:hint="default"/>
      </w:rPr>
    </w:lvl>
    <w:lvl w:ilvl="5" w:tplc="B5981B6C" w:tentative="1">
      <w:start w:val="1"/>
      <w:numFmt w:val="bullet"/>
      <w:lvlText w:val="◦"/>
      <w:lvlJc w:val="left"/>
      <w:pPr>
        <w:tabs>
          <w:tab w:val="num" w:pos="4320"/>
        </w:tabs>
        <w:ind w:left="4320" w:hanging="360"/>
      </w:pPr>
      <w:rPr>
        <w:rFonts w:ascii="Verdana" w:hAnsi="Verdana" w:hint="default"/>
      </w:rPr>
    </w:lvl>
    <w:lvl w:ilvl="6" w:tplc="8460BD02" w:tentative="1">
      <w:start w:val="1"/>
      <w:numFmt w:val="bullet"/>
      <w:lvlText w:val="◦"/>
      <w:lvlJc w:val="left"/>
      <w:pPr>
        <w:tabs>
          <w:tab w:val="num" w:pos="5040"/>
        </w:tabs>
        <w:ind w:left="5040" w:hanging="360"/>
      </w:pPr>
      <w:rPr>
        <w:rFonts w:ascii="Verdana" w:hAnsi="Verdana" w:hint="default"/>
      </w:rPr>
    </w:lvl>
    <w:lvl w:ilvl="7" w:tplc="6BE82642" w:tentative="1">
      <w:start w:val="1"/>
      <w:numFmt w:val="bullet"/>
      <w:lvlText w:val="◦"/>
      <w:lvlJc w:val="left"/>
      <w:pPr>
        <w:tabs>
          <w:tab w:val="num" w:pos="5760"/>
        </w:tabs>
        <w:ind w:left="5760" w:hanging="360"/>
      </w:pPr>
      <w:rPr>
        <w:rFonts w:ascii="Verdana" w:hAnsi="Verdana" w:hint="default"/>
      </w:rPr>
    </w:lvl>
    <w:lvl w:ilvl="8" w:tplc="3FE81E12" w:tentative="1">
      <w:start w:val="1"/>
      <w:numFmt w:val="bullet"/>
      <w:lvlText w:val="◦"/>
      <w:lvlJc w:val="left"/>
      <w:pPr>
        <w:tabs>
          <w:tab w:val="num" w:pos="6480"/>
        </w:tabs>
        <w:ind w:left="6480" w:hanging="360"/>
      </w:pPr>
      <w:rPr>
        <w:rFonts w:ascii="Verdana" w:hAnsi="Verdana" w:hint="default"/>
      </w:rPr>
    </w:lvl>
  </w:abstractNum>
  <w:abstractNum w:abstractNumId="10" w15:restartNumberingAfterBreak="0">
    <w:nsid w:val="69F1114A"/>
    <w:multiLevelType w:val="hybridMultilevel"/>
    <w:tmpl w:val="DB2E2CDE"/>
    <w:lvl w:ilvl="0" w:tplc="C1F2F4F8">
      <w:start w:val="1"/>
      <w:numFmt w:val="bullet"/>
      <w:lvlText w:val=""/>
      <w:lvlJc w:val="left"/>
      <w:pPr>
        <w:tabs>
          <w:tab w:val="num" w:pos="720"/>
        </w:tabs>
        <w:ind w:left="720" w:hanging="360"/>
      </w:pPr>
      <w:rPr>
        <w:rFonts w:ascii="Wingdings 3" w:hAnsi="Wingdings 3" w:hint="default"/>
      </w:rPr>
    </w:lvl>
    <w:lvl w:ilvl="1" w:tplc="8DD832F6" w:tentative="1">
      <w:start w:val="1"/>
      <w:numFmt w:val="bullet"/>
      <w:lvlText w:val=""/>
      <w:lvlJc w:val="left"/>
      <w:pPr>
        <w:tabs>
          <w:tab w:val="num" w:pos="1440"/>
        </w:tabs>
        <w:ind w:left="1440" w:hanging="360"/>
      </w:pPr>
      <w:rPr>
        <w:rFonts w:ascii="Wingdings 3" w:hAnsi="Wingdings 3" w:hint="default"/>
      </w:rPr>
    </w:lvl>
    <w:lvl w:ilvl="2" w:tplc="789A0D6C" w:tentative="1">
      <w:start w:val="1"/>
      <w:numFmt w:val="bullet"/>
      <w:lvlText w:val=""/>
      <w:lvlJc w:val="left"/>
      <w:pPr>
        <w:tabs>
          <w:tab w:val="num" w:pos="2160"/>
        </w:tabs>
        <w:ind w:left="2160" w:hanging="360"/>
      </w:pPr>
      <w:rPr>
        <w:rFonts w:ascii="Wingdings 3" w:hAnsi="Wingdings 3" w:hint="default"/>
      </w:rPr>
    </w:lvl>
    <w:lvl w:ilvl="3" w:tplc="4120F36E" w:tentative="1">
      <w:start w:val="1"/>
      <w:numFmt w:val="bullet"/>
      <w:lvlText w:val=""/>
      <w:lvlJc w:val="left"/>
      <w:pPr>
        <w:tabs>
          <w:tab w:val="num" w:pos="2880"/>
        </w:tabs>
        <w:ind w:left="2880" w:hanging="360"/>
      </w:pPr>
      <w:rPr>
        <w:rFonts w:ascii="Wingdings 3" w:hAnsi="Wingdings 3" w:hint="default"/>
      </w:rPr>
    </w:lvl>
    <w:lvl w:ilvl="4" w:tplc="6A3CE210" w:tentative="1">
      <w:start w:val="1"/>
      <w:numFmt w:val="bullet"/>
      <w:lvlText w:val=""/>
      <w:lvlJc w:val="left"/>
      <w:pPr>
        <w:tabs>
          <w:tab w:val="num" w:pos="3600"/>
        </w:tabs>
        <w:ind w:left="3600" w:hanging="360"/>
      </w:pPr>
      <w:rPr>
        <w:rFonts w:ascii="Wingdings 3" w:hAnsi="Wingdings 3" w:hint="default"/>
      </w:rPr>
    </w:lvl>
    <w:lvl w:ilvl="5" w:tplc="13FADC70" w:tentative="1">
      <w:start w:val="1"/>
      <w:numFmt w:val="bullet"/>
      <w:lvlText w:val=""/>
      <w:lvlJc w:val="left"/>
      <w:pPr>
        <w:tabs>
          <w:tab w:val="num" w:pos="4320"/>
        </w:tabs>
        <w:ind w:left="4320" w:hanging="360"/>
      </w:pPr>
      <w:rPr>
        <w:rFonts w:ascii="Wingdings 3" w:hAnsi="Wingdings 3" w:hint="default"/>
      </w:rPr>
    </w:lvl>
    <w:lvl w:ilvl="6" w:tplc="40FA3886" w:tentative="1">
      <w:start w:val="1"/>
      <w:numFmt w:val="bullet"/>
      <w:lvlText w:val=""/>
      <w:lvlJc w:val="left"/>
      <w:pPr>
        <w:tabs>
          <w:tab w:val="num" w:pos="5040"/>
        </w:tabs>
        <w:ind w:left="5040" w:hanging="360"/>
      </w:pPr>
      <w:rPr>
        <w:rFonts w:ascii="Wingdings 3" w:hAnsi="Wingdings 3" w:hint="default"/>
      </w:rPr>
    </w:lvl>
    <w:lvl w:ilvl="7" w:tplc="BE320A02" w:tentative="1">
      <w:start w:val="1"/>
      <w:numFmt w:val="bullet"/>
      <w:lvlText w:val=""/>
      <w:lvlJc w:val="left"/>
      <w:pPr>
        <w:tabs>
          <w:tab w:val="num" w:pos="5760"/>
        </w:tabs>
        <w:ind w:left="5760" w:hanging="360"/>
      </w:pPr>
      <w:rPr>
        <w:rFonts w:ascii="Wingdings 3" w:hAnsi="Wingdings 3" w:hint="default"/>
      </w:rPr>
    </w:lvl>
    <w:lvl w:ilvl="8" w:tplc="458A39B8" w:tentative="1">
      <w:start w:val="1"/>
      <w:numFmt w:val="bullet"/>
      <w:lvlText w:val=""/>
      <w:lvlJc w:val="left"/>
      <w:pPr>
        <w:tabs>
          <w:tab w:val="num" w:pos="6480"/>
        </w:tabs>
        <w:ind w:left="6480" w:hanging="360"/>
      </w:pPr>
      <w:rPr>
        <w:rFonts w:ascii="Wingdings 3" w:hAnsi="Wingdings 3" w:hint="default"/>
      </w:rPr>
    </w:lvl>
  </w:abstractNum>
  <w:abstractNum w:abstractNumId="11" w15:restartNumberingAfterBreak="0">
    <w:nsid w:val="72C366AB"/>
    <w:multiLevelType w:val="hybridMultilevel"/>
    <w:tmpl w:val="00E25980"/>
    <w:lvl w:ilvl="0" w:tplc="3D9C144C">
      <w:numFmt w:val="bullet"/>
      <w:lvlText w:val="-"/>
      <w:lvlJc w:val="left"/>
      <w:pPr>
        <w:ind w:left="720" w:hanging="360"/>
      </w:pPr>
      <w:rPr>
        <w:rFonts w:ascii="Tahoma" w:eastAsia="Calibri" w:hAnsi="Tahoma" w:cs="Tahoma"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2" w15:restartNumberingAfterBreak="0">
    <w:nsid w:val="778D2606"/>
    <w:multiLevelType w:val="hybridMultilevel"/>
    <w:tmpl w:val="FD3C87E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79FD2C5D"/>
    <w:multiLevelType w:val="hybridMultilevel"/>
    <w:tmpl w:val="65642658"/>
    <w:lvl w:ilvl="0" w:tplc="04090001">
      <w:start w:val="1"/>
      <w:numFmt w:val="bullet"/>
      <w:lvlText w:val=""/>
      <w:lvlJc w:val="left"/>
      <w:pPr>
        <w:ind w:left="1120" w:hanging="360"/>
      </w:pPr>
      <w:rPr>
        <w:rFonts w:ascii="Symbol" w:hAnsi="Symbol" w:hint="default"/>
      </w:rPr>
    </w:lvl>
    <w:lvl w:ilvl="1" w:tplc="04090003" w:tentative="1">
      <w:start w:val="1"/>
      <w:numFmt w:val="bullet"/>
      <w:lvlText w:val="o"/>
      <w:lvlJc w:val="left"/>
      <w:pPr>
        <w:ind w:left="1840" w:hanging="360"/>
      </w:pPr>
      <w:rPr>
        <w:rFonts w:ascii="Courier New" w:hAnsi="Courier New" w:cs="Courier New" w:hint="default"/>
      </w:rPr>
    </w:lvl>
    <w:lvl w:ilvl="2" w:tplc="04090005" w:tentative="1">
      <w:start w:val="1"/>
      <w:numFmt w:val="bullet"/>
      <w:lvlText w:val=""/>
      <w:lvlJc w:val="left"/>
      <w:pPr>
        <w:ind w:left="2560" w:hanging="360"/>
      </w:pPr>
      <w:rPr>
        <w:rFonts w:ascii="Wingdings" w:hAnsi="Wingdings" w:hint="default"/>
      </w:rPr>
    </w:lvl>
    <w:lvl w:ilvl="3" w:tplc="04090001" w:tentative="1">
      <w:start w:val="1"/>
      <w:numFmt w:val="bullet"/>
      <w:lvlText w:val=""/>
      <w:lvlJc w:val="left"/>
      <w:pPr>
        <w:ind w:left="3280" w:hanging="360"/>
      </w:pPr>
      <w:rPr>
        <w:rFonts w:ascii="Symbol" w:hAnsi="Symbol" w:hint="default"/>
      </w:rPr>
    </w:lvl>
    <w:lvl w:ilvl="4" w:tplc="04090003" w:tentative="1">
      <w:start w:val="1"/>
      <w:numFmt w:val="bullet"/>
      <w:lvlText w:val="o"/>
      <w:lvlJc w:val="left"/>
      <w:pPr>
        <w:ind w:left="4000" w:hanging="360"/>
      </w:pPr>
      <w:rPr>
        <w:rFonts w:ascii="Courier New" w:hAnsi="Courier New" w:cs="Courier New" w:hint="default"/>
      </w:rPr>
    </w:lvl>
    <w:lvl w:ilvl="5" w:tplc="04090005" w:tentative="1">
      <w:start w:val="1"/>
      <w:numFmt w:val="bullet"/>
      <w:lvlText w:val=""/>
      <w:lvlJc w:val="left"/>
      <w:pPr>
        <w:ind w:left="4720" w:hanging="360"/>
      </w:pPr>
      <w:rPr>
        <w:rFonts w:ascii="Wingdings" w:hAnsi="Wingdings" w:hint="default"/>
      </w:rPr>
    </w:lvl>
    <w:lvl w:ilvl="6" w:tplc="04090001" w:tentative="1">
      <w:start w:val="1"/>
      <w:numFmt w:val="bullet"/>
      <w:lvlText w:val=""/>
      <w:lvlJc w:val="left"/>
      <w:pPr>
        <w:ind w:left="5440" w:hanging="360"/>
      </w:pPr>
      <w:rPr>
        <w:rFonts w:ascii="Symbol" w:hAnsi="Symbol" w:hint="default"/>
      </w:rPr>
    </w:lvl>
    <w:lvl w:ilvl="7" w:tplc="04090003" w:tentative="1">
      <w:start w:val="1"/>
      <w:numFmt w:val="bullet"/>
      <w:lvlText w:val="o"/>
      <w:lvlJc w:val="left"/>
      <w:pPr>
        <w:ind w:left="6160" w:hanging="360"/>
      </w:pPr>
      <w:rPr>
        <w:rFonts w:ascii="Courier New" w:hAnsi="Courier New" w:cs="Courier New" w:hint="default"/>
      </w:rPr>
    </w:lvl>
    <w:lvl w:ilvl="8" w:tplc="04090005" w:tentative="1">
      <w:start w:val="1"/>
      <w:numFmt w:val="bullet"/>
      <w:lvlText w:val=""/>
      <w:lvlJc w:val="left"/>
      <w:pPr>
        <w:ind w:left="6880" w:hanging="360"/>
      </w:pPr>
      <w:rPr>
        <w:rFonts w:ascii="Wingdings" w:hAnsi="Wingdings" w:hint="default"/>
      </w:rPr>
    </w:lvl>
  </w:abstractNum>
  <w:num w:numId="1">
    <w:abstractNumId w:val="7"/>
  </w:num>
  <w:num w:numId="2">
    <w:abstractNumId w:val="5"/>
  </w:num>
  <w:num w:numId="3">
    <w:abstractNumId w:val="6"/>
  </w:num>
  <w:num w:numId="4">
    <w:abstractNumId w:val="10"/>
  </w:num>
  <w:num w:numId="5">
    <w:abstractNumId w:val="8"/>
  </w:num>
  <w:num w:numId="6">
    <w:abstractNumId w:val="3"/>
  </w:num>
  <w:num w:numId="7">
    <w:abstractNumId w:val="2"/>
  </w:num>
  <w:num w:numId="8">
    <w:abstractNumId w:val="9"/>
  </w:num>
  <w:num w:numId="9">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
  </w:num>
  <w:num w:numId="11">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0"/>
  </w:num>
  <w:num w:numId="15">
    <w:abstractNumId w:val="12"/>
  </w:num>
  <w:num w:numId="16">
    <w:abstractNumId w:val="13"/>
  </w:num>
  <w:num w:numId="1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removePersonalInformation/>
  <w:removeDateAndTime/>
  <w:proofState w:spelling="dirty" w:grammar="dirty"/>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5042C"/>
    <w:rsid w:val="0010137D"/>
    <w:rsid w:val="001023E7"/>
    <w:rsid w:val="001B70A7"/>
    <w:rsid w:val="001F44D4"/>
    <w:rsid w:val="001F59D3"/>
    <w:rsid w:val="002009CC"/>
    <w:rsid w:val="00201E84"/>
    <w:rsid w:val="002A0565"/>
    <w:rsid w:val="002C4D14"/>
    <w:rsid w:val="002C689C"/>
    <w:rsid w:val="002F6302"/>
    <w:rsid w:val="0030096A"/>
    <w:rsid w:val="00301743"/>
    <w:rsid w:val="00302DF2"/>
    <w:rsid w:val="003270D8"/>
    <w:rsid w:val="003477D5"/>
    <w:rsid w:val="0034795A"/>
    <w:rsid w:val="003821E3"/>
    <w:rsid w:val="003B7A3B"/>
    <w:rsid w:val="003E2ED3"/>
    <w:rsid w:val="003F53E9"/>
    <w:rsid w:val="003F5BF6"/>
    <w:rsid w:val="00411E2B"/>
    <w:rsid w:val="004534BC"/>
    <w:rsid w:val="004A7148"/>
    <w:rsid w:val="004C79DC"/>
    <w:rsid w:val="004E1F0A"/>
    <w:rsid w:val="004E359F"/>
    <w:rsid w:val="00504F8B"/>
    <w:rsid w:val="005A6891"/>
    <w:rsid w:val="005B3B81"/>
    <w:rsid w:val="005F19D4"/>
    <w:rsid w:val="00670AE0"/>
    <w:rsid w:val="00764DF4"/>
    <w:rsid w:val="007802EF"/>
    <w:rsid w:val="007B5071"/>
    <w:rsid w:val="00815680"/>
    <w:rsid w:val="00844DDF"/>
    <w:rsid w:val="0085042C"/>
    <w:rsid w:val="008C3EBA"/>
    <w:rsid w:val="00902A82"/>
    <w:rsid w:val="00915FB0"/>
    <w:rsid w:val="00985CFB"/>
    <w:rsid w:val="009F420F"/>
    <w:rsid w:val="00A47E7A"/>
    <w:rsid w:val="00A55EC2"/>
    <w:rsid w:val="00A957D3"/>
    <w:rsid w:val="00AA7101"/>
    <w:rsid w:val="00AC350E"/>
    <w:rsid w:val="00AC37DC"/>
    <w:rsid w:val="00AD5545"/>
    <w:rsid w:val="00AF084C"/>
    <w:rsid w:val="00B05D5A"/>
    <w:rsid w:val="00B21148"/>
    <w:rsid w:val="00B5431E"/>
    <w:rsid w:val="00BF33FD"/>
    <w:rsid w:val="00C54B31"/>
    <w:rsid w:val="00C613B2"/>
    <w:rsid w:val="00D07999"/>
    <w:rsid w:val="00D10839"/>
    <w:rsid w:val="00D73F88"/>
    <w:rsid w:val="00D93250"/>
    <w:rsid w:val="00DA425F"/>
    <w:rsid w:val="00DB76C7"/>
    <w:rsid w:val="00E00542"/>
    <w:rsid w:val="00E05FB7"/>
    <w:rsid w:val="00E95A14"/>
    <w:rsid w:val="00EB7D4D"/>
    <w:rsid w:val="00ED53A3"/>
    <w:rsid w:val="00F30C7E"/>
    <w:rsid w:val="00FF3FC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4FFF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ja-JP"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5042C"/>
    <w:pPr>
      <w:autoSpaceDE w:val="0"/>
      <w:autoSpaceDN w:val="0"/>
      <w:adjustRightInd w:val="0"/>
      <w:spacing w:before="80" w:after="0" w:line="240" w:lineRule="auto"/>
    </w:pPr>
    <w:rPr>
      <w:rFonts w:ascii="Times New Roman" w:eastAsia="MS Mincho"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85042C"/>
    <w:pPr>
      <w:autoSpaceDE w:val="0"/>
      <w:autoSpaceDN w:val="0"/>
      <w:adjustRightInd w:val="0"/>
      <w:spacing w:after="0" w:line="240" w:lineRule="auto"/>
    </w:pPr>
    <w:rPr>
      <w:rFonts w:ascii="Calibri" w:hAnsi="Calibri" w:cs="Calibri" w:eastAsia="MS Mincho"/>
      <w:color w:val="000000"/>
      <w:sz w:val="24"/>
      <w:szCs w:val="24"/>
    </w:rPr>
  </w:style>
  <w:style w:type="paragraph" w:styleId="BalloonText">
    <w:name w:val="Balloon Text"/>
    <w:basedOn w:val="Normal"/>
    <w:link w:val="BalloonTextChar"/>
    <w:uiPriority w:val="99"/>
    <w:semiHidden/>
    <w:unhideWhenUsed/>
    <w:rsid w:val="0085042C"/>
    <w:pPr>
      <w:autoSpaceDE/>
      <w:autoSpaceDN/>
      <w:adjustRightInd/>
      <w:spacing w:before="0"/>
    </w:pPr>
    <w:rPr>
      <w:rFonts w:ascii="Tahoma" w:eastAsiaTheme="minorHAnsi" w:hAnsi="Tahoma" w:cs="Tahoma" w:eastAsia="MS Mincho"/>
      <w:sz w:val="16"/>
      <w:szCs w:val="16"/>
    </w:rPr>
  </w:style>
  <w:style w:type="character" w:customStyle="1" w:styleId="BalloonTextChar">
    <w:name w:val="Balloon Text Char"/>
    <w:basedOn w:val="DefaultParagraphFont"/>
    <w:link w:val="BalloonText"/>
    <w:uiPriority w:val="99"/>
    <w:semiHidden/>
    <w:rsid w:val="0085042C"/>
    <w:rPr>
      <w:rFonts w:ascii="Tahoma" w:hAnsi="Tahoma" w:cs="Tahoma" w:eastAsia="MS Mincho"/>
      <w:sz w:val="16"/>
      <w:szCs w:val="16"/>
    </w:rPr>
  </w:style>
  <w:style w:type="paragraph" w:styleId="NormalWeb">
    <w:name w:val="Normal (Web)"/>
    <w:basedOn w:val="Normal"/>
    <w:uiPriority w:val="99"/>
    <w:unhideWhenUsed/>
    <w:rsid w:val="0085042C"/>
    <w:pPr>
      <w:autoSpaceDE/>
      <w:autoSpaceDN/>
      <w:adjustRightInd/>
      <w:spacing w:before="100" w:beforeAutospacing="1" w:after="100" w:afterAutospacing="1"/>
    </w:pPr>
    <w:rPr>
      <w:sz w:val="24"/>
      <w:szCs w:val="24"/>
    </w:rPr>
  </w:style>
  <w:style w:type="paragraph" w:styleId="ListParagraph">
    <w:name w:val="List Paragraph"/>
    <w:basedOn w:val="Normal"/>
    <w:uiPriority w:val="34"/>
    <w:qFormat/>
    <w:rsid w:val="0085042C"/>
    <w:pPr>
      <w:ind w:left="720"/>
      <w:contextualSpacing/>
    </w:pPr>
  </w:style>
  <w:style w:type="paragraph" w:styleId="Header">
    <w:name w:val="header"/>
    <w:basedOn w:val="Normal"/>
    <w:link w:val="HeaderChar"/>
    <w:uiPriority w:val="99"/>
    <w:unhideWhenUsed/>
    <w:rsid w:val="0085042C"/>
    <w:pPr>
      <w:tabs>
        <w:tab w:val="center" w:pos="4680"/>
        <w:tab w:val="right" w:pos="9360"/>
      </w:tabs>
      <w:spacing w:before="0"/>
    </w:pPr>
  </w:style>
  <w:style w:type="character" w:customStyle="1" w:styleId="HeaderChar">
    <w:name w:val="Header Char"/>
    <w:basedOn w:val="DefaultParagraphFont"/>
    <w:link w:val="Header"/>
    <w:uiPriority w:val="99"/>
    <w:rsid w:val="0085042C"/>
    <w:rPr>
      <w:rFonts w:ascii="Times New Roman" w:eastAsia="MS Mincho" w:hAnsi="Times New Roman" w:cs="Times New Roman"/>
      <w:sz w:val="20"/>
      <w:szCs w:val="20"/>
    </w:rPr>
  </w:style>
  <w:style w:type="paragraph" w:styleId="Footer">
    <w:name w:val="footer"/>
    <w:basedOn w:val="Normal"/>
    <w:link w:val="FooterChar"/>
    <w:uiPriority w:val="99"/>
    <w:unhideWhenUsed/>
    <w:rsid w:val="0085042C"/>
    <w:pPr>
      <w:tabs>
        <w:tab w:val="center" w:pos="4680"/>
        <w:tab w:val="right" w:pos="9360"/>
      </w:tabs>
      <w:spacing w:before="0"/>
    </w:pPr>
  </w:style>
  <w:style w:type="character" w:customStyle="1" w:styleId="FooterChar">
    <w:name w:val="Footer Char"/>
    <w:basedOn w:val="DefaultParagraphFont"/>
    <w:link w:val="Footer"/>
    <w:uiPriority w:val="99"/>
    <w:rsid w:val="0085042C"/>
    <w:rPr>
      <w:rFonts w:ascii="Times New Roman" w:eastAsia="MS Mincho" w:hAnsi="Times New Roman" w:cs="Times New Roman"/>
      <w:sz w:val="20"/>
      <w:szCs w:val="20"/>
    </w:rPr>
  </w:style>
  <w:style w:type="character" w:styleId="Hyperlink">
    <w:name w:val="Hyperlink"/>
    <w:basedOn w:val="DefaultParagraphFont"/>
    <w:uiPriority w:val="99"/>
    <w:unhideWhenUsed/>
    <w:rsid w:val="0085042C"/>
    <w:rPr>
      <w:color w:val="0000FF" w:themeColor="hyperlink"/>
      <w:u w:val="single"/>
    </w:rPr>
  </w:style>
  <w:style w:type="character" w:styleId="CommentReference">
    <w:name w:val="annotation reference"/>
    <w:basedOn w:val="DefaultParagraphFont"/>
    <w:uiPriority w:val="99"/>
    <w:semiHidden/>
    <w:unhideWhenUsed/>
    <w:rsid w:val="001F44D4"/>
    <w:rPr>
      <w:sz w:val="16"/>
      <w:szCs w:val="16"/>
    </w:rPr>
  </w:style>
  <w:style w:type="paragraph" w:styleId="CommentText">
    <w:name w:val="annotation text"/>
    <w:basedOn w:val="Normal"/>
    <w:link w:val="CommentTextChar"/>
    <w:uiPriority w:val="99"/>
    <w:semiHidden/>
    <w:unhideWhenUsed/>
    <w:rsid w:val="001F44D4"/>
  </w:style>
  <w:style w:type="character" w:customStyle="1" w:styleId="CommentTextChar">
    <w:name w:val="Comment Text Char"/>
    <w:basedOn w:val="DefaultParagraphFont"/>
    <w:link w:val="CommentText"/>
    <w:uiPriority w:val="99"/>
    <w:semiHidden/>
    <w:rsid w:val="001F44D4"/>
    <w:rPr>
      <w:rFonts w:ascii="Times New Roman" w:eastAsia="MS Mincho"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1F44D4"/>
    <w:rPr>
      <w:b/>
      <w:bCs/>
    </w:rPr>
  </w:style>
  <w:style w:type="character" w:customStyle="1" w:styleId="CommentSubjectChar">
    <w:name w:val="Comment Subject Char"/>
    <w:basedOn w:val="CommentTextChar"/>
    <w:link w:val="CommentSubject"/>
    <w:uiPriority w:val="99"/>
    <w:semiHidden/>
    <w:rsid w:val="001F44D4"/>
    <w:rPr>
      <w:rFonts w:ascii="Times New Roman" w:eastAsia="MS Mincho" w:hAnsi="Times New Roman" w:cs="Times New Roman"/>
      <w:b/>
      <w:bCs/>
      <w:sz w:val="20"/>
      <w:szCs w:val="20"/>
    </w:rPr>
  </w:style>
  <w:style w:type="character" w:styleId="FollowedHyperlink">
    <w:name w:val="FollowedHyperlink"/>
    <w:basedOn w:val="DefaultParagraphFont"/>
    <w:uiPriority w:val="99"/>
    <w:semiHidden/>
    <w:unhideWhenUsed/>
    <w:rsid w:val="003477D5"/>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3504244">
      <w:bodyDiv w:val="1"/>
      <w:marLeft w:val="0"/>
      <w:marRight w:val="0"/>
      <w:marTop w:val="0"/>
      <w:marBottom w:val="0"/>
      <w:divBdr>
        <w:top w:val="none" w:sz="0" w:space="0" w:color="auto"/>
        <w:left w:val="none" w:sz="0" w:space="0" w:color="auto"/>
        <w:bottom w:val="none" w:sz="0" w:space="0" w:color="auto"/>
        <w:right w:val="none" w:sz="0" w:space="0" w:color="auto"/>
      </w:divBdr>
      <w:divsChild>
        <w:div w:id="1831827221">
          <w:marLeft w:val="576"/>
          <w:marRight w:val="0"/>
          <w:marTop w:val="80"/>
          <w:marBottom w:val="0"/>
          <w:divBdr>
            <w:top w:val="none" w:sz="0" w:space="0" w:color="auto"/>
            <w:left w:val="none" w:sz="0" w:space="0" w:color="auto"/>
            <w:bottom w:val="none" w:sz="0" w:space="0" w:color="auto"/>
            <w:right w:val="none" w:sz="0" w:space="0" w:color="auto"/>
          </w:divBdr>
        </w:div>
      </w:divsChild>
    </w:div>
    <w:div w:id="100609189">
      <w:bodyDiv w:val="1"/>
      <w:marLeft w:val="0"/>
      <w:marRight w:val="0"/>
      <w:marTop w:val="0"/>
      <w:marBottom w:val="0"/>
      <w:divBdr>
        <w:top w:val="none" w:sz="0" w:space="0" w:color="auto"/>
        <w:left w:val="none" w:sz="0" w:space="0" w:color="auto"/>
        <w:bottom w:val="none" w:sz="0" w:space="0" w:color="auto"/>
        <w:right w:val="none" w:sz="0" w:space="0" w:color="auto"/>
      </w:divBdr>
      <w:divsChild>
        <w:div w:id="101999375">
          <w:marLeft w:val="1166"/>
          <w:marRight w:val="0"/>
          <w:marTop w:val="115"/>
          <w:marBottom w:val="0"/>
          <w:divBdr>
            <w:top w:val="none" w:sz="0" w:space="0" w:color="auto"/>
            <w:left w:val="none" w:sz="0" w:space="0" w:color="auto"/>
            <w:bottom w:val="none" w:sz="0" w:space="0" w:color="auto"/>
            <w:right w:val="none" w:sz="0" w:space="0" w:color="auto"/>
          </w:divBdr>
        </w:div>
        <w:div w:id="1392078678">
          <w:marLeft w:val="1166"/>
          <w:marRight w:val="0"/>
          <w:marTop w:val="115"/>
          <w:marBottom w:val="0"/>
          <w:divBdr>
            <w:top w:val="none" w:sz="0" w:space="0" w:color="auto"/>
            <w:left w:val="none" w:sz="0" w:space="0" w:color="auto"/>
            <w:bottom w:val="none" w:sz="0" w:space="0" w:color="auto"/>
            <w:right w:val="none" w:sz="0" w:space="0" w:color="auto"/>
          </w:divBdr>
        </w:div>
        <w:div w:id="1724787161">
          <w:marLeft w:val="1166"/>
          <w:marRight w:val="0"/>
          <w:marTop w:val="115"/>
          <w:marBottom w:val="0"/>
          <w:divBdr>
            <w:top w:val="none" w:sz="0" w:space="0" w:color="auto"/>
            <w:left w:val="none" w:sz="0" w:space="0" w:color="auto"/>
            <w:bottom w:val="none" w:sz="0" w:space="0" w:color="auto"/>
            <w:right w:val="none" w:sz="0" w:space="0" w:color="auto"/>
          </w:divBdr>
        </w:div>
      </w:divsChild>
    </w:div>
    <w:div w:id="111439933">
      <w:bodyDiv w:val="1"/>
      <w:marLeft w:val="0"/>
      <w:marRight w:val="0"/>
      <w:marTop w:val="0"/>
      <w:marBottom w:val="0"/>
      <w:divBdr>
        <w:top w:val="none" w:sz="0" w:space="0" w:color="auto"/>
        <w:left w:val="none" w:sz="0" w:space="0" w:color="auto"/>
        <w:bottom w:val="none" w:sz="0" w:space="0" w:color="auto"/>
        <w:right w:val="none" w:sz="0" w:space="0" w:color="auto"/>
      </w:divBdr>
    </w:div>
    <w:div w:id="282156485">
      <w:bodyDiv w:val="1"/>
      <w:marLeft w:val="0"/>
      <w:marRight w:val="0"/>
      <w:marTop w:val="0"/>
      <w:marBottom w:val="0"/>
      <w:divBdr>
        <w:top w:val="none" w:sz="0" w:space="0" w:color="auto"/>
        <w:left w:val="none" w:sz="0" w:space="0" w:color="auto"/>
        <w:bottom w:val="none" w:sz="0" w:space="0" w:color="auto"/>
        <w:right w:val="none" w:sz="0" w:space="0" w:color="auto"/>
      </w:divBdr>
    </w:div>
    <w:div w:id="416363728">
      <w:bodyDiv w:val="1"/>
      <w:marLeft w:val="0"/>
      <w:marRight w:val="0"/>
      <w:marTop w:val="0"/>
      <w:marBottom w:val="0"/>
      <w:divBdr>
        <w:top w:val="none" w:sz="0" w:space="0" w:color="auto"/>
        <w:left w:val="none" w:sz="0" w:space="0" w:color="auto"/>
        <w:bottom w:val="none" w:sz="0" w:space="0" w:color="auto"/>
        <w:right w:val="none" w:sz="0" w:space="0" w:color="auto"/>
      </w:divBdr>
    </w:div>
    <w:div w:id="530074562">
      <w:bodyDiv w:val="1"/>
      <w:marLeft w:val="0"/>
      <w:marRight w:val="0"/>
      <w:marTop w:val="0"/>
      <w:marBottom w:val="0"/>
      <w:divBdr>
        <w:top w:val="none" w:sz="0" w:space="0" w:color="auto"/>
        <w:left w:val="none" w:sz="0" w:space="0" w:color="auto"/>
        <w:bottom w:val="none" w:sz="0" w:space="0" w:color="auto"/>
        <w:right w:val="none" w:sz="0" w:space="0" w:color="auto"/>
      </w:divBdr>
      <w:divsChild>
        <w:div w:id="1519387636">
          <w:marLeft w:val="1166"/>
          <w:marRight w:val="0"/>
          <w:marTop w:val="115"/>
          <w:marBottom w:val="0"/>
          <w:divBdr>
            <w:top w:val="none" w:sz="0" w:space="0" w:color="auto"/>
            <w:left w:val="none" w:sz="0" w:space="0" w:color="auto"/>
            <w:bottom w:val="none" w:sz="0" w:space="0" w:color="auto"/>
            <w:right w:val="none" w:sz="0" w:space="0" w:color="auto"/>
          </w:divBdr>
        </w:div>
      </w:divsChild>
    </w:div>
    <w:div w:id="862204084">
      <w:bodyDiv w:val="1"/>
      <w:marLeft w:val="0"/>
      <w:marRight w:val="0"/>
      <w:marTop w:val="0"/>
      <w:marBottom w:val="0"/>
      <w:divBdr>
        <w:top w:val="none" w:sz="0" w:space="0" w:color="auto"/>
        <w:left w:val="none" w:sz="0" w:space="0" w:color="auto"/>
        <w:bottom w:val="none" w:sz="0" w:space="0" w:color="auto"/>
        <w:right w:val="none" w:sz="0" w:space="0" w:color="auto"/>
      </w:divBdr>
    </w:div>
    <w:div w:id="927621002">
      <w:bodyDiv w:val="1"/>
      <w:marLeft w:val="0"/>
      <w:marRight w:val="0"/>
      <w:marTop w:val="0"/>
      <w:marBottom w:val="0"/>
      <w:divBdr>
        <w:top w:val="none" w:sz="0" w:space="0" w:color="auto"/>
        <w:left w:val="none" w:sz="0" w:space="0" w:color="auto"/>
        <w:bottom w:val="none" w:sz="0" w:space="0" w:color="auto"/>
        <w:right w:val="none" w:sz="0" w:space="0" w:color="auto"/>
      </w:divBdr>
      <w:divsChild>
        <w:div w:id="1411930927">
          <w:marLeft w:val="979"/>
          <w:marRight w:val="0"/>
          <w:marTop w:val="65"/>
          <w:marBottom w:val="0"/>
          <w:divBdr>
            <w:top w:val="none" w:sz="0" w:space="0" w:color="auto"/>
            <w:left w:val="none" w:sz="0" w:space="0" w:color="auto"/>
            <w:bottom w:val="none" w:sz="0" w:space="0" w:color="auto"/>
            <w:right w:val="none" w:sz="0" w:space="0" w:color="auto"/>
          </w:divBdr>
        </w:div>
      </w:divsChild>
    </w:div>
    <w:div w:id="1102457419">
      <w:bodyDiv w:val="1"/>
      <w:marLeft w:val="0"/>
      <w:marRight w:val="0"/>
      <w:marTop w:val="0"/>
      <w:marBottom w:val="0"/>
      <w:divBdr>
        <w:top w:val="none" w:sz="0" w:space="0" w:color="auto"/>
        <w:left w:val="none" w:sz="0" w:space="0" w:color="auto"/>
        <w:bottom w:val="none" w:sz="0" w:space="0" w:color="auto"/>
        <w:right w:val="none" w:sz="0" w:space="0" w:color="auto"/>
      </w:divBdr>
    </w:div>
    <w:div w:id="1106970207">
      <w:bodyDiv w:val="1"/>
      <w:marLeft w:val="0"/>
      <w:marRight w:val="0"/>
      <w:marTop w:val="0"/>
      <w:marBottom w:val="0"/>
      <w:divBdr>
        <w:top w:val="none" w:sz="0" w:space="0" w:color="auto"/>
        <w:left w:val="none" w:sz="0" w:space="0" w:color="auto"/>
        <w:bottom w:val="none" w:sz="0" w:space="0" w:color="auto"/>
        <w:right w:val="none" w:sz="0" w:space="0" w:color="auto"/>
      </w:divBdr>
    </w:div>
    <w:div w:id="1454205528">
      <w:bodyDiv w:val="1"/>
      <w:marLeft w:val="0"/>
      <w:marRight w:val="0"/>
      <w:marTop w:val="0"/>
      <w:marBottom w:val="0"/>
      <w:divBdr>
        <w:top w:val="none" w:sz="0" w:space="0" w:color="auto"/>
        <w:left w:val="none" w:sz="0" w:space="0" w:color="auto"/>
        <w:bottom w:val="none" w:sz="0" w:space="0" w:color="auto"/>
        <w:right w:val="none" w:sz="0" w:space="0" w:color="auto"/>
      </w:divBdr>
      <w:divsChild>
        <w:div w:id="1825655428">
          <w:marLeft w:val="979"/>
          <w:marRight w:val="0"/>
          <w:marTop w:val="65"/>
          <w:marBottom w:val="0"/>
          <w:divBdr>
            <w:top w:val="none" w:sz="0" w:space="0" w:color="auto"/>
            <w:left w:val="none" w:sz="0" w:space="0" w:color="auto"/>
            <w:bottom w:val="none" w:sz="0" w:space="0" w:color="auto"/>
            <w:right w:val="none" w:sz="0" w:space="0" w:color="auto"/>
          </w:divBdr>
        </w:div>
        <w:div w:id="1159923214">
          <w:marLeft w:val="979"/>
          <w:marRight w:val="0"/>
          <w:marTop w:val="65"/>
          <w:marBottom w:val="0"/>
          <w:divBdr>
            <w:top w:val="none" w:sz="0" w:space="0" w:color="auto"/>
            <w:left w:val="none" w:sz="0" w:space="0" w:color="auto"/>
            <w:bottom w:val="none" w:sz="0" w:space="0" w:color="auto"/>
            <w:right w:val="none" w:sz="0" w:space="0" w:color="auto"/>
          </w:divBdr>
        </w:div>
      </w:divsChild>
    </w:div>
    <w:div w:id="1540849153">
      <w:bodyDiv w:val="1"/>
      <w:marLeft w:val="0"/>
      <w:marRight w:val="0"/>
      <w:marTop w:val="0"/>
      <w:marBottom w:val="0"/>
      <w:divBdr>
        <w:top w:val="none" w:sz="0" w:space="0" w:color="auto"/>
        <w:left w:val="none" w:sz="0" w:space="0" w:color="auto"/>
        <w:bottom w:val="none" w:sz="0" w:space="0" w:color="auto"/>
        <w:right w:val="none" w:sz="0" w:space="0" w:color="auto"/>
      </w:divBdr>
    </w:div>
    <w:div w:id="1666785190">
      <w:bodyDiv w:val="1"/>
      <w:marLeft w:val="0"/>
      <w:marRight w:val="0"/>
      <w:marTop w:val="0"/>
      <w:marBottom w:val="0"/>
      <w:divBdr>
        <w:top w:val="none" w:sz="0" w:space="0" w:color="auto"/>
        <w:left w:val="none" w:sz="0" w:space="0" w:color="auto"/>
        <w:bottom w:val="none" w:sz="0" w:space="0" w:color="auto"/>
        <w:right w:val="none" w:sz="0" w:space="0" w:color="auto"/>
      </w:divBdr>
    </w:div>
    <w:div w:id="1717464006">
      <w:bodyDiv w:val="1"/>
      <w:marLeft w:val="0"/>
      <w:marRight w:val="0"/>
      <w:marTop w:val="0"/>
      <w:marBottom w:val="0"/>
      <w:divBdr>
        <w:top w:val="none" w:sz="0" w:space="0" w:color="auto"/>
        <w:left w:val="none" w:sz="0" w:space="0" w:color="auto"/>
        <w:bottom w:val="none" w:sz="0" w:space="0" w:color="auto"/>
        <w:right w:val="none" w:sz="0" w:space="0" w:color="auto"/>
      </w:divBdr>
    </w:div>
    <w:div w:id="1802723161">
      <w:bodyDiv w:val="1"/>
      <w:marLeft w:val="0"/>
      <w:marRight w:val="0"/>
      <w:marTop w:val="0"/>
      <w:marBottom w:val="0"/>
      <w:divBdr>
        <w:top w:val="none" w:sz="0" w:space="0" w:color="auto"/>
        <w:left w:val="none" w:sz="0" w:space="0" w:color="auto"/>
        <w:bottom w:val="none" w:sz="0" w:space="0" w:color="auto"/>
        <w:right w:val="none" w:sz="0" w:space="0" w:color="auto"/>
      </w:divBdr>
    </w:div>
    <w:div w:id="1840923710">
      <w:bodyDiv w:val="1"/>
      <w:marLeft w:val="0"/>
      <w:marRight w:val="0"/>
      <w:marTop w:val="0"/>
      <w:marBottom w:val="0"/>
      <w:divBdr>
        <w:top w:val="none" w:sz="0" w:space="0" w:color="auto"/>
        <w:left w:val="none" w:sz="0" w:space="0" w:color="auto"/>
        <w:bottom w:val="none" w:sz="0" w:space="0" w:color="auto"/>
        <w:right w:val="none" w:sz="0" w:space="0" w:color="auto"/>
      </w:divBdr>
      <w:divsChild>
        <w:div w:id="1098595225">
          <w:marLeft w:val="0"/>
          <w:marRight w:val="0"/>
          <w:marTop w:val="0"/>
          <w:marBottom w:val="0"/>
          <w:divBdr>
            <w:top w:val="none" w:sz="0" w:space="0" w:color="auto"/>
            <w:left w:val="none" w:sz="0" w:space="0" w:color="auto"/>
            <w:bottom w:val="none" w:sz="0" w:space="0" w:color="auto"/>
            <w:right w:val="none" w:sz="0" w:space="0" w:color="auto"/>
          </w:divBdr>
          <w:divsChild>
            <w:div w:id="1233127633">
              <w:marLeft w:val="0"/>
              <w:marRight w:val="336"/>
              <w:marTop w:val="0"/>
              <w:marBottom w:val="0"/>
              <w:divBdr>
                <w:top w:val="none" w:sz="0" w:space="0" w:color="auto"/>
                <w:left w:val="none" w:sz="0" w:space="0" w:color="auto"/>
                <w:bottom w:val="none" w:sz="0" w:space="0" w:color="auto"/>
                <w:right w:val="none" w:sz="0" w:space="0" w:color="auto"/>
              </w:divBdr>
              <w:divsChild>
                <w:div w:id="588924918">
                  <w:marLeft w:val="0"/>
                  <w:marRight w:val="0"/>
                  <w:marTop w:val="0"/>
                  <w:marBottom w:val="0"/>
                  <w:divBdr>
                    <w:top w:val="none" w:sz="0" w:space="0" w:color="auto"/>
                    <w:left w:val="none" w:sz="0" w:space="0" w:color="auto"/>
                    <w:bottom w:val="none" w:sz="0" w:space="0" w:color="auto"/>
                    <w:right w:val="none" w:sz="0" w:space="0" w:color="auto"/>
                  </w:divBdr>
                  <w:divsChild>
                    <w:div w:id="1555509039">
                      <w:marLeft w:val="0"/>
                      <w:marRight w:val="0"/>
                      <w:marTop w:val="0"/>
                      <w:marBottom w:val="0"/>
                      <w:divBdr>
                        <w:top w:val="single" w:sz="4" w:space="6" w:color="E9E9E9"/>
                        <w:left w:val="single" w:sz="4" w:space="6" w:color="E9E9E9"/>
                        <w:bottom w:val="single" w:sz="4" w:space="6" w:color="E9E9E9"/>
                        <w:right w:val="single" w:sz="4" w:space="6" w:color="E9E9E9"/>
                      </w:divBdr>
                    </w:div>
                  </w:divsChild>
                </w:div>
              </w:divsChild>
            </w:div>
          </w:divsChild>
        </w:div>
      </w:divsChild>
    </w:div>
    <w:div w:id="1867788255">
      <w:bodyDiv w:val="1"/>
      <w:marLeft w:val="0"/>
      <w:marRight w:val="0"/>
      <w:marTop w:val="0"/>
      <w:marBottom w:val="0"/>
      <w:divBdr>
        <w:top w:val="none" w:sz="0" w:space="0" w:color="auto"/>
        <w:left w:val="none" w:sz="0" w:space="0" w:color="auto"/>
        <w:bottom w:val="none" w:sz="0" w:space="0" w:color="auto"/>
        <w:right w:val="none" w:sz="0" w:space="0" w:color="auto"/>
      </w:divBdr>
    </w:div>
    <w:div w:id="1916158455">
      <w:bodyDiv w:val="1"/>
      <w:marLeft w:val="0"/>
      <w:marRight w:val="0"/>
      <w:marTop w:val="0"/>
      <w:marBottom w:val="0"/>
      <w:divBdr>
        <w:top w:val="none" w:sz="0" w:space="0" w:color="auto"/>
        <w:left w:val="none" w:sz="0" w:space="0" w:color="auto"/>
        <w:bottom w:val="none" w:sz="0" w:space="0" w:color="auto"/>
        <w:right w:val="none" w:sz="0" w:space="0" w:color="auto"/>
      </w:divBdr>
      <w:divsChild>
        <w:div w:id="1968470294">
          <w:marLeft w:val="1800"/>
          <w:marRight w:val="0"/>
          <w:marTop w:val="96"/>
          <w:marBottom w:val="0"/>
          <w:divBdr>
            <w:top w:val="none" w:sz="0" w:space="0" w:color="auto"/>
            <w:left w:val="none" w:sz="0" w:space="0" w:color="auto"/>
            <w:bottom w:val="none" w:sz="0" w:space="0" w:color="auto"/>
            <w:right w:val="none" w:sz="0" w:space="0" w:color="auto"/>
          </w:divBdr>
        </w:div>
      </w:divsChild>
    </w:div>
    <w:div w:id="2094352865">
      <w:bodyDiv w:val="1"/>
      <w:marLeft w:val="0"/>
      <w:marRight w:val="0"/>
      <w:marTop w:val="0"/>
      <w:marBottom w:val="0"/>
      <w:divBdr>
        <w:top w:val="none" w:sz="0" w:space="0" w:color="auto"/>
        <w:left w:val="none" w:sz="0" w:space="0" w:color="auto"/>
        <w:bottom w:val="none" w:sz="0" w:space="0" w:color="auto"/>
        <w:right w:val="none" w:sz="0" w:space="0" w:color="auto"/>
      </w:divBdr>
      <w:divsChild>
        <w:div w:id="1541673832">
          <w:marLeft w:val="1800"/>
          <w:marRight w:val="0"/>
          <w:marTop w:val="96"/>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&#65279;<?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corporate.ppg.com/Our-Company/Ethics.aspx" TargetMode="External"/><Relationship Id="rId18" Type="http://schemas.openxmlformats.org/officeDocument/2006/relationships/hyperlink" Target="https://one.web.ppg.com/na/ethics/en/Pages/Third-Party-Due-.aspx" TargetMode="Externa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webSettings" Target="webSettings.xml"/><Relationship Id="rId12" Type="http://schemas.openxmlformats.org/officeDocument/2006/relationships/hyperlink" Target="https://one.web.ppg.com/na/globalfinance/policies/Documents/CM.pdf" TargetMode="External"/><Relationship Id="rId17" Type="http://schemas.openxmlformats.org/officeDocument/2006/relationships/hyperlink" Target="https://one.web.ppg.com/na/globalfinance/policies/Documents/CM.pdf" TargetMode="External"/><Relationship Id="rId2" Type="http://schemas.openxmlformats.org/officeDocument/2006/relationships/customXml" Target="../customXml/item2.xml"/><Relationship Id="rId16" Type="http://schemas.openxmlformats.org/officeDocument/2006/relationships/hyperlink" Target="https://one.web.ppg.com/na/travel/TE/Policies/2018%20Policies/PPG%20Global%20Travel%20Policy%20030118.pdf" TargetMode="External"/><Relationship Id="rId20" Type="http://schemas.openxmlformats.org/officeDocument/2006/relationships/hyperlink" Target="https://app.convercent.com/en-us/LandingPage/ada23786-4d8b-e611-810b-000d3ab2feeb"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corporate.ppg.com/Our-Company/Ethics.aspx" TargetMode="External"/><Relationship Id="rId5" Type="http://schemas.openxmlformats.org/officeDocument/2006/relationships/styles" Target="styles.xml"/><Relationship Id="rId15" Type="http://schemas.openxmlformats.org/officeDocument/2006/relationships/hyperlink" Target="https://one.web.ppg.com/na/ethics/en/Pages/Due-Diligence-Policies-and-Procedures.aspx" TargetMode="External"/><Relationship Id="rId23" Type="http://schemas.openxmlformats.org/officeDocument/2006/relationships/theme" Target="theme/theme1.xml"/><Relationship Id="rId10" Type="http://schemas.openxmlformats.org/officeDocument/2006/relationships/image" Target="media/image2.png"/><Relationship Id="rId19" Type="http://schemas.openxmlformats.org/officeDocument/2006/relationships/hyperlink" Target="http://corporate.ppg.com/Our-Company/Ethics.aspx"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corporate.ppg.com/Our-Company/Ethics.aspx" TargetMode="External"/><Relationship Id="rId22"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MS Mincho"/>
        <a:cs typeface=""/>
      </a:majorFont>
      <a:minorFont>
        <a:latin typeface="Calibri"/>
        <a:ea typeface="MS Mincho"/>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6CC239AD5C10548B01EB05D2CE458CF" ma:contentTypeVersion="4" ma:contentTypeDescription="Create a new document." ma:contentTypeScope="" ma:versionID="65fd16864e68018b9e3939b8f0f274a4">
  <xsd:schema xmlns:xsd="http://www.w3.org/2001/XMLSchema" xmlns:xs="http://www.w3.org/2001/XMLSchema" xmlns:p="http://schemas.microsoft.com/office/2006/metadata/properties" xmlns:ns1="http://schemas.microsoft.com/sharepoint/v3" xmlns:ns2="a78e3f42-8b58-4cf5-a404-787808b7749f" targetNamespace="http://schemas.microsoft.com/office/2006/metadata/properties" ma:root="true" ma:fieldsID="450291bc940ef47ead59f383331a6da3" ns1:_="" ns2:_="">
    <xsd:import namespace="http://schemas.microsoft.com/sharepoint/v3"/>
    <xsd:import namespace="a78e3f42-8b58-4cf5-a404-787808b7749f"/>
    <xsd:element name="properties">
      <xsd:complexType>
        <xsd:sequence>
          <xsd:element name="documentManagement">
            <xsd:complexType>
              <xsd:all>
                <xsd:element ref="ns1:PublishingStartDate" minOccurs="0"/>
                <xsd:element ref="ns1:PublishingExpirationDate"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a78e3f42-8b58-4cf5-a404-787808b7749f" elementFormDefault="qualified">
    <xsd:import namespace="http://schemas.microsoft.com/office/2006/documentManagement/types"/>
    <xsd:import namespace="http://schemas.microsoft.com/office/infopath/2007/PartnerControls"/>
    <xsd:element name="SharedWithUsers" ma:index="10"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F829663-5853-4DD1-8258-892CFC41AC7D}">
  <ds:schemaRefs>
    <ds:schemaRef ds:uri="http://schemas.microsoft.com/office/2006/metadata/properties"/>
    <ds:schemaRef ds:uri="http://schemas.microsoft.com/office/infopath/2007/PartnerControls"/>
    <ds:schemaRef ds:uri="http://schemas.microsoft.com/sharepoint/v3"/>
  </ds:schemaRefs>
</ds:datastoreItem>
</file>

<file path=customXml/itemProps2.xml><?xml version="1.0" encoding="utf-8"?>
<ds:datastoreItem xmlns:ds="http://schemas.openxmlformats.org/officeDocument/2006/customXml" ds:itemID="{2794DA8A-4275-404A-8F87-31BF73144B1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a78e3f42-8b58-4cf5-a404-787808b7749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AC8AC8B-8DD9-4129-AC12-EBA15D9F60E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1853</Words>
  <Characters>10568</Characters>
  <Application>Microsoft Office Word</Application>
  <DocSecurity>0</DocSecurity>
  <Lines>88</Lines>
  <Paragraphs>24</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12397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2019-11-26T20:23:00Z</dcterms:created>
  <dcterms:modified xsi:type="dcterms:W3CDTF">2020-01-14T15:18:00Z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0x01010096CC239AD5C10548B01EB05D2CE458CF</vt:lpwstr>
  </property>
  <property fmtid="{D5CDD505-2E9C-101B-9397-08002B2CF9AE}" pid="3" name="Order">
    <vt:r8>900</vt:r8>
  </property>
  <property fmtid="{D5CDD505-2E9C-101B-9397-08002B2CF9AE}" pid="4" name="xd_ProgID">
    <vt:lpwstr/>
  </property>
  <property fmtid="{D5CDD505-2E9C-101B-9397-08002B2CF9AE}" pid="5" name="TemplateUrl">
    <vt:lpwstr/>
  </property>
</Properties>
</file>