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33C6" w14:textId="3CEA96EF" w:rsidR="00BD3280" w:rsidRDefault="00BD3280" w:rsidP="00031A64">
      <w:pPr>
        <w:pStyle w:val="Heading1"/>
        <w:jc w:val="center"/>
      </w:pPr>
      <w:r w:rsidRPr="00BD3280">
        <w:drawing>
          <wp:anchor distT="0" distB="0" distL="114300" distR="114300" simplePos="0" relativeHeight="251658240" behindDoc="0" locked="0" layoutInCell="1" allowOverlap="1" wp14:anchorId="0EAD2F7C" wp14:editId="636B845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83080" cy="700496"/>
            <wp:effectExtent l="0" t="0" r="0" b="0"/>
            <wp:wrapSquare wrapText="bothSides"/>
            <wp:docPr id="659585873" name="Picture 1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85873" name="Picture 1" descr="A red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70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F6CC6" w14:textId="77777777" w:rsidR="00BD3280" w:rsidRDefault="00BD3280" w:rsidP="00031A64">
      <w:pPr>
        <w:pStyle w:val="Heading1"/>
        <w:jc w:val="center"/>
      </w:pPr>
    </w:p>
    <w:p w14:paraId="351C18D9" w14:textId="77777777" w:rsidR="00BD3280" w:rsidRDefault="00BD3280" w:rsidP="00031A64">
      <w:pPr>
        <w:pStyle w:val="Heading1"/>
        <w:jc w:val="center"/>
      </w:pPr>
    </w:p>
    <w:p w14:paraId="2DA716A8" w14:textId="659E866E" w:rsidR="005D22BE" w:rsidRDefault="00CB7476" w:rsidP="00031A64">
      <w:pPr>
        <w:pStyle w:val="Heading1"/>
        <w:jc w:val="center"/>
      </w:pPr>
      <w:r>
        <w:t>Summary of</w:t>
      </w:r>
      <w:r w:rsidR="00000000">
        <w:rPr>
          <w:spacing w:val="-8"/>
        </w:rPr>
        <w:t xml:space="preserve"> </w:t>
      </w:r>
      <w:r w:rsidR="00B00338">
        <w:t>C</w:t>
      </w:r>
      <w:r w:rsidR="00000000">
        <w:t>hanges</w:t>
      </w:r>
      <w:r w:rsidR="00000000">
        <w:rPr>
          <w:spacing w:val="-8"/>
        </w:rPr>
        <w:t xml:space="preserve"> </w:t>
      </w:r>
      <w:r>
        <w:t>to</w:t>
      </w:r>
      <w:r w:rsidR="00000000">
        <w:rPr>
          <w:spacing w:val="-8"/>
        </w:rPr>
        <w:t xml:space="preserve"> </w:t>
      </w:r>
      <w:r w:rsidR="00000000">
        <w:t>the</w:t>
      </w:r>
      <w:r w:rsidR="00000000">
        <w:rPr>
          <w:spacing w:val="-7"/>
        </w:rPr>
        <w:t xml:space="preserve"> </w:t>
      </w:r>
      <w:r>
        <w:t>2025-26</w:t>
      </w:r>
      <w:r>
        <w:t xml:space="preserve"> </w:t>
      </w:r>
      <w:r w:rsidR="00E61159">
        <w:rPr>
          <w:spacing w:val="-8"/>
        </w:rPr>
        <w:t xml:space="preserve">South </w:t>
      </w:r>
      <w:r w:rsidR="00814B0F">
        <w:t>Masters</w:t>
      </w:r>
      <w:r w:rsidR="00000000">
        <w:rPr>
          <w:spacing w:val="-7"/>
        </w:rPr>
        <w:t xml:space="preserve"> </w:t>
      </w:r>
      <w:r w:rsidR="00000000">
        <w:t>League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Regulations</w:t>
      </w:r>
      <w:r w:rsidR="00E61159">
        <w:rPr>
          <w:spacing w:val="-2"/>
        </w:rPr>
        <w:t xml:space="preserve"> </w:t>
      </w:r>
    </w:p>
    <w:p w14:paraId="7E1CF9B4" w14:textId="7DF65DE9" w:rsidR="005D22BE" w:rsidRDefault="00F5409B">
      <w:pPr>
        <w:pStyle w:val="BodyText"/>
        <w:spacing w:before="320" w:line="288" w:lineRule="auto"/>
        <w:ind w:left="130"/>
        <w:rPr>
          <w:spacing w:val="-2"/>
        </w:rPr>
      </w:pPr>
      <w:r>
        <w:t xml:space="preserve">Most </w:t>
      </w:r>
      <w:r w:rsidR="00000000">
        <w:t>core</w:t>
      </w:r>
      <w:r w:rsidR="00000000">
        <w:rPr>
          <w:spacing w:val="-4"/>
        </w:rPr>
        <w:t xml:space="preserve"> </w:t>
      </w:r>
      <w:r w:rsidR="00000000">
        <w:t>elements</w:t>
      </w:r>
      <w:r w:rsidR="00000000">
        <w:rPr>
          <w:spacing w:val="-5"/>
        </w:rPr>
        <w:t xml:space="preserve"> </w:t>
      </w:r>
      <w:r>
        <w:rPr>
          <w:spacing w:val="-5"/>
        </w:rPr>
        <w:t xml:space="preserve">in the new season’s Regulations </w:t>
      </w:r>
      <w:r w:rsidR="00000000">
        <w:t xml:space="preserve">remain </w:t>
      </w:r>
      <w:r w:rsidR="00C77C46">
        <w:rPr>
          <w:spacing w:val="-2"/>
        </w:rPr>
        <w:t>and comply with the Area Adult League Regulations</w:t>
      </w:r>
      <w:r>
        <w:rPr>
          <w:spacing w:val="-2"/>
        </w:rPr>
        <w:t xml:space="preserve"> 2025-</w:t>
      </w:r>
      <w:r w:rsidR="0072505A">
        <w:rPr>
          <w:spacing w:val="-2"/>
        </w:rPr>
        <w:t>20</w:t>
      </w:r>
      <w:r>
        <w:rPr>
          <w:spacing w:val="-2"/>
        </w:rPr>
        <w:t>26</w:t>
      </w:r>
      <w:r w:rsidR="00C77C46">
        <w:rPr>
          <w:spacing w:val="-2"/>
        </w:rPr>
        <w:t xml:space="preserve">. </w:t>
      </w:r>
      <w:r w:rsidR="009D2F0E">
        <w:rPr>
          <w:spacing w:val="-2"/>
        </w:rPr>
        <w:t xml:space="preserve">The </w:t>
      </w:r>
      <w:r w:rsidR="009C3122">
        <w:rPr>
          <w:spacing w:val="-2"/>
        </w:rPr>
        <w:t>M</w:t>
      </w:r>
      <w:r w:rsidR="009D2F0E">
        <w:rPr>
          <w:spacing w:val="-2"/>
        </w:rPr>
        <w:t xml:space="preserve">asters </w:t>
      </w:r>
      <w:r w:rsidR="009C3122">
        <w:rPr>
          <w:spacing w:val="-2"/>
        </w:rPr>
        <w:t>R</w:t>
      </w:r>
      <w:r w:rsidR="009D2F0E">
        <w:rPr>
          <w:spacing w:val="-2"/>
        </w:rPr>
        <w:t xml:space="preserve">egulations are written as one document </w:t>
      </w:r>
      <w:r>
        <w:rPr>
          <w:spacing w:val="-2"/>
        </w:rPr>
        <w:t>with</w:t>
      </w:r>
      <w:r w:rsidR="0072505A">
        <w:rPr>
          <w:spacing w:val="-2"/>
        </w:rPr>
        <w:t>in</w:t>
      </w:r>
      <w:r>
        <w:rPr>
          <w:spacing w:val="-2"/>
        </w:rPr>
        <w:t xml:space="preserve"> the Adult Regulations for ease of reference</w:t>
      </w:r>
      <w:r w:rsidR="00632AD4">
        <w:rPr>
          <w:spacing w:val="-2"/>
        </w:rPr>
        <w:t xml:space="preserve"> to ensure a fair and consistent framework for governance. </w:t>
      </w:r>
    </w:p>
    <w:p w14:paraId="7C18F8F0" w14:textId="77777777" w:rsidR="00BB67B8" w:rsidRDefault="00BB67B8" w:rsidP="00BB67B8">
      <w:pPr>
        <w:pStyle w:val="BodyText"/>
        <w:spacing w:before="320" w:line="288" w:lineRule="auto"/>
      </w:pPr>
    </w:p>
    <w:p w14:paraId="38A463F4" w14:textId="77777777" w:rsidR="005D22BE" w:rsidRDefault="005D22BE">
      <w:pPr>
        <w:pStyle w:val="BodyText"/>
        <w:spacing w:before="9"/>
        <w:rPr>
          <w:sz w:val="18"/>
        </w:rPr>
      </w:pPr>
    </w:p>
    <w:tbl>
      <w:tblPr>
        <w:tblW w:w="0" w:type="auto"/>
        <w:tblInd w:w="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2552"/>
        <w:gridCol w:w="6116"/>
      </w:tblGrid>
      <w:tr w:rsidR="005D22BE" w14:paraId="3C269A99" w14:textId="77777777" w:rsidTr="004C102F">
        <w:trPr>
          <w:trHeight w:val="479"/>
        </w:trPr>
        <w:tc>
          <w:tcPr>
            <w:tcW w:w="1552" w:type="dxa"/>
          </w:tcPr>
          <w:p w14:paraId="159B6155" w14:textId="77777777" w:rsidR="005D22BE" w:rsidRDefault="00000000">
            <w:pPr>
              <w:pStyle w:val="TableParagraph"/>
              <w:spacing w:before="96"/>
              <w:ind w:left="25"/>
              <w:jc w:val="center"/>
              <w:rPr>
                <w:rFonts w:ascii="Helvetica Neue"/>
                <w:b/>
                <w:sz w:val="20"/>
              </w:rPr>
            </w:pPr>
            <w:r>
              <w:rPr>
                <w:rFonts w:ascii="Helvetica Neue"/>
                <w:b/>
                <w:sz w:val="20"/>
              </w:rPr>
              <w:t>Reg</w:t>
            </w:r>
            <w:r>
              <w:rPr>
                <w:rFonts w:ascii="Helvetica Neue"/>
                <w:b/>
                <w:spacing w:val="-5"/>
                <w:sz w:val="20"/>
              </w:rPr>
              <w:t xml:space="preserve"> </w:t>
            </w:r>
            <w:r>
              <w:rPr>
                <w:rFonts w:ascii="Helvetica Neue"/>
                <w:b/>
                <w:spacing w:val="-10"/>
                <w:sz w:val="20"/>
              </w:rPr>
              <w:t>#</w:t>
            </w:r>
          </w:p>
        </w:tc>
        <w:tc>
          <w:tcPr>
            <w:tcW w:w="2552" w:type="dxa"/>
          </w:tcPr>
          <w:p w14:paraId="04F1BD9E" w14:textId="77777777" w:rsidR="005D22BE" w:rsidRDefault="00000000">
            <w:pPr>
              <w:pStyle w:val="TableParagraph"/>
              <w:spacing w:before="96"/>
              <w:ind w:left="95"/>
              <w:rPr>
                <w:rFonts w:ascii="Helvetica Neue"/>
                <w:b/>
                <w:sz w:val="20"/>
              </w:rPr>
            </w:pPr>
            <w:r>
              <w:rPr>
                <w:rFonts w:ascii="Helvetica Neue"/>
                <w:b/>
                <w:spacing w:val="-2"/>
                <w:sz w:val="20"/>
              </w:rPr>
              <w:t>Regulation</w:t>
            </w:r>
          </w:p>
        </w:tc>
        <w:tc>
          <w:tcPr>
            <w:tcW w:w="6116" w:type="dxa"/>
          </w:tcPr>
          <w:p w14:paraId="490411AB" w14:textId="77777777" w:rsidR="005D22BE" w:rsidRDefault="00000000">
            <w:pPr>
              <w:pStyle w:val="TableParagraph"/>
              <w:spacing w:before="115"/>
              <w:ind w:left="90"/>
              <w:rPr>
                <w:rFonts w:ascii="Helvetica Neue"/>
                <w:b/>
                <w:sz w:val="20"/>
              </w:rPr>
            </w:pPr>
            <w:r>
              <w:rPr>
                <w:rFonts w:ascii="Helvetica Neue"/>
                <w:b/>
                <w:spacing w:val="-2"/>
                <w:sz w:val="20"/>
              </w:rPr>
              <w:t>Comment</w:t>
            </w:r>
          </w:p>
        </w:tc>
      </w:tr>
      <w:tr w:rsidR="00FE0657" w14:paraId="65C204D5" w14:textId="77777777" w:rsidTr="00677FC3">
        <w:trPr>
          <w:trHeight w:val="479"/>
        </w:trPr>
        <w:tc>
          <w:tcPr>
            <w:tcW w:w="1552" w:type="dxa"/>
          </w:tcPr>
          <w:p w14:paraId="07399335" w14:textId="218659E1" w:rsidR="00FE0657" w:rsidRDefault="00FE0657" w:rsidP="00FE0657">
            <w:pPr>
              <w:pStyle w:val="TableParagraph"/>
              <w:spacing w:before="96"/>
              <w:ind w:left="25"/>
              <w:jc w:val="center"/>
              <w:rPr>
                <w:rFonts w:ascii="Helvetica Neue"/>
                <w:b/>
                <w:sz w:val="20"/>
              </w:rPr>
            </w:pPr>
            <w:r>
              <w:rPr>
                <w:color w:val="4F81BD" w:themeColor="accent1"/>
                <w:sz w:val="20"/>
              </w:rPr>
              <w:t>Appendix 1</w:t>
            </w:r>
          </w:p>
        </w:tc>
        <w:tc>
          <w:tcPr>
            <w:tcW w:w="2552" w:type="dxa"/>
          </w:tcPr>
          <w:p w14:paraId="46D11F83" w14:textId="3A32DE7C" w:rsidR="00FE0657" w:rsidRDefault="00FE0657" w:rsidP="00FE0657">
            <w:pPr>
              <w:pStyle w:val="TableParagraph"/>
              <w:spacing w:before="96"/>
              <w:ind w:left="95"/>
              <w:rPr>
                <w:rFonts w:ascii="Helvetica Neue"/>
                <w:b/>
                <w:spacing w:val="-2"/>
                <w:sz w:val="20"/>
              </w:rPr>
            </w:pPr>
            <w:r>
              <w:rPr>
                <w:color w:val="3C85C6"/>
                <w:sz w:val="20"/>
              </w:rPr>
              <w:t>League Titles and Divisions</w:t>
            </w:r>
          </w:p>
        </w:tc>
        <w:tc>
          <w:tcPr>
            <w:tcW w:w="6116" w:type="dxa"/>
            <w:vAlign w:val="center"/>
          </w:tcPr>
          <w:p w14:paraId="5FB2B476" w14:textId="4C8E1B67" w:rsidR="00FE0657" w:rsidRDefault="00FE0657" w:rsidP="00FE0657">
            <w:pPr>
              <w:pStyle w:val="TableParagraph"/>
              <w:spacing w:before="115"/>
              <w:ind w:left="90"/>
              <w:rPr>
                <w:rFonts w:ascii="Helvetica Neue"/>
                <w:b/>
                <w:spacing w:val="-2"/>
                <w:sz w:val="20"/>
              </w:rPr>
            </w:pPr>
            <w:r>
              <w:rPr>
                <w:sz w:val="18"/>
              </w:rPr>
              <w:t>Leagues will be named Open/Men and Women. Team names remain the choice of clubs.</w:t>
            </w:r>
          </w:p>
        </w:tc>
      </w:tr>
      <w:tr w:rsidR="00FE0657" w14:paraId="325B59D0" w14:textId="77777777" w:rsidTr="004C102F">
        <w:trPr>
          <w:trHeight w:val="459"/>
        </w:trPr>
        <w:tc>
          <w:tcPr>
            <w:tcW w:w="1552" w:type="dxa"/>
          </w:tcPr>
          <w:p w14:paraId="0F999CC6" w14:textId="1C669B4E" w:rsidR="00FE0657" w:rsidRPr="00EC24C7" w:rsidRDefault="00FE0657" w:rsidP="00FE0657">
            <w:pPr>
              <w:pStyle w:val="TableParagraph"/>
              <w:spacing w:before="85"/>
              <w:ind w:left="25"/>
              <w:jc w:val="center"/>
              <w:rPr>
                <w:color w:val="4F81BD" w:themeColor="accent1"/>
                <w:sz w:val="20"/>
              </w:rPr>
            </w:pPr>
            <w:r w:rsidRPr="00EC24C7">
              <w:rPr>
                <w:color w:val="4F81BD" w:themeColor="accent1"/>
                <w:sz w:val="20"/>
              </w:rPr>
              <w:t>2.11</w:t>
            </w:r>
          </w:p>
        </w:tc>
        <w:tc>
          <w:tcPr>
            <w:tcW w:w="2552" w:type="dxa"/>
          </w:tcPr>
          <w:p w14:paraId="13200DF5" w14:textId="1372342B" w:rsidR="00FE0657" w:rsidRDefault="00FE0657" w:rsidP="00FE0657">
            <w:pPr>
              <w:pStyle w:val="TableParagraph"/>
              <w:spacing w:before="85"/>
              <w:ind w:left="95"/>
              <w:rPr>
                <w:sz w:val="20"/>
              </w:rPr>
            </w:pPr>
            <w:r>
              <w:rPr>
                <w:color w:val="3C85C6"/>
                <w:sz w:val="20"/>
              </w:rPr>
              <w:t>Management</w:t>
            </w:r>
          </w:p>
        </w:tc>
        <w:tc>
          <w:tcPr>
            <w:tcW w:w="6116" w:type="dxa"/>
            <w:vAlign w:val="center"/>
          </w:tcPr>
          <w:p w14:paraId="4FC4220E" w14:textId="001879FD" w:rsidR="00FE0657" w:rsidRDefault="00FE0657" w:rsidP="00FE0657">
            <w:pPr>
              <w:pStyle w:val="TableParagraph"/>
              <w:spacing w:before="117"/>
              <w:ind w:left="90" w:firstLine="57"/>
              <w:rPr>
                <w:sz w:val="18"/>
              </w:rPr>
            </w:pPr>
            <w:r>
              <w:rPr>
                <w:sz w:val="18"/>
              </w:rPr>
              <w:t>Inclusion of new Leagues and their respective grades.</w:t>
            </w:r>
          </w:p>
        </w:tc>
      </w:tr>
      <w:tr w:rsidR="00FE0657" w14:paraId="1152ADC7" w14:textId="77777777" w:rsidTr="004C102F">
        <w:trPr>
          <w:trHeight w:val="459"/>
        </w:trPr>
        <w:tc>
          <w:tcPr>
            <w:tcW w:w="1552" w:type="dxa"/>
          </w:tcPr>
          <w:p w14:paraId="4898784E" w14:textId="27C1E932" w:rsidR="00FE0657" w:rsidRDefault="00FE0657" w:rsidP="00FE0657">
            <w:pPr>
              <w:pStyle w:val="TableParagraph"/>
              <w:spacing w:before="85"/>
              <w:ind w:left="25"/>
              <w:jc w:val="center"/>
              <w:rPr>
                <w:color w:val="4F81BD" w:themeColor="accent1"/>
                <w:sz w:val="20"/>
              </w:rPr>
            </w:pPr>
            <w:r>
              <w:rPr>
                <w:color w:val="4F81BD" w:themeColor="accent1"/>
                <w:sz w:val="20"/>
              </w:rPr>
              <w:t>3.3.2</w:t>
            </w:r>
          </w:p>
        </w:tc>
        <w:tc>
          <w:tcPr>
            <w:tcW w:w="2552" w:type="dxa"/>
          </w:tcPr>
          <w:p w14:paraId="1C4C30DD" w14:textId="37F54DC4" w:rsidR="00FE0657" w:rsidRDefault="00FE0657" w:rsidP="00FE0657">
            <w:pPr>
              <w:pStyle w:val="TableParagraph"/>
              <w:spacing w:before="85"/>
              <w:ind w:left="95"/>
              <w:rPr>
                <w:color w:val="3C85C6"/>
                <w:sz w:val="20"/>
              </w:rPr>
            </w:pPr>
            <w:r>
              <w:rPr>
                <w:color w:val="3C85C6"/>
                <w:sz w:val="20"/>
              </w:rPr>
              <w:t>Team Entry</w:t>
            </w:r>
          </w:p>
        </w:tc>
        <w:tc>
          <w:tcPr>
            <w:tcW w:w="6116" w:type="dxa"/>
            <w:vAlign w:val="center"/>
          </w:tcPr>
          <w:p w14:paraId="747E7EDA" w14:textId="208D5FAA" w:rsidR="00FE0657" w:rsidRPr="00BE5947" w:rsidRDefault="00FE0657" w:rsidP="00FE0657">
            <w:pPr>
              <w:tabs>
                <w:tab w:val="left" w:pos="966"/>
              </w:tabs>
              <w:spacing w:before="152"/>
              <w:ind w:left="13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Club </w:t>
            </w:r>
            <w:r w:rsidRPr="00BE5947">
              <w:rPr>
                <w:color w:val="000000" w:themeColor="text1"/>
                <w:sz w:val="18"/>
                <w:szCs w:val="18"/>
              </w:rPr>
              <w:t>Masters age group teams are expected to be independent of t</w:t>
            </w:r>
            <w:r>
              <w:rPr>
                <w:color w:val="000000" w:themeColor="text1"/>
                <w:sz w:val="18"/>
                <w:szCs w:val="18"/>
              </w:rPr>
              <w:t>eams</w:t>
            </w:r>
            <w:r w:rsidRPr="00BE5947">
              <w:rPr>
                <w:color w:val="000000" w:themeColor="text1"/>
                <w:sz w:val="18"/>
                <w:szCs w:val="18"/>
              </w:rPr>
              <w:t xml:space="preserve"> entered into </w:t>
            </w:r>
            <w:proofErr w:type="gramStart"/>
            <w:r w:rsidRPr="00BE5947">
              <w:rPr>
                <w:color w:val="000000" w:themeColor="text1"/>
                <w:sz w:val="18"/>
                <w:szCs w:val="18"/>
              </w:rPr>
              <w:t>Adult</w:t>
            </w:r>
            <w:proofErr w:type="gramEnd"/>
            <w:r w:rsidRPr="00BE5947">
              <w:rPr>
                <w:color w:val="000000" w:themeColor="text1"/>
                <w:sz w:val="18"/>
                <w:szCs w:val="18"/>
              </w:rPr>
              <w:t xml:space="preserve"> leagues.</w:t>
            </w:r>
          </w:p>
          <w:p w14:paraId="31FB50AC" w14:textId="6F78C0E3" w:rsidR="00FE0657" w:rsidRDefault="00FE0657" w:rsidP="00FE0657">
            <w:pPr>
              <w:pStyle w:val="TableParagraph"/>
              <w:spacing w:before="117"/>
              <w:ind w:left="147"/>
              <w:rPr>
                <w:sz w:val="18"/>
              </w:rPr>
            </w:pPr>
          </w:p>
        </w:tc>
      </w:tr>
      <w:tr w:rsidR="00FE0657" w14:paraId="228532BD" w14:textId="77777777" w:rsidTr="004C102F">
        <w:trPr>
          <w:trHeight w:val="459"/>
        </w:trPr>
        <w:tc>
          <w:tcPr>
            <w:tcW w:w="1552" w:type="dxa"/>
          </w:tcPr>
          <w:p w14:paraId="7A0BC4FA" w14:textId="712E2832" w:rsidR="00FE0657" w:rsidRPr="00EC24C7" w:rsidRDefault="00FE0657" w:rsidP="00FE0657">
            <w:pPr>
              <w:pStyle w:val="TableParagraph"/>
              <w:spacing w:before="85"/>
              <w:ind w:left="25"/>
              <w:jc w:val="center"/>
              <w:rPr>
                <w:color w:val="4F81BD" w:themeColor="accent1"/>
              </w:rPr>
            </w:pPr>
            <w:r w:rsidRPr="00EC24C7">
              <w:rPr>
                <w:color w:val="4F81BD" w:themeColor="accent1"/>
              </w:rPr>
              <w:t>4.5.</w:t>
            </w:r>
            <w:r>
              <w:rPr>
                <w:color w:val="4F81BD" w:themeColor="accent1"/>
              </w:rPr>
              <w:t>3</w:t>
            </w:r>
          </w:p>
        </w:tc>
        <w:tc>
          <w:tcPr>
            <w:tcW w:w="2552" w:type="dxa"/>
          </w:tcPr>
          <w:p w14:paraId="3090AD92" w14:textId="1350E4DF" w:rsidR="00FE0657" w:rsidRDefault="00FE0657" w:rsidP="00FE0657">
            <w:pPr>
              <w:pStyle w:val="TableParagraph"/>
              <w:spacing w:before="85"/>
              <w:ind w:left="95"/>
              <w:rPr>
                <w:color w:val="3C85C6"/>
                <w:sz w:val="20"/>
              </w:rPr>
            </w:pPr>
            <w:r>
              <w:rPr>
                <w:color w:val="3C85C6"/>
                <w:sz w:val="20"/>
              </w:rPr>
              <w:t>Promotion &amp; Relegation</w:t>
            </w:r>
          </w:p>
        </w:tc>
        <w:tc>
          <w:tcPr>
            <w:tcW w:w="6116" w:type="dxa"/>
            <w:vAlign w:val="center"/>
          </w:tcPr>
          <w:p w14:paraId="690A1C7B" w14:textId="77777777" w:rsidR="00FE0657" w:rsidRDefault="00FE0657" w:rsidP="00FE0657">
            <w:pPr>
              <w:pStyle w:val="TableParagraph"/>
              <w:spacing w:before="117"/>
              <w:ind w:left="147"/>
              <w:rPr>
                <w:sz w:val="18"/>
              </w:rPr>
            </w:pPr>
            <w:r>
              <w:rPr>
                <w:sz w:val="18"/>
              </w:rPr>
              <w:t>Additional scenario for MO50 league with one higher and two equal lower Divisions.</w:t>
            </w:r>
          </w:p>
          <w:p w14:paraId="395F9288" w14:textId="2017EBC0" w:rsidR="00FE0657" w:rsidRDefault="00FE0657" w:rsidP="00FE0657">
            <w:pPr>
              <w:pStyle w:val="TableParagraph"/>
              <w:spacing w:before="117"/>
              <w:ind w:left="90" w:firstLine="57"/>
              <w:rPr>
                <w:sz w:val="18"/>
              </w:rPr>
            </w:pPr>
          </w:p>
        </w:tc>
      </w:tr>
      <w:tr w:rsidR="00FE0657" w14:paraId="134BB59F" w14:textId="77777777" w:rsidTr="004C102F">
        <w:trPr>
          <w:trHeight w:val="459"/>
        </w:trPr>
        <w:tc>
          <w:tcPr>
            <w:tcW w:w="1552" w:type="dxa"/>
          </w:tcPr>
          <w:p w14:paraId="26D5574A" w14:textId="563E3E05" w:rsidR="00FE0657" w:rsidRPr="00EC24C7" w:rsidRDefault="00FE0657" w:rsidP="00FE0657">
            <w:pPr>
              <w:pStyle w:val="TableParagraph"/>
              <w:spacing w:before="85"/>
              <w:ind w:left="25"/>
              <w:jc w:val="center"/>
              <w:rPr>
                <w:color w:val="4F81BD" w:themeColor="accent1"/>
              </w:rPr>
            </w:pPr>
            <w:r>
              <w:rPr>
                <w:color w:val="3C85C6"/>
                <w:spacing w:val="-10"/>
                <w:sz w:val="20"/>
              </w:rPr>
              <w:t>7.1.</w:t>
            </w:r>
            <w:r>
              <w:rPr>
                <w:color w:val="3C85C6"/>
                <w:spacing w:val="-10"/>
                <w:sz w:val="20"/>
              </w:rPr>
              <w:t>(a)</w:t>
            </w:r>
          </w:p>
        </w:tc>
        <w:tc>
          <w:tcPr>
            <w:tcW w:w="2552" w:type="dxa"/>
          </w:tcPr>
          <w:p w14:paraId="61827624" w14:textId="7ABB19D2" w:rsidR="00FE0657" w:rsidRDefault="00FE0657" w:rsidP="00FE0657">
            <w:pPr>
              <w:pStyle w:val="TableParagraph"/>
              <w:spacing w:before="85"/>
              <w:ind w:left="95"/>
              <w:rPr>
                <w:color w:val="3C85C6"/>
                <w:sz w:val="20"/>
              </w:rPr>
            </w:pPr>
            <w:r>
              <w:rPr>
                <w:color w:val="3C85C6"/>
                <w:spacing w:val="-2"/>
                <w:sz w:val="20"/>
              </w:rPr>
              <w:t>Club Registration</w:t>
            </w:r>
          </w:p>
        </w:tc>
        <w:tc>
          <w:tcPr>
            <w:tcW w:w="6116" w:type="dxa"/>
            <w:vAlign w:val="center"/>
          </w:tcPr>
          <w:p w14:paraId="64FB2F1F" w14:textId="52650D32" w:rsidR="00FE0657" w:rsidRDefault="00FE0657" w:rsidP="00FE0657">
            <w:pPr>
              <w:pStyle w:val="TableParagraph"/>
              <w:spacing w:before="117"/>
              <w:ind w:left="147"/>
              <w:rPr>
                <w:sz w:val="18"/>
              </w:rPr>
            </w:pPr>
            <w:r w:rsidRPr="00DF55DB">
              <w:rPr>
                <w:color w:val="000000" w:themeColor="text1"/>
                <w:sz w:val="18"/>
                <w:szCs w:val="18"/>
              </w:rPr>
              <w:t>It is highly recommended that MO60 South are also registered on the GMS and match sheets are completed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E0657" w14:paraId="1B0E8EAB" w14:textId="77777777" w:rsidTr="004C102F">
        <w:trPr>
          <w:trHeight w:val="620"/>
        </w:trPr>
        <w:tc>
          <w:tcPr>
            <w:tcW w:w="1552" w:type="dxa"/>
          </w:tcPr>
          <w:p w14:paraId="5FAD91C8" w14:textId="1B283AC6" w:rsidR="00FE0657" w:rsidRDefault="00FE0657" w:rsidP="00FE0657">
            <w:pPr>
              <w:pStyle w:val="TableParagraph"/>
              <w:spacing w:before="171"/>
              <w:ind w:left="25"/>
              <w:jc w:val="center"/>
              <w:rPr>
                <w:color w:val="3C85C6"/>
                <w:spacing w:val="-10"/>
                <w:sz w:val="20"/>
              </w:rPr>
            </w:pPr>
            <w:r>
              <w:rPr>
                <w:color w:val="3C85C6"/>
                <w:spacing w:val="-10"/>
                <w:sz w:val="20"/>
              </w:rPr>
              <w:t>7.2.1</w:t>
            </w:r>
          </w:p>
        </w:tc>
        <w:tc>
          <w:tcPr>
            <w:tcW w:w="2552" w:type="dxa"/>
          </w:tcPr>
          <w:p w14:paraId="20BE7E13" w14:textId="377D2576" w:rsidR="00FE0657" w:rsidRDefault="00FE0657" w:rsidP="00FE0657">
            <w:pPr>
              <w:pStyle w:val="TableParagraph"/>
              <w:spacing w:before="171"/>
              <w:ind w:left="95"/>
              <w:rPr>
                <w:color w:val="3C85C6"/>
                <w:spacing w:val="-2"/>
                <w:sz w:val="20"/>
              </w:rPr>
            </w:pPr>
            <w:r>
              <w:rPr>
                <w:color w:val="3C85C6"/>
                <w:spacing w:val="-2"/>
                <w:sz w:val="20"/>
              </w:rPr>
              <w:t>Age Requirements</w:t>
            </w:r>
          </w:p>
        </w:tc>
        <w:tc>
          <w:tcPr>
            <w:tcW w:w="6116" w:type="dxa"/>
            <w:vAlign w:val="center"/>
          </w:tcPr>
          <w:p w14:paraId="46F75F44" w14:textId="7A6D2A93" w:rsidR="00FE0657" w:rsidRPr="00C41239" w:rsidRDefault="00FE0657" w:rsidP="00FE0657">
            <w:pPr>
              <w:pStyle w:val="TableParagraph"/>
              <w:spacing w:before="90" w:line="249" w:lineRule="auto"/>
              <w:ind w:left="147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</w:t>
            </w:r>
            <w:r w:rsidRPr="00C41239">
              <w:rPr>
                <w:color w:val="000000" w:themeColor="text1"/>
                <w:sz w:val="18"/>
                <w:szCs w:val="18"/>
              </w:rPr>
              <w:t>o more than</w:t>
            </w:r>
            <w:r>
              <w:rPr>
                <w:color w:val="000000" w:themeColor="text1"/>
                <w:sz w:val="18"/>
                <w:szCs w:val="18"/>
              </w:rPr>
              <w:t xml:space="preserve"> the stated number of underage players </w:t>
            </w:r>
            <w:r w:rsidRPr="00C41239">
              <w:rPr>
                <w:color w:val="000000" w:themeColor="text1"/>
                <w:sz w:val="18"/>
                <w:szCs w:val="18"/>
              </w:rPr>
              <w:t xml:space="preserve">may be </w:t>
            </w:r>
            <w:r>
              <w:rPr>
                <w:color w:val="000000" w:themeColor="text1"/>
                <w:sz w:val="18"/>
                <w:szCs w:val="18"/>
              </w:rPr>
              <w:t xml:space="preserve">played </w:t>
            </w:r>
            <w:r w:rsidRPr="00C41239">
              <w:rPr>
                <w:color w:val="000000" w:themeColor="text1"/>
                <w:sz w:val="18"/>
                <w:szCs w:val="18"/>
              </w:rPr>
              <w:t>in a single match day squad</w:t>
            </w:r>
            <w:r w:rsidR="0085310A">
              <w:rPr>
                <w:color w:val="000000" w:themeColor="text1"/>
                <w:sz w:val="18"/>
                <w:szCs w:val="18"/>
              </w:rPr>
              <w:t>,</w:t>
            </w:r>
            <w:r w:rsidRPr="00C41239">
              <w:rPr>
                <w:color w:val="000000" w:themeColor="text1"/>
                <w:sz w:val="18"/>
                <w:szCs w:val="18"/>
              </w:rPr>
              <w:t xml:space="preserve"> rather than team taking the pitch.</w:t>
            </w:r>
          </w:p>
        </w:tc>
      </w:tr>
      <w:tr w:rsidR="00FE0657" w14:paraId="6C61DE02" w14:textId="77777777" w:rsidTr="004C102F">
        <w:trPr>
          <w:trHeight w:val="620"/>
        </w:trPr>
        <w:tc>
          <w:tcPr>
            <w:tcW w:w="1552" w:type="dxa"/>
          </w:tcPr>
          <w:p w14:paraId="2D9D5198" w14:textId="69B56F80" w:rsidR="00FE0657" w:rsidRDefault="00FE0657" w:rsidP="00FE0657">
            <w:pPr>
              <w:pStyle w:val="TableParagraph"/>
              <w:spacing w:before="171"/>
              <w:ind w:left="25"/>
              <w:jc w:val="center"/>
              <w:rPr>
                <w:color w:val="3C85C6"/>
                <w:spacing w:val="-10"/>
                <w:sz w:val="20"/>
              </w:rPr>
            </w:pPr>
            <w:r>
              <w:rPr>
                <w:color w:val="3C85C6"/>
                <w:spacing w:val="-10"/>
                <w:sz w:val="20"/>
              </w:rPr>
              <w:t>7.3</w:t>
            </w:r>
          </w:p>
        </w:tc>
        <w:tc>
          <w:tcPr>
            <w:tcW w:w="2552" w:type="dxa"/>
          </w:tcPr>
          <w:p w14:paraId="07500F2F" w14:textId="61333ED2" w:rsidR="00FE0657" w:rsidRDefault="00FE0657" w:rsidP="00FE0657">
            <w:pPr>
              <w:pStyle w:val="TableParagraph"/>
              <w:spacing w:before="171"/>
              <w:ind w:left="95"/>
              <w:rPr>
                <w:color w:val="3C85C6"/>
                <w:spacing w:val="-2"/>
                <w:sz w:val="20"/>
              </w:rPr>
            </w:pPr>
            <w:r>
              <w:rPr>
                <w:color w:val="3C85C6"/>
                <w:spacing w:val="-2"/>
                <w:sz w:val="20"/>
              </w:rPr>
              <w:t>Competition Categories</w:t>
            </w:r>
          </w:p>
        </w:tc>
        <w:tc>
          <w:tcPr>
            <w:tcW w:w="6116" w:type="dxa"/>
            <w:vAlign w:val="center"/>
          </w:tcPr>
          <w:p w14:paraId="2563452F" w14:textId="16230ECC" w:rsidR="00FE0657" w:rsidRDefault="00FE0657" w:rsidP="00FE0657">
            <w:pPr>
              <w:tabs>
                <w:tab w:val="left" w:pos="910"/>
              </w:tabs>
              <w:spacing w:before="125" w:line="276" w:lineRule="auto"/>
              <w:ind w:left="147" w:right="335"/>
              <w:rPr>
                <w:color w:val="000000" w:themeColor="text1"/>
                <w:sz w:val="18"/>
                <w:szCs w:val="18"/>
              </w:rPr>
            </w:pPr>
            <w:r w:rsidRPr="00DF55DB">
              <w:rPr>
                <w:color w:val="313131"/>
                <w:sz w:val="18"/>
                <w:szCs w:val="18"/>
              </w:rPr>
              <w:t>Players</w:t>
            </w:r>
            <w:r w:rsidRPr="00DF55DB">
              <w:rPr>
                <w:color w:val="313131"/>
                <w:spacing w:val="-9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shall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play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in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the</w:t>
            </w:r>
            <w:r w:rsidRPr="00DF55DB">
              <w:rPr>
                <w:color w:val="313131"/>
                <w:spacing w:val="-9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relevant</w:t>
            </w:r>
            <w:r w:rsidRPr="00DF55DB">
              <w:rPr>
                <w:color w:val="313131"/>
                <w:spacing w:val="-9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competition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as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determined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by</w:t>
            </w:r>
            <w:r w:rsidRPr="00DF55DB">
              <w:rPr>
                <w:color w:val="313131"/>
                <w:spacing w:val="-11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>England</w:t>
            </w:r>
            <w:r w:rsidRPr="00DF55DB">
              <w:rPr>
                <w:color w:val="313131"/>
                <w:spacing w:val="-10"/>
                <w:sz w:val="18"/>
                <w:szCs w:val="18"/>
              </w:rPr>
              <w:t xml:space="preserve"> </w:t>
            </w:r>
            <w:r w:rsidRPr="00DF55DB">
              <w:rPr>
                <w:color w:val="313131"/>
                <w:sz w:val="18"/>
                <w:szCs w:val="18"/>
              </w:rPr>
              <w:t xml:space="preserve">Hockey </w:t>
            </w:r>
            <w:r>
              <w:rPr>
                <w:color w:val="313131"/>
                <w:sz w:val="18"/>
                <w:szCs w:val="18"/>
              </w:rPr>
              <w:t xml:space="preserve">Trans and Non-Binary Participation </w:t>
            </w:r>
            <w:r>
              <w:rPr>
                <w:color w:val="313131"/>
                <w:spacing w:val="-2"/>
                <w:sz w:val="18"/>
                <w:szCs w:val="18"/>
              </w:rPr>
              <w:t>P</w:t>
            </w:r>
            <w:r w:rsidRPr="00DF55DB">
              <w:rPr>
                <w:color w:val="313131"/>
                <w:spacing w:val="-2"/>
                <w:sz w:val="18"/>
                <w:szCs w:val="18"/>
              </w:rPr>
              <w:t>olic</w:t>
            </w:r>
            <w:r>
              <w:rPr>
                <w:color w:val="313131"/>
                <w:spacing w:val="-2"/>
                <w:sz w:val="18"/>
                <w:szCs w:val="18"/>
              </w:rPr>
              <w:t>y</w:t>
            </w:r>
          </w:p>
        </w:tc>
      </w:tr>
      <w:tr w:rsidR="00FE0657" w14:paraId="22C4C145" w14:textId="77777777" w:rsidTr="004C102F">
        <w:trPr>
          <w:trHeight w:val="620"/>
        </w:trPr>
        <w:tc>
          <w:tcPr>
            <w:tcW w:w="1552" w:type="dxa"/>
          </w:tcPr>
          <w:p w14:paraId="3A0616D1" w14:textId="22F8FAEB" w:rsidR="00FE0657" w:rsidRDefault="00FE0657" w:rsidP="00FE0657">
            <w:pPr>
              <w:pStyle w:val="TableParagraph"/>
              <w:spacing w:before="171"/>
              <w:ind w:left="25"/>
              <w:jc w:val="center"/>
              <w:rPr>
                <w:color w:val="3C85C6"/>
                <w:spacing w:val="-10"/>
                <w:sz w:val="20"/>
              </w:rPr>
            </w:pPr>
            <w:r>
              <w:rPr>
                <w:color w:val="3C85C6"/>
                <w:spacing w:val="-10"/>
                <w:sz w:val="20"/>
              </w:rPr>
              <w:t xml:space="preserve">8.4.2 </w:t>
            </w:r>
            <w:r w:rsidR="002774D9">
              <w:rPr>
                <w:color w:val="3C85C6"/>
                <w:spacing w:val="-10"/>
                <w:sz w:val="20"/>
              </w:rPr>
              <w:t>c</w:t>
            </w:r>
          </w:p>
        </w:tc>
        <w:tc>
          <w:tcPr>
            <w:tcW w:w="2552" w:type="dxa"/>
            <w:vMerge w:val="restart"/>
          </w:tcPr>
          <w:p w14:paraId="16A630F6" w14:textId="4157E377" w:rsidR="00FE0657" w:rsidRDefault="00FE0657" w:rsidP="00FE0657">
            <w:pPr>
              <w:pStyle w:val="TableParagraph"/>
              <w:spacing w:before="171"/>
              <w:ind w:left="95"/>
              <w:rPr>
                <w:color w:val="3C85C6"/>
                <w:spacing w:val="-2"/>
                <w:sz w:val="20"/>
              </w:rPr>
            </w:pPr>
            <w:r>
              <w:rPr>
                <w:color w:val="3C85C6"/>
                <w:spacing w:val="-2"/>
                <w:sz w:val="20"/>
              </w:rPr>
              <w:t>Doubling Up</w:t>
            </w:r>
          </w:p>
        </w:tc>
        <w:tc>
          <w:tcPr>
            <w:tcW w:w="6116" w:type="dxa"/>
            <w:vAlign w:val="center"/>
          </w:tcPr>
          <w:p w14:paraId="65F4B568" w14:textId="3145DD5A" w:rsidR="00FE0657" w:rsidRPr="00395185" w:rsidRDefault="00FE0657" w:rsidP="00FE0657">
            <w:pPr>
              <w:tabs>
                <w:tab w:val="left" w:pos="1193"/>
              </w:tabs>
              <w:spacing w:before="37"/>
              <w:ind w:left="147"/>
              <w:rPr>
                <w:sz w:val="18"/>
                <w:szCs w:val="18"/>
              </w:rPr>
            </w:pPr>
            <w:r w:rsidRPr="00395185">
              <w:rPr>
                <w:spacing w:val="-2"/>
                <w:sz w:val="18"/>
                <w:szCs w:val="18"/>
              </w:rPr>
              <w:t xml:space="preserve">Not permitted across clubs in Masters Leagues unless agreed by match day teams and the </w:t>
            </w:r>
            <w:r>
              <w:rPr>
                <w:spacing w:val="-2"/>
                <w:sz w:val="18"/>
                <w:szCs w:val="18"/>
              </w:rPr>
              <w:t>MMLC.</w:t>
            </w:r>
          </w:p>
          <w:p w14:paraId="00B10977" w14:textId="05401491" w:rsidR="00FE0657" w:rsidRPr="00DF55DB" w:rsidRDefault="00FE0657" w:rsidP="00FE0657">
            <w:pPr>
              <w:tabs>
                <w:tab w:val="left" w:pos="1193"/>
              </w:tabs>
              <w:spacing w:before="37"/>
              <w:ind w:firstLine="57"/>
              <w:rPr>
                <w:color w:val="000000" w:themeColor="text1"/>
                <w:sz w:val="18"/>
                <w:szCs w:val="18"/>
              </w:rPr>
            </w:pPr>
          </w:p>
        </w:tc>
      </w:tr>
      <w:tr w:rsidR="00FE0657" w14:paraId="391602E7" w14:textId="77777777" w:rsidTr="004C102F">
        <w:trPr>
          <w:trHeight w:val="620"/>
        </w:trPr>
        <w:tc>
          <w:tcPr>
            <w:tcW w:w="1552" w:type="dxa"/>
          </w:tcPr>
          <w:p w14:paraId="29323115" w14:textId="547ABD2A" w:rsidR="00FE0657" w:rsidRDefault="00FE0657" w:rsidP="00FE0657">
            <w:pPr>
              <w:pStyle w:val="TableParagraph"/>
              <w:spacing w:before="171"/>
              <w:ind w:left="25"/>
              <w:jc w:val="center"/>
              <w:rPr>
                <w:color w:val="3C85C6"/>
                <w:spacing w:val="-10"/>
                <w:sz w:val="20"/>
              </w:rPr>
            </w:pPr>
            <w:r>
              <w:rPr>
                <w:color w:val="3C85C6"/>
                <w:spacing w:val="-10"/>
                <w:sz w:val="20"/>
              </w:rPr>
              <w:t>Appendix 4.1</w:t>
            </w:r>
          </w:p>
        </w:tc>
        <w:tc>
          <w:tcPr>
            <w:tcW w:w="2552" w:type="dxa"/>
            <w:vMerge/>
          </w:tcPr>
          <w:p w14:paraId="0591C461" w14:textId="3A3FEC45" w:rsidR="00FE0657" w:rsidRDefault="00FE0657" w:rsidP="00FE0657">
            <w:pPr>
              <w:pStyle w:val="TableParagraph"/>
              <w:spacing w:before="171"/>
              <w:ind w:left="95"/>
              <w:rPr>
                <w:color w:val="3C85C6"/>
                <w:spacing w:val="-2"/>
                <w:sz w:val="20"/>
              </w:rPr>
            </w:pPr>
          </w:p>
        </w:tc>
        <w:tc>
          <w:tcPr>
            <w:tcW w:w="6116" w:type="dxa"/>
            <w:vAlign w:val="center"/>
          </w:tcPr>
          <w:p w14:paraId="6D4F29D6" w14:textId="77777777" w:rsidR="00FE0657" w:rsidRPr="00395185" w:rsidRDefault="00FE0657" w:rsidP="00FE0657">
            <w:pPr>
              <w:pStyle w:val="BodyText"/>
              <w:spacing w:before="96" w:line="276" w:lineRule="auto"/>
              <w:ind w:left="147"/>
              <w:rPr>
                <w:sz w:val="18"/>
                <w:szCs w:val="18"/>
              </w:rPr>
            </w:pPr>
            <w:r w:rsidRPr="00395185">
              <w:rPr>
                <w:color w:val="313131"/>
                <w:w w:val="105"/>
                <w:sz w:val="18"/>
                <w:szCs w:val="18"/>
              </w:rPr>
              <w:t>Doubling</w:t>
            </w:r>
            <w:r w:rsidRPr="00395185">
              <w:rPr>
                <w:color w:val="313131"/>
                <w:spacing w:val="-17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up,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defined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as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playing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in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multiple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teams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within adult and/or masters leagues </w:t>
            </w:r>
            <w:r w:rsidRPr="00395185">
              <w:rPr>
                <w:color w:val="313131"/>
                <w:w w:val="105"/>
                <w:sz w:val="18"/>
                <w:szCs w:val="18"/>
              </w:rPr>
              <w:t>on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the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same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matchday,</w:t>
            </w:r>
            <w:r w:rsidRPr="00395185">
              <w:rPr>
                <w:color w:val="313131"/>
                <w:spacing w:val="-15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is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generally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>not</w:t>
            </w:r>
            <w:r w:rsidRPr="00395185">
              <w:rPr>
                <w:color w:val="313131"/>
                <w:spacing w:val="-15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w w:val="105"/>
                <w:sz w:val="18"/>
                <w:szCs w:val="18"/>
              </w:rPr>
              <w:t xml:space="preserve">permitted </w:t>
            </w:r>
            <w:r w:rsidRPr="00395185">
              <w:rPr>
                <w:color w:val="313131"/>
                <w:sz w:val="18"/>
                <w:szCs w:val="18"/>
              </w:rPr>
              <w:t xml:space="preserve">except in specific cases. This includes </w:t>
            </w:r>
            <w:r w:rsidRPr="00395185">
              <w:rPr>
                <w:color w:val="313131"/>
                <w:spacing w:val="-16"/>
                <w:w w:val="105"/>
                <w:sz w:val="18"/>
                <w:szCs w:val="18"/>
              </w:rPr>
              <w:t xml:space="preserve">across Masters clubs. </w:t>
            </w:r>
            <w:r w:rsidRPr="00395185">
              <w:rPr>
                <w:color w:val="313131"/>
                <w:sz w:val="18"/>
                <w:szCs w:val="18"/>
              </w:rPr>
              <w:t xml:space="preserve">Any exception to the doubling up restrictions for a Masters match will require permission from the </w:t>
            </w:r>
            <w:r>
              <w:rPr>
                <w:color w:val="313131"/>
                <w:sz w:val="18"/>
                <w:szCs w:val="18"/>
              </w:rPr>
              <w:t>MMLC</w:t>
            </w:r>
            <w:r w:rsidRPr="00395185">
              <w:rPr>
                <w:color w:val="313131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which</w:t>
            </w:r>
            <w:r w:rsidRPr="00395185">
              <w:rPr>
                <w:color w:val="313131"/>
                <w:spacing w:val="-7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may be</w:t>
            </w:r>
            <w:r w:rsidRPr="00395185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granted</w:t>
            </w:r>
            <w:r w:rsidRPr="00395185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on</w:t>
            </w:r>
            <w:r w:rsidRPr="00395185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a</w:t>
            </w:r>
            <w:r w:rsidRPr="00395185">
              <w:rPr>
                <w:color w:val="313131"/>
                <w:spacing w:val="-11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case-by-case</w:t>
            </w:r>
            <w:r w:rsidRPr="00395185">
              <w:rPr>
                <w:color w:val="313131"/>
                <w:spacing w:val="-8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basis</w:t>
            </w:r>
            <w:r w:rsidRPr="00395185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for</w:t>
            </w:r>
            <w:r w:rsidRPr="00395185">
              <w:rPr>
                <w:color w:val="313131"/>
                <w:spacing w:val="-7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situations</w:t>
            </w:r>
            <w:r w:rsidRPr="00395185">
              <w:rPr>
                <w:color w:val="313131"/>
                <w:spacing w:val="-7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not</w:t>
            </w:r>
            <w:r w:rsidRPr="00395185">
              <w:rPr>
                <w:color w:val="313131"/>
                <w:spacing w:val="-10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covered</w:t>
            </w:r>
            <w:r w:rsidRPr="00395185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by</w:t>
            </w:r>
            <w:r w:rsidRPr="00395185">
              <w:rPr>
                <w:color w:val="313131"/>
                <w:spacing w:val="-10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these</w:t>
            </w:r>
            <w:r w:rsidRPr="00395185">
              <w:rPr>
                <w:color w:val="313131"/>
                <w:spacing w:val="-10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general</w:t>
            </w:r>
            <w:r w:rsidRPr="00395185">
              <w:rPr>
                <w:color w:val="313131"/>
                <w:spacing w:val="-7"/>
                <w:w w:val="105"/>
                <w:sz w:val="18"/>
                <w:szCs w:val="18"/>
              </w:rPr>
              <w:t xml:space="preserve"> </w:t>
            </w:r>
            <w:r w:rsidRPr="00395185">
              <w:rPr>
                <w:color w:val="313131"/>
                <w:spacing w:val="-2"/>
                <w:w w:val="105"/>
                <w:sz w:val="18"/>
                <w:szCs w:val="18"/>
              </w:rPr>
              <w:t>guidelines.</w:t>
            </w:r>
          </w:p>
          <w:p w14:paraId="4427773C" w14:textId="6A9BD027" w:rsidR="00FE0657" w:rsidRPr="00395185" w:rsidRDefault="00FE0657" w:rsidP="00FE0657">
            <w:pPr>
              <w:tabs>
                <w:tab w:val="left" w:pos="1193"/>
              </w:tabs>
              <w:spacing w:before="37"/>
              <w:ind w:left="147"/>
              <w:rPr>
                <w:spacing w:val="-2"/>
                <w:sz w:val="18"/>
                <w:szCs w:val="18"/>
              </w:rPr>
            </w:pPr>
          </w:p>
        </w:tc>
      </w:tr>
      <w:tr w:rsidR="00FE0657" w14:paraId="07443145" w14:textId="77777777" w:rsidTr="004C102F">
        <w:trPr>
          <w:trHeight w:val="640"/>
        </w:trPr>
        <w:tc>
          <w:tcPr>
            <w:tcW w:w="1552" w:type="dxa"/>
          </w:tcPr>
          <w:p w14:paraId="4C7DB4FC" w14:textId="698B1FF5" w:rsidR="00FE0657" w:rsidRDefault="00FE0657" w:rsidP="00FE0657">
            <w:pPr>
              <w:pStyle w:val="TableParagraph"/>
              <w:spacing w:before="176"/>
              <w:ind w:left="25"/>
              <w:jc w:val="center"/>
              <w:rPr>
                <w:sz w:val="20"/>
              </w:rPr>
            </w:pPr>
            <w:r>
              <w:rPr>
                <w:color w:val="3C85C6"/>
                <w:spacing w:val="-5"/>
                <w:sz w:val="20"/>
              </w:rPr>
              <w:t>9.1</w:t>
            </w:r>
          </w:p>
        </w:tc>
        <w:tc>
          <w:tcPr>
            <w:tcW w:w="2552" w:type="dxa"/>
          </w:tcPr>
          <w:p w14:paraId="0D950A88" w14:textId="78C7A2F3" w:rsidR="00FE0657" w:rsidRDefault="00FE0657" w:rsidP="00FE0657">
            <w:pPr>
              <w:pStyle w:val="TableParagraph"/>
              <w:spacing w:before="176"/>
              <w:ind w:left="95"/>
              <w:rPr>
                <w:sz w:val="20"/>
              </w:rPr>
            </w:pPr>
            <w:r>
              <w:rPr>
                <w:color w:val="3C85C6"/>
                <w:sz w:val="20"/>
              </w:rPr>
              <w:t>Teams, Match Sheets and Results</w:t>
            </w:r>
          </w:p>
        </w:tc>
        <w:tc>
          <w:tcPr>
            <w:tcW w:w="6116" w:type="dxa"/>
          </w:tcPr>
          <w:p w14:paraId="29C1B4DC" w14:textId="1C4BE1D7" w:rsidR="00FE0657" w:rsidRDefault="00FE0657" w:rsidP="00FE0657">
            <w:pPr>
              <w:pStyle w:val="TableParagraph"/>
              <w:spacing w:before="95" w:line="249" w:lineRule="auto"/>
              <w:ind w:left="90"/>
              <w:rPr>
                <w:sz w:val="18"/>
              </w:rPr>
            </w:pPr>
            <w:r>
              <w:rPr>
                <w:sz w:val="18"/>
              </w:rPr>
              <w:t>Team sheets required on GMS for MO40, MO50, MO60 Premier, WO35, WO45. Highly recommend for MO60 South</w:t>
            </w:r>
          </w:p>
        </w:tc>
      </w:tr>
      <w:tr w:rsidR="00FE0657" w14:paraId="58D86BD4" w14:textId="77777777" w:rsidTr="004C102F">
        <w:trPr>
          <w:trHeight w:val="640"/>
        </w:trPr>
        <w:tc>
          <w:tcPr>
            <w:tcW w:w="1552" w:type="dxa"/>
          </w:tcPr>
          <w:p w14:paraId="66120C38" w14:textId="0E4864CB" w:rsidR="00FE0657" w:rsidRDefault="00FE0657" w:rsidP="00FE0657">
            <w:pPr>
              <w:pStyle w:val="TableParagraph"/>
              <w:spacing w:before="176"/>
              <w:ind w:left="25"/>
              <w:jc w:val="center"/>
              <w:rPr>
                <w:color w:val="3C85C6"/>
                <w:spacing w:val="-5"/>
                <w:sz w:val="20"/>
              </w:rPr>
            </w:pPr>
            <w:r>
              <w:rPr>
                <w:color w:val="3C85C6"/>
                <w:spacing w:val="-5"/>
                <w:sz w:val="20"/>
              </w:rPr>
              <w:t>13.3.1</w:t>
            </w:r>
            <w:r w:rsidR="002774D9">
              <w:rPr>
                <w:color w:val="3C85C6"/>
                <w:spacing w:val="-5"/>
                <w:sz w:val="20"/>
              </w:rPr>
              <w:t>a</w:t>
            </w:r>
          </w:p>
        </w:tc>
        <w:tc>
          <w:tcPr>
            <w:tcW w:w="2552" w:type="dxa"/>
          </w:tcPr>
          <w:p w14:paraId="5D6BA5CC" w14:textId="6697F737" w:rsidR="00FE0657" w:rsidRDefault="00FE0657" w:rsidP="00FE0657">
            <w:pPr>
              <w:pStyle w:val="TableParagraph"/>
              <w:spacing w:before="176"/>
              <w:ind w:left="95"/>
              <w:rPr>
                <w:color w:val="3C85C6"/>
                <w:sz w:val="20"/>
              </w:rPr>
            </w:pPr>
            <w:r>
              <w:rPr>
                <w:color w:val="3C85C6"/>
                <w:sz w:val="20"/>
              </w:rPr>
              <w:t>Rearrangement Procedures</w:t>
            </w:r>
          </w:p>
        </w:tc>
        <w:tc>
          <w:tcPr>
            <w:tcW w:w="6116" w:type="dxa"/>
          </w:tcPr>
          <w:p w14:paraId="05C45AB4" w14:textId="7B9CCDDC" w:rsidR="00FE0657" w:rsidRPr="00C07B58" w:rsidRDefault="002774D9" w:rsidP="00C07B58">
            <w:pPr>
              <w:tabs>
                <w:tab w:val="left" w:pos="1305"/>
                <w:tab w:val="left" w:pos="1307"/>
              </w:tabs>
              <w:spacing w:before="65" w:line="276" w:lineRule="auto"/>
              <w:ind w:left="137" w:right="171"/>
            </w:pP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A</w:t>
            </w:r>
            <w:r w:rsidRPr="00A576EF">
              <w:rPr>
                <w:color w:val="313131"/>
                <w:spacing w:val="-12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new</w:t>
            </w:r>
            <w:r w:rsidRPr="00A576EF">
              <w:rPr>
                <w:color w:val="313131"/>
                <w:spacing w:val="-10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date</w:t>
            </w:r>
            <w:r w:rsidRPr="00A576EF">
              <w:rPr>
                <w:color w:val="313131"/>
                <w:spacing w:val="-12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for</w:t>
            </w:r>
            <w:r w:rsidRPr="00A576EF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postponed</w:t>
            </w:r>
            <w:r w:rsidRPr="00A576EF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or</w:t>
            </w:r>
            <w:r w:rsidRPr="00A576EF">
              <w:rPr>
                <w:color w:val="313131"/>
                <w:spacing w:val="-11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abandoned</w:t>
            </w:r>
            <w:r w:rsidRPr="00A576EF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matches</w:t>
            </w:r>
            <w:r w:rsidRPr="00A576EF">
              <w:rPr>
                <w:color w:val="313131"/>
                <w:spacing w:val="-11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must</w:t>
            </w:r>
            <w:r w:rsidRPr="00A576EF">
              <w:rPr>
                <w:color w:val="313131"/>
                <w:spacing w:val="-10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be</w:t>
            </w:r>
            <w:r w:rsidRPr="00A576EF">
              <w:rPr>
                <w:color w:val="313131"/>
                <w:spacing w:val="-10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agreed</w:t>
            </w:r>
            <w:r w:rsidRPr="00A576EF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within</w:t>
            </w:r>
            <w:r w:rsidRPr="00A576EF">
              <w:rPr>
                <w:color w:val="313131"/>
                <w:spacing w:val="-9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>10</w:t>
            </w:r>
            <w:r w:rsidRPr="00A576EF">
              <w:rPr>
                <w:color w:val="313131"/>
                <w:spacing w:val="-12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spacing w:val="-2"/>
                <w:w w:val="105"/>
                <w:sz w:val="18"/>
                <w:szCs w:val="18"/>
              </w:rPr>
              <w:t xml:space="preserve">days. </w:t>
            </w:r>
            <w:proofErr w:type="gramStart"/>
            <w:r w:rsidRPr="00A576EF">
              <w:rPr>
                <w:color w:val="313131"/>
                <w:sz w:val="18"/>
                <w:szCs w:val="18"/>
              </w:rPr>
              <w:t>Masters</w:t>
            </w:r>
            <w:proofErr w:type="gramEnd"/>
            <w:r w:rsidRPr="00A576EF">
              <w:rPr>
                <w:color w:val="313131"/>
                <w:sz w:val="18"/>
                <w:szCs w:val="18"/>
              </w:rPr>
              <w:t xml:space="preserve"> teams </w:t>
            </w:r>
            <w:r w:rsidRPr="00A576EF">
              <w:rPr>
                <w:spacing w:val="-4"/>
                <w:sz w:val="18"/>
                <w:szCs w:val="18"/>
              </w:rPr>
              <w:t xml:space="preserve">should offer two fair dates </w:t>
            </w:r>
            <w:r w:rsidRPr="00A576EF">
              <w:rPr>
                <w:color w:val="313131"/>
                <w:sz w:val="18"/>
                <w:szCs w:val="18"/>
              </w:rPr>
              <w:t xml:space="preserve">using </w:t>
            </w:r>
            <w:r w:rsidRPr="00A576EF">
              <w:rPr>
                <w:color w:val="313131"/>
                <w:w w:val="105"/>
                <w:sz w:val="18"/>
                <w:szCs w:val="18"/>
              </w:rPr>
              <w:t>League</w:t>
            </w:r>
            <w:r w:rsidRPr="00A576EF">
              <w:rPr>
                <w:color w:val="313131"/>
                <w:spacing w:val="-6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w w:val="105"/>
                <w:sz w:val="18"/>
                <w:szCs w:val="18"/>
              </w:rPr>
              <w:t>Reserve</w:t>
            </w:r>
            <w:r w:rsidRPr="00A576EF">
              <w:rPr>
                <w:color w:val="313131"/>
                <w:spacing w:val="-4"/>
                <w:w w:val="105"/>
                <w:sz w:val="18"/>
                <w:szCs w:val="18"/>
              </w:rPr>
              <w:t xml:space="preserve"> or Bye </w:t>
            </w:r>
            <w:r w:rsidRPr="00A576EF">
              <w:rPr>
                <w:color w:val="313131"/>
                <w:w w:val="105"/>
                <w:sz w:val="18"/>
                <w:szCs w:val="18"/>
              </w:rPr>
              <w:t>dates</w:t>
            </w:r>
            <w:r w:rsidRPr="00A576EF">
              <w:rPr>
                <w:color w:val="313131"/>
                <w:spacing w:val="-6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w w:val="105"/>
                <w:sz w:val="18"/>
                <w:szCs w:val="18"/>
              </w:rPr>
              <w:t>where</w:t>
            </w:r>
            <w:r w:rsidRPr="00A576EF">
              <w:rPr>
                <w:color w:val="313131"/>
                <w:spacing w:val="-6"/>
                <w:w w:val="105"/>
                <w:sz w:val="18"/>
                <w:szCs w:val="18"/>
              </w:rPr>
              <w:t xml:space="preserve"> </w:t>
            </w:r>
            <w:r w:rsidRPr="00A576EF">
              <w:rPr>
                <w:color w:val="313131"/>
                <w:w w:val="105"/>
                <w:sz w:val="18"/>
                <w:szCs w:val="18"/>
              </w:rPr>
              <w:t>possible. Midweek dates can also be offered</w:t>
            </w:r>
            <w:r w:rsidRPr="002774D9">
              <w:rPr>
                <w:color w:val="313131"/>
              </w:rPr>
              <w:t>.</w:t>
            </w:r>
          </w:p>
        </w:tc>
      </w:tr>
    </w:tbl>
    <w:p w14:paraId="5E2089FC" w14:textId="77777777" w:rsidR="00A14A72" w:rsidRDefault="00A14A72">
      <w:pPr>
        <w:spacing w:line="249" w:lineRule="auto"/>
        <w:rPr>
          <w:sz w:val="18"/>
        </w:rPr>
        <w:sectPr w:rsidR="00A14A72" w:rsidSect="00A14A72">
          <w:footerReference w:type="default" r:id="rId8"/>
          <w:type w:val="continuous"/>
          <w:pgSz w:w="11920" w:h="16840"/>
          <w:pgMar w:top="1060" w:right="740" w:bottom="728" w:left="720" w:header="0" w:footer="1016" w:gutter="0"/>
          <w:pgNumType w:start="1"/>
          <w:cols w:space="720"/>
        </w:sectPr>
      </w:pPr>
    </w:p>
    <w:p w14:paraId="1823CF21" w14:textId="1461705B" w:rsidR="005D22BE" w:rsidRDefault="005D22BE" w:rsidP="002774D9">
      <w:pPr>
        <w:pStyle w:val="Heading1"/>
        <w:tabs>
          <w:tab w:val="left" w:pos="483"/>
        </w:tabs>
        <w:ind w:left="0"/>
      </w:pPr>
    </w:p>
    <w:sectPr w:rsidR="005D22BE" w:rsidSect="00BD3280">
      <w:pgSz w:w="11906" w:h="17337"/>
      <w:pgMar w:top="1400" w:right="1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F68F" w14:textId="77777777" w:rsidR="00900BE5" w:rsidRDefault="00900BE5">
      <w:r>
        <w:separator/>
      </w:r>
    </w:p>
  </w:endnote>
  <w:endnote w:type="continuationSeparator" w:id="0">
    <w:p w14:paraId="18C43F10" w14:textId="77777777" w:rsidR="00900BE5" w:rsidRDefault="0090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B2D" w14:textId="77777777" w:rsidR="005D22B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2ECDFAE7" wp14:editId="2F1F36CD">
              <wp:simplePos x="0" y="0"/>
              <wp:positionH relativeFrom="page">
                <wp:posOffset>6918331</wp:posOffset>
              </wp:positionH>
              <wp:positionV relativeFrom="page">
                <wp:posOffset>9908621</wp:posOffset>
              </wp:positionV>
              <wp:extent cx="153035" cy="1695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629DE" w14:textId="77777777" w:rsidR="005D22BE" w:rsidRDefault="00000000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DFA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75pt;margin-top:780.2pt;width:12.05pt;height:13.3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" filled="f" stroked="f">
              <v:textbox inset="0,0,0,0">
                <w:txbxContent>
                  <w:p w14:paraId="5B8629DE" w14:textId="77777777" w:rsidR="005D22BE" w:rsidRDefault="00000000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4F5F" w14:textId="77777777" w:rsidR="00900BE5" w:rsidRDefault="00900BE5">
      <w:r>
        <w:separator/>
      </w:r>
    </w:p>
  </w:footnote>
  <w:footnote w:type="continuationSeparator" w:id="0">
    <w:p w14:paraId="6EB128C7" w14:textId="77777777" w:rsidR="00900BE5" w:rsidRDefault="0090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5A8E"/>
    <w:multiLevelType w:val="hybridMultilevel"/>
    <w:tmpl w:val="8EACE01E"/>
    <w:lvl w:ilvl="0" w:tplc="5C00D122">
      <w:numFmt w:val="bullet"/>
      <w:lvlText w:val="–"/>
      <w:lvlJc w:val="left"/>
      <w:pPr>
        <w:ind w:left="90" w:hanging="191"/>
      </w:pPr>
      <w:rPr>
        <w:rFonts w:ascii="Helvetica Neue Light" w:eastAsia="Helvetica Neue Light" w:hAnsi="Helvetica Neue Light" w:cs="Helvetica Neue Ligh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4054A2">
      <w:numFmt w:val="bullet"/>
      <w:lvlText w:val="•"/>
      <w:lvlJc w:val="left"/>
      <w:pPr>
        <w:ind w:left="714" w:hanging="191"/>
      </w:pPr>
      <w:rPr>
        <w:rFonts w:hint="default"/>
        <w:lang w:val="en-US" w:eastAsia="en-US" w:bidi="ar-SA"/>
      </w:rPr>
    </w:lvl>
    <w:lvl w:ilvl="2" w:tplc="53F441C2">
      <w:numFmt w:val="bullet"/>
      <w:lvlText w:val="•"/>
      <w:lvlJc w:val="left"/>
      <w:pPr>
        <w:ind w:left="1328" w:hanging="191"/>
      </w:pPr>
      <w:rPr>
        <w:rFonts w:hint="default"/>
        <w:lang w:val="en-US" w:eastAsia="en-US" w:bidi="ar-SA"/>
      </w:rPr>
    </w:lvl>
    <w:lvl w:ilvl="3" w:tplc="3BC68FF2">
      <w:numFmt w:val="bullet"/>
      <w:lvlText w:val="•"/>
      <w:lvlJc w:val="left"/>
      <w:pPr>
        <w:ind w:left="1942" w:hanging="191"/>
      </w:pPr>
      <w:rPr>
        <w:rFonts w:hint="default"/>
        <w:lang w:val="en-US" w:eastAsia="en-US" w:bidi="ar-SA"/>
      </w:rPr>
    </w:lvl>
    <w:lvl w:ilvl="4" w:tplc="D9A88334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5" w:tplc="ED00CABE">
      <w:numFmt w:val="bullet"/>
      <w:lvlText w:val="•"/>
      <w:lvlJc w:val="left"/>
      <w:pPr>
        <w:ind w:left="3170" w:hanging="191"/>
      </w:pPr>
      <w:rPr>
        <w:rFonts w:hint="default"/>
        <w:lang w:val="en-US" w:eastAsia="en-US" w:bidi="ar-SA"/>
      </w:rPr>
    </w:lvl>
    <w:lvl w:ilvl="6" w:tplc="99666650">
      <w:numFmt w:val="bullet"/>
      <w:lvlText w:val="•"/>
      <w:lvlJc w:val="left"/>
      <w:pPr>
        <w:ind w:left="3784" w:hanging="191"/>
      </w:pPr>
      <w:rPr>
        <w:rFonts w:hint="default"/>
        <w:lang w:val="en-US" w:eastAsia="en-US" w:bidi="ar-SA"/>
      </w:rPr>
    </w:lvl>
    <w:lvl w:ilvl="7" w:tplc="9F646C72">
      <w:numFmt w:val="bullet"/>
      <w:lvlText w:val="•"/>
      <w:lvlJc w:val="left"/>
      <w:pPr>
        <w:ind w:left="4398" w:hanging="191"/>
      </w:pPr>
      <w:rPr>
        <w:rFonts w:hint="default"/>
        <w:lang w:val="en-US" w:eastAsia="en-US" w:bidi="ar-SA"/>
      </w:rPr>
    </w:lvl>
    <w:lvl w:ilvl="8" w:tplc="AA7E4462">
      <w:numFmt w:val="bullet"/>
      <w:lvlText w:val="•"/>
      <w:lvlJc w:val="left"/>
      <w:pPr>
        <w:ind w:left="5012" w:hanging="191"/>
      </w:pPr>
      <w:rPr>
        <w:rFonts w:hint="default"/>
        <w:lang w:val="en-US" w:eastAsia="en-US" w:bidi="ar-SA"/>
      </w:rPr>
    </w:lvl>
  </w:abstractNum>
  <w:abstractNum w:abstractNumId="1" w15:restartNumberingAfterBreak="0">
    <w:nsid w:val="203D093B"/>
    <w:multiLevelType w:val="hybridMultilevel"/>
    <w:tmpl w:val="9F82B6A0"/>
    <w:lvl w:ilvl="0" w:tplc="C242D3DA">
      <w:start w:val="8"/>
      <w:numFmt w:val="decimal"/>
      <w:lvlText w:val="%1."/>
      <w:lvlJc w:val="left"/>
      <w:pPr>
        <w:ind w:left="486" w:hanging="356"/>
        <w:jc w:val="left"/>
      </w:pPr>
      <w:rPr>
        <w:rFonts w:ascii="Helvetica Neue Light" w:eastAsia="Helvetica Neue Light" w:hAnsi="Helvetica Neue Light" w:cs="Helvetica Neue Light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7341786">
      <w:start w:val="1"/>
      <w:numFmt w:val="decimal"/>
      <w:lvlText w:val="%2."/>
      <w:lvlJc w:val="left"/>
      <w:pPr>
        <w:ind w:left="850" w:hanging="360"/>
        <w:jc w:val="left"/>
      </w:pPr>
      <w:rPr>
        <w:rFonts w:ascii="Helvetica Neue Light" w:eastAsia="Helvetica Neue Light" w:hAnsi="Helvetica Neue Light" w:cs="Helvetica Neue Ligh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5022B1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3" w:tplc="76762226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706C59A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A4F014F4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6" w:tplc="3132B61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124AE6C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940E4830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885660"/>
    <w:multiLevelType w:val="hybridMultilevel"/>
    <w:tmpl w:val="B1B61086"/>
    <w:lvl w:ilvl="0" w:tplc="60C83F00">
      <w:numFmt w:val="bullet"/>
      <w:lvlText w:val="◦"/>
      <w:lvlJc w:val="left"/>
      <w:pPr>
        <w:ind w:left="1194" w:hanging="28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224"/>
        <w:sz w:val="22"/>
        <w:szCs w:val="22"/>
        <w:lang w:val="en-US" w:eastAsia="en-US" w:bidi="ar-SA"/>
      </w:rPr>
    </w:lvl>
    <w:lvl w:ilvl="1" w:tplc="64A0EF12">
      <w:numFmt w:val="bullet"/>
      <w:lvlText w:val="•"/>
      <w:lvlJc w:val="left"/>
      <w:pPr>
        <w:ind w:left="2208" w:hanging="284"/>
      </w:pPr>
      <w:rPr>
        <w:rFonts w:hint="default"/>
        <w:lang w:val="en-US" w:eastAsia="en-US" w:bidi="ar-SA"/>
      </w:rPr>
    </w:lvl>
    <w:lvl w:ilvl="2" w:tplc="12EADF80">
      <w:numFmt w:val="bullet"/>
      <w:lvlText w:val="•"/>
      <w:lvlJc w:val="left"/>
      <w:pPr>
        <w:ind w:left="3217" w:hanging="284"/>
      </w:pPr>
      <w:rPr>
        <w:rFonts w:hint="default"/>
        <w:lang w:val="en-US" w:eastAsia="en-US" w:bidi="ar-SA"/>
      </w:rPr>
    </w:lvl>
    <w:lvl w:ilvl="3" w:tplc="B9B622F0">
      <w:numFmt w:val="bullet"/>
      <w:lvlText w:val="•"/>
      <w:lvlJc w:val="left"/>
      <w:pPr>
        <w:ind w:left="4225" w:hanging="284"/>
      </w:pPr>
      <w:rPr>
        <w:rFonts w:hint="default"/>
        <w:lang w:val="en-US" w:eastAsia="en-US" w:bidi="ar-SA"/>
      </w:rPr>
    </w:lvl>
    <w:lvl w:ilvl="4" w:tplc="AB4E3C46">
      <w:numFmt w:val="bullet"/>
      <w:lvlText w:val="•"/>
      <w:lvlJc w:val="left"/>
      <w:pPr>
        <w:ind w:left="5234" w:hanging="284"/>
      </w:pPr>
      <w:rPr>
        <w:rFonts w:hint="default"/>
        <w:lang w:val="en-US" w:eastAsia="en-US" w:bidi="ar-SA"/>
      </w:rPr>
    </w:lvl>
    <w:lvl w:ilvl="5" w:tplc="B29C89DA">
      <w:numFmt w:val="bullet"/>
      <w:lvlText w:val="•"/>
      <w:lvlJc w:val="left"/>
      <w:pPr>
        <w:ind w:left="6243" w:hanging="284"/>
      </w:pPr>
      <w:rPr>
        <w:rFonts w:hint="default"/>
        <w:lang w:val="en-US" w:eastAsia="en-US" w:bidi="ar-SA"/>
      </w:rPr>
    </w:lvl>
    <w:lvl w:ilvl="6" w:tplc="08FE4F8C">
      <w:numFmt w:val="bullet"/>
      <w:lvlText w:val="•"/>
      <w:lvlJc w:val="left"/>
      <w:pPr>
        <w:ind w:left="7251" w:hanging="284"/>
      </w:pPr>
      <w:rPr>
        <w:rFonts w:hint="default"/>
        <w:lang w:val="en-US" w:eastAsia="en-US" w:bidi="ar-SA"/>
      </w:rPr>
    </w:lvl>
    <w:lvl w:ilvl="7" w:tplc="301E775A">
      <w:numFmt w:val="bullet"/>
      <w:lvlText w:val="•"/>
      <w:lvlJc w:val="left"/>
      <w:pPr>
        <w:ind w:left="8260" w:hanging="284"/>
      </w:pPr>
      <w:rPr>
        <w:rFonts w:hint="default"/>
        <w:lang w:val="en-US" w:eastAsia="en-US" w:bidi="ar-SA"/>
      </w:rPr>
    </w:lvl>
    <w:lvl w:ilvl="8" w:tplc="44B6520C">
      <w:numFmt w:val="bullet"/>
      <w:lvlText w:val="•"/>
      <w:lvlJc w:val="left"/>
      <w:pPr>
        <w:ind w:left="926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F0C6DAE"/>
    <w:multiLevelType w:val="hybridMultilevel"/>
    <w:tmpl w:val="80106950"/>
    <w:lvl w:ilvl="0" w:tplc="D04C7816">
      <w:start w:val="3"/>
      <w:numFmt w:val="bullet"/>
      <w:lvlText w:val="-"/>
      <w:lvlJc w:val="left"/>
      <w:pPr>
        <w:ind w:left="450" w:hanging="360"/>
      </w:pPr>
      <w:rPr>
        <w:rFonts w:ascii="Helvetica Neue Light" w:eastAsia="Helvetica Neue Light" w:hAnsi="Helvetica Neue Light" w:cs="Helvetica Neue Light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23B0A9E"/>
    <w:multiLevelType w:val="hybridMultilevel"/>
    <w:tmpl w:val="114CD43A"/>
    <w:lvl w:ilvl="0" w:tplc="5F50050C">
      <w:start w:val="1"/>
      <w:numFmt w:val="lowerLetter"/>
      <w:lvlText w:val="(%1)"/>
      <w:lvlJc w:val="left"/>
      <w:pPr>
        <w:ind w:left="1307" w:hanging="340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2"/>
        <w:w w:val="98"/>
        <w:sz w:val="22"/>
        <w:szCs w:val="22"/>
        <w:lang w:val="en-US" w:eastAsia="en-US" w:bidi="ar-SA"/>
      </w:rPr>
    </w:lvl>
    <w:lvl w:ilvl="1" w:tplc="122204D2">
      <w:numFmt w:val="bullet"/>
      <w:lvlText w:val=""/>
      <w:lvlJc w:val="left"/>
      <w:pPr>
        <w:ind w:left="210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131"/>
        <w:spacing w:val="0"/>
        <w:w w:val="100"/>
        <w:sz w:val="22"/>
        <w:szCs w:val="22"/>
        <w:lang w:val="en-US" w:eastAsia="en-US" w:bidi="ar-SA"/>
      </w:rPr>
    </w:lvl>
    <w:lvl w:ilvl="2" w:tplc="26A4A576">
      <w:numFmt w:val="bullet"/>
      <w:lvlText w:val="•"/>
      <w:lvlJc w:val="left"/>
      <w:pPr>
        <w:ind w:left="3110" w:hanging="226"/>
      </w:pPr>
      <w:rPr>
        <w:rFonts w:hint="default"/>
        <w:lang w:val="en-US" w:eastAsia="en-US" w:bidi="ar-SA"/>
      </w:rPr>
    </w:lvl>
    <w:lvl w:ilvl="3" w:tplc="0FA80C04">
      <w:numFmt w:val="bullet"/>
      <w:lvlText w:val="•"/>
      <w:lvlJc w:val="left"/>
      <w:pPr>
        <w:ind w:left="4121" w:hanging="226"/>
      </w:pPr>
      <w:rPr>
        <w:rFonts w:hint="default"/>
        <w:lang w:val="en-US" w:eastAsia="en-US" w:bidi="ar-SA"/>
      </w:rPr>
    </w:lvl>
    <w:lvl w:ilvl="4" w:tplc="3990C13C">
      <w:numFmt w:val="bullet"/>
      <w:lvlText w:val="•"/>
      <w:lvlJc w:val="left"/>
      <w:pPr>
        <w:ind w:left="5132" w:hanging="226"/>
      </w:pPr>
      <w:rPr>
        <w:rFonts w:hint="default"/>
        <w:lang w:val="en-US" w:eastAsia="en-US" w:bidi="ar-SA"/>
      </w:rPr>
    </w:lvl>
    <w:lvl w:ilvl="5" w:tplc="8E14296C">
      <w:numFmt w:val="bullet"/>
      <w:lvlText w:val="•"/>
      <w:lvlJc w:val="left"/>
      <w:pPr>
        <w:ind w:left="6143" w:hanging="226"/>
      </w:pPr>
      <w:rPr>
        <w:rFonts w:hint="default"/>
        <w:lang w:val="en-US" w:eastAsia="en-US" w:bidi="ar-SA"/>
      </w:rPr>
    </w:lvl>
    <w:lvl w:ilvl="6" w:tplc="65642FE2">
      <w:numFmt w:val="bullet"/>
      <w:lvlText w:val="•"/>
      <w:lvlJc w:val="left"/>
      <w:pPr>
        <w:ind w:left="7154" w:hanging="226"/>
      </w:pPr>
      <w:rPr>
        <w:rFonts w:hint="default"/>
        <w:lang w:val="en-US" w:eastAsia="en-US" w:bidi="ar-SA"/>
      </w:rPr>
    </w:lvl>
    <w:lvl w:ilvl="7" w:tplc="58C61FA8">
      <w:numFmt w:val="bullet"/>
      <w:lvlText w:val="•"/>
      <w:lvlJc w:val="left"/>
      <w:pPr>
        <w:ind w:left="8165" w:hanging="226"/>
      </w:pPr>
      <w:rPr>
        <w:rFonts w:hint="default"/>
        <w:lang w:val="en-US" w:eastAsia="en-US" w:bidi="ar-SA"/>
      </w:rPr>
    </w:lvl>
    <w:lvl w:ilvl="8" w:tplc="B7E08704">
      <w:numFmt w:val="bullet"/>
      <w:lvlText w:val="•"/>
      <w:lvlJc w:val="left"/>
      <w:pPr>
        <w:ind w:left="9176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435A0E54"/>
    <w:multiLevelType w:val="multilevel"/>
    <w:tmpl w:val="B1F4595A"/>
    <w:lvl w:ilvl="0">
      <w:start w:val="1"/>
      <w:numFmt w:val="decimal"/>
      <w:lvlText w:val="%1"/>
      <w:lvlJc w:val="left"/>
      <w:pPr>
        <w:ind w:left="910" w:hanging="794"/>
      </w:pPr>
      <w:rPr>
        <w:rFonts w:ascii="Arial" w:eastAsia="Arial" w:hAnsi="Arial" w:cs="Arial" w:hint="default"/>
        <w:b w:val="0"/>
        <w:bCs w:val="0"/>
        <w:i w:val="0"/>
        <w:iCs w:val="0"/>
        <w:color w:val="F10F0B"/>
        <w:spacing w:val="0"/>
        <w:w w:val="102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10" w:hanging="79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818" w:hanging="908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22"/>
        <w:szCs w:val="22"/>
        <w:lang w:val="en-US" w:eastAsia="en-US" w:bidi="ar-SA"/>
      </w:rPr>
    </w:lvl>
    <w:lvl w:ilvl="4">
      <w:numFmt w:val="bullet"/>
      <w:lvlText w:val="◦"/>
      <w:lvlJc w:val="left"/>
      <w:pPr>
        <w:ind w:left="1194" w:hanging="28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224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6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5D4205CC"/>
    <w:multiLevelType w:val="multilevel"/>
    <w:tmpl w:val="1158C12A"/>
    <w:lvl w:ilvl="0">
      <w:start w:val="1"/>
      <w:numFmt w:val="decimal"/>
      <w:lvlText w:val="%1"/>
      <w:lvlJc w:val="left"/>
      <w:pPr>
        <w:ind w:left="910" w:hanging="794"/>
      </w:pPr>
      <w:rPr>
        <w:rFonts w:ascii="Arial" w:eastAsia="Arial" w:hAnsi="Arial" w:cs="Arial" w:hint="default"/>
        <w:b w:val="0"/>
        <w:bCs w:val="0"/>
        <w:i w:val="0"/>
        <w:iCs w:val="0"/>
        <w:color w:val="F10F0B"/>
        <w:spacing w:val="0"/>
        <w:w w:val="102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10" w:hanging="79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818" w:hanging="908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22"/>
        <w:szCs w:val="22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1818" w:hanging="45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6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ar-SA"/>
      </w:rPr>
    </w:lvl>
  </w:abstractNum>
  <w:abstractNum w:abstractNumId="7" w15:restartNumberingAfterBreak="0">
    <w:nsid w:val="67B84D1A"/>
    <w:multiLevelType w:val="multilevel"/>
    <w:tmpl w:val="571AE162"/>
    <w:lvl w:ilvl="0">
      <w:start w:val="1"/>
      <w:numFmt w:val="decimal"/>
      <w:lvlText w:val="%1"/>
      <w:lvlJc w:val="left"/>
      <w:pPr>
        <w:ind w:left="967" w:hanging="794"/>
      </w:pPr>
      <w:rPr>
        <w:rFonts w:ascii="Arial" w:eastAsia="Arial" w:hAnsi="Arial" w:cs="Arial" w:hint="default"/>
        <w:b w:val="0"/>
        <w:bCs w:val="0"/>
        <w:i w:val="0"/>
        <w:iCs w:val="0"/>
        <w:color w:val="C8201D"/>
        <w:spacing w:val="0"/>
        <w:w w:val="101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7" w:hanging="794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67" w:hanging="794"/>
      </w:pPr>
      <w:rPr>
        <w:rFonts w:hint="default"/>
        <w:spacing w:val="-1"/>
        <w:w w:val="96"/>
        <w:lang w:val="en-US" w:eastAsia="en-US" w:bidi="ar-SA"/>
      </w:rPr>
    </w:lvl>
    <w:lvl w:ilvl="3">
      <w:numFmt w:val="bullet"/>
      <w:lvlText w:val=""/>
      <w:lvlJc w:val="left"/>
      <w:pPr>
        <w:ind w:left="1307" w:hanging="7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131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774" w:hanging="7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1" w:hanging="7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9" w:hanging="7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6" w:hanging="7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3" w:hanging="794"/>
      </w:pPr>
      <w:rPr>
        <w:rFonts w:hint="default"/>
        <w:lang w:val="en-US" w:eastAsia="en-US" w:bidi="ar-SA"/>
      </w:rPr>
    </w:lvl>
  </w:abstractNum>
  <w:num w:numId="1" w16cid:durableId="1888223406">
    <w:abstractNumId w:val="1"/>
  </w:num>
  <w:num w:numId="2" w16cid:durableId="602417279">
    <w:abstractNumId w:val="0"/>
  </w:num>
  <w:num w:numId="3" w16cid:durableId="1530995873">
    <w:abstractNumId w:val="3"/>
  </w:num>
  <w:num w:numId="4" w16cid:durableId="509220444">
    <w:abstractNumId w:val="6"/>
  </w:num>
  <w:num w:numId="5" w16cid:durableId="33894044">
    <w:abstractNumId w:val="2"/>
  </w:num>
  <w:num w:numId="6" w16cid:durableId="1413042650">
    <w:abstractNumId w:val="5"/>
  </w:num>
  <w:num w:numId="7" w16cid:durableId="29841892">
    <w:abstractNumId w:val="7"/>
  </w:num>
  <w:num w:numId="8" w16cid:durableId="130176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E"/>
    <w:rsid w:val="00007983"/>
    <w:rsid w:val="00031A64"/>
    <w:rsid w:val="000555A1"/>
    <w:rsid w:val="00067A2E"/>
    <w:rsid w:val="000D0AEE"/>
    <w:rsid w:val="000E6B21"/>
    <w:rsid w:val="001617E2"/>
    <w:rsid w:val="00235157"/>
    <w:rsid w:val="0023660A"/>
    <w:rsid w:val="002774D9"/>
    <w:rsid w:val="002B78AD"/>
    <w:rsid w:val="002E04E4"/>
    <w:rsid w:val="0037745E"/>
    <w:rsid w:val="00395185"/>
    <w:rsid w:val="003C2459"/>
    <w:rsid w:val="003C31A6"/>
    <w:rsid w:val="003E4EA7"/>
    <w:rsid w:val="004B188E"/>
    <w:rsid w:val="004C102F"/>
    <w:rsid w:val="004D6BF1"/>
    <w:rsid w:val="005B7F4B"/>
    <w:rsid w:val="005D22BE"/>
    <w:rsid w:val="00632AD4"/>
    <w:rsid w:val="00640AAE"/>
    <w:rsid w:val="00646FB8"/>
    <w:rsid w:val="0072505A"/>
    <w:rsid w:val="00770D40"/>
    <w:rsid w:val="007C27B9"/>
    <w:rsid w:val="007D440B"/>
    <w:rsid w:val="00814B0F"/>
    <w:rsid w:val="00837DF1"/>
    <w:rsid w:val="0085310A"/>
    <w:rsid w:val="008F1C84"/>
    <w:rsid w:val="008F4F3C"/>
    <w:rsid w:val="00900BE5"/>
    <w:rsid w:val="009C3122"/>
    <w:rsid w:val="009D2F0E"/>
    <w:rsid w:val="009F2997"/>
    <w:rsid w:val="00A14A72"/>
    <w:rsid w:val="00A576EF"/>
    <w:rsid w:val="00A714D8"/>
    <w:rsid w:val="00B00338"/>
    <w:rsid w:val="00B671A5"/>
    <w:rsid w:val="00B75455"/>
    <w:rsid w:val="00BB67B8"/>
    <w:rsid w:val="00BD3280"/>
    <w:rsid w:val="00BE5947"/>
    <w:rsid w:val="00C07B58"/>
    <w:rsid w:val="00C163CE"/>
    <w:rsid w:val="00C41239"/>
    <w:rsid w:val="00C61742"/>
    <w:rsid w:val="00C77C46"/>
    <w:rsid w:val="00CB7476"/>
    <w:rsid w:val="00DC2A40"/>
    <w:rsid w:val="00DF55DB"/>
    <w:rsid w:val="00E45EBF"/>
    <w:rsid w:val="00E61159"/>
    <w:rsid w:val="00EC24C7"/>
    <w:rsid w:val="00F23325"/>
    <w:rsid w:val="00F25645"/>
    <w:rsid w:val="00F5409B"/>
    <w:rsid w:val="00F62C04"/>
    <w:rsid w:val="00FC47B1"/>
    <w:rsid w:val="00FC4904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9647"/>
  <w15:docId w15:val="{6C4973ED-15F0-DC4D-A10A-A6C3EB96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 Light" w:eastAsia="Helvetica Neue Light" w:hAnsi="Helvetica Neue Light" w:cs="Helvetica Neue Light"/>
    </w:rPr>
  </w:style>
  <w:style w:type="paragraph" w:styleId="Heading1">
    <w:name w:val="heading 1"/>
    <w:basedOn w:val="Normal"/>
    <w:uiPriority w:val="9"/>
    <w:qFormat/>
    <w:pPr>
      <w:spacing w:before="66"/>
      <w:ind w:left="130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1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3">
    <w:name w:val="toc 3"/>
    <w:basedOn w:val="Normal"/>
    <w:uiPriority w:val="1"/>
    <w:qFormat/>
    <w:rsid w:val="00F5409B"/>
    <w:pPr>
      <w:spacing w:before="37"/>
      <w:ind w:left="966"/>
    </w:pPr>
    <w:rPr>
      <w:rFonts w:ascii="Arial" w:eastAsia="Arial" w:hAnsi="Arial" w:cs="Arial"/>
    </w:rPr>
  </w:style>
  <w:style w:type="paragraph" w:customStyle="1" w:styleId="Default">
    <w:name w:val="Default"/>
    <w:rsid w:val="00F5409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Regulations 24/25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Regulations 24/25</dc:title>
  <cp:lastModifiedBy>Sara Walker</cp:lastModifiedBy>
  <cp:revision>26</cp:revision>
  <cp:lastPrinted>2025-08-04T08:12:00Z</cp:lastPrinted>
  <dcterms:created xsi:type="dcterms:W3CDTF">2025-08-01T13:47:00Z</dcterms:created>
  <dcterms:modified xsi:type="dcterms:W3CDTF">2025-08-05T15:52:00Z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Skia/PDF m128 Google Docs Renderer</vt:lpwstr>
  </property>
</Properties>
</file>