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CE0A" w14:textId="508D5C7E" w:rsidR="002C51BB" w:rsidRPr="002903BD" w:rsidRDefault="00535931" w:rsidP="00535931">
      <w:pPr>
        <w:jc w:val="center"/>
        <w:rPr>
          <w:rFonts w:cstheme="minorHAnsi"/>
          <w:sz w:val="56"/>
          <w:szCs w:val="56"/>
        </w:rPr>
      </w:pPr>
      <w:r w:rsidRPr="002903BD">
        <w:rPr>
          <w:rFonts w:cstheme="minorHAnsi"/>
          <w:sz w:val="56"/>
          <w:szCs w:val="56"/>
        </w:rPr>
        <w:t>Ordnung schaffen im Schrank</w:t>
      </w:r>
    </w:p>
    <w:p w14:paraId="7D3E8201" w14:textId="6BE0FF3A" w:rsidR="00DF168B" w:rsidRPr="002903BD" w:rsidRDefault="00DF168B">
      <w:pPr>
        <w:rPr>
          <w:rFonts w:cstheme="minorHAnsi"/>
        </w:rPr>
      </w:pPr>
    </w:p>
    <w:p w14:paraId="31AC436A" w14:textId="7D6C76F9" w:rsidR="00535931" w:rsidRPr="002903BD" w:rsidRDefault="00535931">
      <w:pPr>
        <w:rPr>
          <w:rFonts w:cstheme="minorHAnsi"/>
        </w:rPr>
      </w:pPr>
      <w:r w:rsidRPr="002903BD">
        <w:rPr>
          <w:rFonts w:cstheme="minorHAnsi"/>
        </w:rPr>
        <w:drawing>
          <wp:inline distT="0" distB="0" distL="0" distR="0" wp14:anchorId="2B32A368" wp14:editId="29824F61">
            <wp:extent cx="5760720" cy="3237230"/>
            <wp:effectExtent l="0" t="0" r="0" b="1270"/>
            <wp:docPr id="1" name="Grafik 1" descr="Tiny Room mit diversen Stauraumlösung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y Room mit diversen Stauraumlösung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D2358" w14:textId="1CAF629A" w:rsidR="002903BD" w:rsidRPr="001019C9" w:rsidRDefault="002903BD">
      <w:pPr>
        <w:rPr>
          <w:rFonts w:cstheme="minorHAnsi"/>
          <w:sz w:val="16"/>
          <w:szCs w:val="16"/>
        </w:rPr>
      </w:pPr>
      <w:r w:rsidRPr="001019C9">
        <w:rPr>
          <w:rFonts w:cstheme="minorHAnsi"/>
          <w:sz w:val="16"/>
          <w:szCs w:val="16"/>
        </w:rPr>
        <w:t xml:space="preserve">Bildquelle: </w:t>
      </w:r>
      <w:r w:rsidR="001019C9" w:rsidRPr="001019C9">
        <w:rPr>
          <w:rFonts w:cstheme="minorHAnsi"/>
          <w:sz w:val="16"/>
          <w:szCs w:val="16"/>
        </w:rPr>
        <w:t>https://www.obi.de/magazin/wohnen/ordnung-schaffen-und-halten</w:t>
      </w:r>
    </w:p>
    <w:p w14:paraId="7E0DC637" w14:textId="77777777" w:rsidR="00535931" w:rsidRPr="002903BD" w:rsidRDefault="00535931">
      <w:pPr>
        <w:rPr>
          <w:rFonts w:cstheme="minorHAnsi"/>
        </w:rPr>
      </w:pPr>
    </w:p>
    <w:p w14:paraId="520D9FC5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Erst aussortieren, dann sortieren. ...</w:t>
      </w:r>
    </w:p>
    <w:p w14:paraId="6FB72819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Saisons berücksichtigen. ...</w:t>
      </w:r>
    </w:p>
    <w:p w14:paraId="608A379F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Basics gut sichtbar platzieren. ...</w:t>
      </w:r>
    </w:p>
    <w:p w14:paraId="3184C85F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Kleidung nach Farben sortieren. ...</w:t>
      </w:r>
    </w:p>
    <w:p w14:paraId="4E07B6C8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Nach Längen sortieren. ...</w:t>
      </w:r>
    </w:p>
    <w:p w14:paraId="18FC016F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Hängen statt legen. ...</w:t>
      </w:r>
    </w:p>
    <w:p w14:paraId="16CFAC95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Zweite Wahl nach hinten. ...</w:t>
      </w:r>
    </w:p>
    <w:p w14:paraId="381C9EE1" w14:textId="77777777" w:rsidR="00DF168B" w:rsidRPr="00DF168B" w:rsidRDefault="00DF168B" w:rsidP="00DF168B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DF168B">
        <w:rPr>
          <w:rFonts w:cstheme="minorHAnsi"/>
          <w:sz w:val="28"/>
          <w:szCs w:val="28"/>
        </w:rPr>
        <w:t>Accessoires bündeln.</w:t>
      </w:r>
    </w:p>
    <w:p w14:paraId="5A2BA88F" w14:textId="2253CB2A" w:rsidR="00DF168B" w:rsidRPr="002903BD" w:rsidRDefault="00DF168B">
      <w:pPr>
        <w:rPr>
          <w:rFonts w:cstheme="minorHAnsi"/>
        </w:rPr>
      </w:pPr>
    </w:p>
    <w:p w14:paraId="03A5DCC2" w14:textId="0D12B16E" w:rsidR="00535931" w:rsidRPr="002903BD" w:rsidRDefault="00535931">
      <w:pPr>
        <w:rPr>
          <w:rFonts w:cstheme="minorHAnsi"/>
        </w:rPr>
      </w:pPr>
    </w:p>
    <w:p w14:paraId="212D9038" w14:textId="6C028437" w:rsidR="00535931" w:rsidRPr="002903BD" w:rsidRDefault="00535931">
      <w:pPr>
        <w:rPr>
          <w:rFonts w:cstheme="minorHAnsi"/>
        </w:rPr>
      </w:pPr>
    </w:p>
    <w:p w14:paraId="379723F2" w14:textId="3C4ADF65" w:rsidR="00535931" w:rsidRPr="002903BD" w:rsidRDefault="00535931">
      <w:pPr>
        <w:rPr>
          <w:rFonts w:cstheme="minorHAnsi"/>
        </w:rPr>
      </w:pPr>
    </w:p>
    <w:p w14:paraId="1F68EF6C" w14:textId="17B5D1E3" w:rsidR="00535931" w:rsidRPr="002903BD" w:rsidRDefault="00535931">
      <w:pPr>
        <w:rPr>
          <w:rFonts w:cstheme="minorHAnsi"/>
        </w:rPr>
      </w:pPr>
    </w:p>
    <w:p w14:paraId="4FED1B51" w14:textId="563DE13E" w:rsidR="00535931" w:rsidRPr="002903BD" w:rsidRDefault="00535931">
      <w:pPr>
        <w:rPr>
          <w:rFonts w:cstheme="minorHAnsi"/>
        </w:rPr>
      </w:pPr>
    </w:p>
    <w:p w14:paraId="0EA2C56B" w14:textId="26D80379" w:rsidR="00535931" w:rsidRPr="00535931" w:rsidRDefault="00535931" w:rsidP="00535931">
      <w:pPr>
        <w:rPr>
          <w:rFonts w:cstheme="minorHAnsi"/>
          <w:sz w:val="36"/>
          <w:szCs w:val="36"/>
        </w:rPr>
      </w:pPr>
      <w:r w:rsidRPr="00535931">
        <w:rPr>
          <w:rFonts w:cstheme="minorHAnsi"/>
          <w:b/>
          <w:bCs/>
          <w:sz w:val="36"/>
          <w:szCs w:val="36"/>
        </w:rPr>
        <w:lastRenderedPageBreak/>
        <w:t>Vorratsschrank ausmisten</w:t>
      </w:r>
      <w:r w:rsidR="002903BD">
        <w:rPr>
          <w:rFonts w:cstheme="minorHAnsi"/>
          <w:b/>
          <w:bCs/>
          <w:sz w:val="36"/>
          <w:szCs w:val="36"/>
        </w:rPr>
        <w:t>,</w:t>
      </w:r>
      <w:r w:rsidRPr="00535931">
        <w:rPr>
          <w:rFonts w:cstheme="minorHAnsi"/>
          <w:b/>
          <w:bCs/>
          <w:sz w:val="36"/>
          <w:szCs w:val="36"/>
        </w:rPr>
        <w:t xml:space="preserve"> vorsortieren</w:t>
      </w:r>
      <w:r w:rsidR="002903BD">
        <w:rPr>
          <w:rFonts w:cstheme="minorHAnsi"/>
          <w:b/>
          <w:bCs/>
          <w:sz w:val="36"/>
          <w:szCs w:val="36"/>
        </w:rPr>
        <w:t xml:space="preserve"> und einräumen</w:t>
      </w:r>
    </w:p>
    <w:p w14:paraId="157C5418" w14:textId="77777777" w:rsidR="00535931" w:rsidRPr="00535931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Alles ausräumen.</w:t>
      </w:r>
    </w:p>
    <w:p w14:paraId="5DB2D55D" w14:textId="77777777" w:rsidR="00535931" w:rsidRPr="00535931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Alle abgelaufenen Lebensmittel wegschmeißen und aussortieren, was du nicht mehr isst.</w:t>
      </w:r>
    </w:p>
    <w:p w14:paraId="30B036EA" w14:textId="77777777" w:rsidR="00535931" w:rsidRPr="00535931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Den einzelnen Einlegeböden eine Kategorie geben.</w:t>
      </w:r>
    </w:p>
    <w:p w14:paraId="73377896" w14:textId="77777777" w:rsidR="00535931" w:rsidRPr="00535931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Lose Lebensmittel in Gläser umfüllen.</w:t>
      </w:r>
    </w:p>
    <w:p w14:paraId="3219FA92" w14:textId="77777777" w:rsidR="00535931" w:rsidRPr="00535931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Vorratsgläser Beschriften.</w:t>
      </w:r>
    </w:p>
    <w:p w14:paraId="29AE720E" w14:textId="4463041C" w:rsidR="00535931" w:rsidRPr="002903BD" w:rsidRDefault="00535931" w:rsidP="001019C9">
      <w:pPr>
        <w:numPr>
          <w:ilvl w:val="0"/>
          <w:numId w:val="9"/>
        </w:numPr>
        <w:rPr>
          <w:rFonts w:cstheme="minorHAnsi"/>
        </w:rPr>
      </w:pPr>
      <w:r w:rsidRPr="00535931">
        <w:rPr>
          <w:rFonts w:cstheme="minorHAnsi"/>
        </w:rPr>
        <w:t>Angebrochene Packungen zusammen aufbewahren.</w:t>
      </w:r>
    </w:p>
    <w:p w14:paraId="0CF41B2F" w14:textId="14281F73" w:rsidR="00203B07" w:rsidRPr="002903BD" w:rsidRDefault="002903BD" w:rsidP="002903BD">
      <w:pPr>
        <w:ind w:left="720"/>
        <w:jc w:val="both"/>
        <w:rPr>
          <w:rFonts w:cstheme="minorHAnsi"/>
        </w:rPr>
      </w:pPr>
      <w:r w:rsidRPr="002903BD">
        <w:rPr>
          <w:rFonts w:cstheme="minorHAnsi"/>
        </w:rPr>
        <w:drawing>
          <wp:inline distT="0" distB="0" distL="0" distR="0" wp14:anchorId="74C3A043" wp14:editId="3F066F5B">
            <wp:extent cx="4267200" cy="3169825"/>
            <wp:effectExtent l="0" t="0" r="0" b="0"/>
            <wp:docPr id="3" name="Grafik 3" descr="Vorratsschränke: Varianten und Vorteile im Überb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rratsschränke: Varianten und Vorteile im Überbli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951" cy="318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B33E6" w14:textId="600A1249" w:rsidR="002903BD" w:rsidRPr="002903BD" w:rsidRDefault="002903BD" w:rsidP="002903BD">
      <w:pPr>
        <w:ind w:left="720"/>
        <w:jc w:val="both"/>
        <w:rPr>
          <w:rFonts w:cstheme="minorHAnsi"/>
          <w:sz w:val="16"/>
          <w:szCs w:val="16"/>
        </w:rPr>
      </w:pPr>
      <w:r w:rsidRPr="002903BD">
        <w:rPr>
          <w:rFonts w:cstheme="minorHAnsi"/>
          <w:sz w:val="16"/>
          <w:szCs w:val="16"/>
        </w:rPr>
        <w:t xml:space="preserve">Bildquelle: </w:t>
      </w:r>
      <w:r w:rsidRPr="002903BD">
        <w:rPr>
          <w:rFonts w:cstheme="minorHAnsi"/>
          <w:sz w:val="16"/>
          <w:szCs w:val="16"/>
        </w:rPr>
        <w:t>https://www.plana.de</w:t>
      </w:r>
    </w:p>
    <w:p w14:paraId="7D889275" w14:textId="63B707A1" w:rsidR="00203B07" w:rsidRPr="00203B07" w:rsidRDefault="00707B5B" w:rsidP="00203B07">
      <w:p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 xml:space="preserve">Bevor </w:t>
      </w:r>
      <w:r w:rsidR="002D7A82" w:rsidRPr="002903BD">
        <w:rPr>
          <w:rFonts w:eastAsia="Times New Roman" w:cstheme="minorHAnsi"/>
          <w:color w:val="414141"/>
          <w:lang w:eastAsia="de-DE"/>
        </w:rPr>
        <w:t>Du</w:t>
      </w:r>
      <w:r w:rsidRPr="002903BD">
        <w:rPr>
          <w:rFonts w:eastAsia="Times New Roman" w:cstheme="minorHAnsi"/>
          <w:color w:val="414141"/>
          <w:lang w:eastAsia="de-DE"/>
        </w:rPr>
        <w:t xml:space="preserve"> einkauf</w:t>
      </w:r>
      <w:r w:rsidR="002D7A82" w:rsidRPr="002903BD">
        <w:rPr>
          <w:rFonts w:eastAsia="Times New Roman" w:cstheme="minorHAnsi"/>
          <w:color w:val="414141"/>
          <w:lang w:eastAsia="de-DE"/>
        </w:rPr>
        <w:t>st</w:t>
      </w:r>
      <w:r w:rsidRPr="002903BD">
        <w:rPr>
          <w:rFonts w:eastAsia="Times New Roman" w:cstheme="minorHAnsi"/>
          <w:color w:val="414141"/>
          <w:lang w:eastAsia="de-DE"/>
        </w:rPr>
        <w:t xml:space="preserve"> w</w:t>
      </w:r>
      <w:r w:rsidR="002D7A82" w:rsidRPr="002903BD">
        <w:rPr>
          <w:rFonts w:eastAsia="Times New Roman" w:cstheme="minorHAnsi"/>
          <w:color w:val="414141"/>
          <w:lang w:eastAsia="de-DE"/>
        </w:rPr>
        <w:t>irf</w:t>
      </w:r>
      <w:r w:rsidR="00203B07" w:rsidRPr="00203B07">
        <w:rPr>
          <w:rFonts w:eastAsia="Times New Roman" w:cstheme="minorHAnsi"/>
          <w:color w:val="414141"/>
          <w:lang w:eastAsia="de-DE"/>
        </w:rPr>
        <w:t xml:space="preserve"> immer einen Blick auf die </w:t>
      </w:r>
      <w:r w:rsidR="00EC3690" w:rsidRPr="002903BD">
        <w:rPr>
          <w:rFonts w:eastAsia="Times New Roman" w:cstheme="minorHAnsi"/>
          <w:color w:val="414141"/>
          <w:lang w:eastAsia="de-DE"/>
        </w:rPr>
        <w:t>folgende Übersicht</w:t>
      </w:r>
      <w:r w:rsidR="00203B07" w:rsidRPr="00203B07">
        <w:rPr>
          <w:rFonts w:eastAsia="Times New Roman" w:cstheme="minorHAnsi"/>
          <w:color w:val="414141"/>
          <w:lang w:eastAsia="de-DE"/>
        </w:rPr>
        <w:t xml:space="preserve">, </w:t>
      </w:r>
      <w:r w:rsidRPr="002903BD">
        <w:rPr>
          <w:rFonts w:eastAsia="Times New Roman" w:cstheme="minorHAnsi"/>
          <w:color w:val="414141"/>
          <w:lang w:eastAsia="de-DE"/>
        </w:rPr>
        <w:t xml:space="preserve">und ordne </w:t>
      </w:r>
      <w:r w:rsidR="00EC3690" w:rsidRPr="002903BD">
        <w:rPr>
          <w:rFonts w:eastAsia="Times New Roman" w:cstheme="minorHAnsi"/>
          <w:color w:val="414141"/>
          <w:lang w:eastAsia="de-DE"/>
        </w:rPr>
        <w:t>die Lebensmittel auch nach</w:t>
      </w:r>
      <w:r w:rsidR="001019C9">
        <w:rPr>
          <w:rFonts w:eastAsia="Times New Roman" w:cstheme="minorHAnsi"/>
          <w:color w:val="414141"/>
          <w:lang w:eastAsia="de-DE"/>
        </w:rPr>
        <w:t xml:space="preserve"> diesen</w:t>
      </w:r>
      <w:r w:rsidRPr="002903BD">
        <w:rPr>
          <w:rFonts w:eastAsia="Times New Roman" w:cstheme="minorHAnsi"/>
          <w:color w:val="414141"/>
          <w:lang w:eastAsia="de-DE"/>
        </w:rPr>
        <w:t xml:space="preserve"> Kriterien</w:t>
      </w:r>
      <w:r w:rsidR="00EC3690" w:rsidRPr="002903BD">
        <w:rPr>
          <w:rFonts w:eastAsia="Times New Roman" w:cstheme="minorHAnsi"/>
          <w:color w:val="414141"/>
          <w:lang w:eastAsia="de-DE"/>
        </w:rPr>
        <w:t xml:space="preserve"> ein!</w:t>
      </w:r>
    </w:p>
    <w:p w14:paraId="639CED8B" w14:textId="02795B76" w:rsidR="00203B07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Grundnahrungsmittel mit langer Haltbarkeit</w:t>
      </w:r>
      <w:r w:rsidR="00707B5B" w:rsidRPr="002903BD">
        <w:rPr>
          <w:rFonts w:eastAsia="Times New Roman" w:cstheme="minorHAnsi"/>
          <w:color w:val="414141"/>
          <w:lang w:eastAsia="de-DE"/>
        </w:rPr>
        <w:t xml:space="preserve"> z.B. Mehl</w:t>
      </w:r>
    </w:p>
    <w:p w14:paraId="1651D6EC" w14:textId="77777777" w:rsidR="00203B07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Öle und Soßen</w:t>
      </w:r>
    </w:p>
    <w:p w14:paraId="644F7FC5" w14:textId="77777777" w:rsidR="00203B07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Gewürze</w:t>
      </w:r>
    </w:p>
    <w:p w14:paraId="04C374A0" w14:textId="77777777" w:rsidR="00203B07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Dosen und Gläser</w:t>
      </w:r>
    </w:p>
    <w:p w14:paraId="6E759373" w14:textId="77777777" w:rsidR="00203B07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Getränke</w:t>
      </w:r>
    </w:p>
    <w:p w14:paraId="1EF6FA2B" w14:textId="2721308D" w:rsidR="00535931" w:rsidRPr="002903BD" w:rsidRDefault="00203B07" w:rsidP="002903BD">
      <w:pPr>
        <w:pStyle w:val="Listenabsatz"/>
        <w:numPr>
          <w:ilvl w:val="0"/>
          <w:numId w:val="8"/>
        </w:numPr>
        <w:shd w:val="clear" w:color="auto" w:fill="FFFFFF"/>
        <w:spacing w:after="180" w:line="434" w:lineRule="atLeast"/>
        <w:jc w:val="both"/>
        <w:textAlignment w:val="baseline"/>
        <w:rPr>
          <w:rFonts w:eastAsia="Times New Roman" w:cstheme="minorHAnsi"/>
          <w:color w:val="414141"/>
          <w:lang w:eastAsia="de-DE"/>
        </w:rPr>
      </w:pPr>
      <w:r w:rsidRPr="002903BD">
        <w:rPr>
          <w:rFonts w:eastAsia="Times New Roman" w:cstheme="minorHAnsi"/>
          <w:color w:val="414141"/>
          <w:lang w:eastAsia="de-DE"/>
        </w:rPr>
        <w:t>Knabbereien</w:t>
      </w:r>
    </w:p>
    <w:sectPr w:rsidR="00535931" w:rsidRPr="00290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151"/>
    <w:multiLevelType w:val="multilevel"/>
    <w:tmpl w:val="52D6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4052"/>
    <w:multiLevelType w:val="multilevel"/>
    <w:tmpl w:val="91A8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4556"/>
    <w:multiLevelType w:val="multilevel"/>
    <w:tmpl w:val="5CC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C7107"/>
    <w:multiLevelType w:val="multilevel"/>
    <w:tmpl w:val="C5D877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3752B"/>
    <w:multiLevelType w:val="multilevel"/>
    <w:tmpl w:val="6228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77E64"/>
    <w:multiLevelType w:val="multilevel"/>
    <w:tmpl w:val="2BD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94360"/>
    <w:multiLevelType w:val="hybridMultilevel"/>
    <w:tmpl w:val="DBA87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28DD"/>
    <w:multiLevelType w:val="multilevel"/>
    <w:tmpl w:val="D8A4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67B51"/>
    <w:multiLevelType w:val="multilevel"/>
    <w:tmpl w:val="5DC0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8B"/>
    <w:rsid w:val="001019C9"/>
    <w:rsid w:val="00104A50"/>
    <w:rsid w:val="002025D3"/>
    <w:rsid w:val="00203B07"/>
    <w:rsid w:val="002903BD"/>
    <w:rsid w:val="002D7A82"/>
    <w:rsid w:val="00535931"/>
    <w:rsid w:val="00707B5B"/>
    <w:rsid w:val="007C5B0D"/>
    <w:rsid w:val="00DF168B"/>
    <w:rsid w:val="00EC3690"/>
    <w:rsid w:val="00F07D61"/>
    <w:rsid w:val="00F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2AE5"/>
  <w15:chartTrackingRefBased/>
  <w15:docId w15:val="{2BD12FB2-9CEE-413F-9772-AA62B57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Hitthaler, Elisabeth</dc:creator>
  <cp:keywords/>
  <dc:description/>
  <cp:lastModifiedBy>Hitthaler, Elisabeth</cp:lastModifiedBy>
  <cp:revision>1</cp:revision>
  <dcterms:created xsi:type="dcterms:W3CDTF">2023-02-14T07:33:00Z</dcterms:created>
  <dcterms:modified xsi:type="dcterms:W3CDTF">2023-02-14T08:26:00Z</dcterms:modified>
</cp:coreProperties>
</file>