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ayout w:type="fixed"/>
        <w:tblCellMar>
          <w:left w:w="71" w:type="dxa"/>
          <w:right w:w="71" w:type="dxa"/>
        </w:tblCellMar>
        <w:tblLook w:val="0000" w:firstRow="0" w:lastRow="0" w:firstColumn="0" w:lastColumn="0" w:noHBand="0" w:noVBand="0"/>
      </w:tblPr>
      <w:tblGrid>
        <w:gridCol w:w="4253"/>
        <w:gridCol w:w="850"/>
        <w:gridCol w:w="4536"/>
      </w:tblGrid>
      <w:tr w:rsidR="00D10C06" w:rsidRPr="005A1FCA" w14:paraId="240A17E4" w14:textId="77777777" w:rsidTr="00C16B7F">
        <w:trPr>
          <w:jc w:val="center"/>
        </w:trPr>
        <w:tc>
          <w:tcPr>
            <w:tcW w:w="4253" w:type="dxa"/>
          </w:tcPr>
          <w:p w14:paraId="625ABA1B" w14:textId="735108CC" w:rsidR="00D10C06" w:rsidRPr="005A1FCA" w:rsidRDefault="003A193E" w:rsidP="00C16B7F">
            <w:pPr>
              <w:jc w:val="center"/>
              <w:rPr>
                <w:rFonts w:ascii="Calibri" w:hAnsi="Calibri" w:cs="Calibri"/>
                <w:b/>
                <w:bCs/>
                <w:sz w:val="22"/>
                <w:szCs w:val="22"/>
              </w:rPr>
            </w:pPr>
            <w:r w:rsidRPr="005A1FCA">
              <w:rPr>
                <w:rFonts w:ascii="Calibri" w:hAnsi="Calibri" w:cs="Calibri"/>
                <w:b/>
                <w:bCs/>
                <w:sz w:val="22"/>
                <w:szCs w:val="22"/>
              </w:rPr>
              <w:t xml:space="preserve">Geänderte Artikel des </w:t>
            </w:r>
            <w:r w:rsidRPr="005A1FCA">
              <w:rPr>
                <w:rFonts w:ascii="Calibri" w:hAnsi="Calibri" w:cs="Calibri"/>
                <w:b/>
                <w:bCs/>
                <w:sz w:val="22"/>
                <w:szCs w:val="22"/>
                <w:lang w:eastAsia="de-DE"/>
              </w:rPr>
              <w:t>Landesgesetzes vom 17. Dezember 2015, Nr. 16</w:t>
            </w:r>
            <w:r w:rsidRPr="005A1FCA">
              <w:rPr>
                <w:rFonts w:ascii="Calibri" w:hAnsi="Calibri" w:cs="Calibri"/>
                <w:b/>
                <w:bCs/>
                <w:sz w:val="22"/>
                <w:szCs w:val="22"/>
              </w:rPr>
              <w:t xml:space="preserve">, betreffend </w:t>
            </w:r>
            <w:r w:rsidRPr="005A1FCA">
              <w:rPr>
                <w:rFonts w:ascii="Calibri" w:hAnsi="Calibri" w:cs="Calibri"/>
                <w:b/>
                <w:bCs/>
                <w:i/>
                <w:iCs/>
                <w:sz w:val="22"/>
                <w:szCs w:val="22"/>
              </w:rPr>
              <w:t>„Bestimmungen über die öffentliche Auftragsvergabe“</w:t>
            </w:r>
          </w:p>
        </w:tc>
        <w:tc>
          <w:tcPr>
            <w:tcW w:w="850" w:type="dxa"/>
          </w:tcPr>
          <w:p w14:paraId="4DA2976B" w14:textId="77777777" w:rsidR="00D10C06" w:rsidRPr="005A1FCA" w:rsidRDefault="00D10C06" w:rsidP="00C16B7F">
            <w:pPr>
              <w:jc w:val="center"/>
              <w:rPr>
                <w:rFonts w:ascii="Calibri" w:hAnsi="Calibri" w:cs="Calibri"/>
                <w:b/>
                <w:bCs/>
                <w:sz w:val="22"/>
                <w:szCs w:val="22"/>
              </w:rPr>
            </w:pPr>
          </w:p>
        </w:tc>
        <w:tc>
          <w:tcPr>
            <w:tcW w:w="4536" w:type="dxa"/>
          </w:tcPr>
          <w:p w14:paraId="18AF6ADC" w14:textId="4E830AB8" w:rsidR="00D10C06" w:rsidRPr="005A1FCA" w:rsidRDefault="003A193E" w:rsidP="00C16B7F">
            <w:pPr>
              <w:jc w:val="center"/>
              <w:rPr>
                <w:rFonts w:ascii="Calibri" w:hAnsi="Calibri" w:cs="Calibri"/>
                <w:b/>
                <w:bCs/>
                <w:sz w:val="22"/>
                <w:szCs w:val="22"/>
                <w:lang w:val="it-IT"/>
              </w:rPr>
            </w:pPr>
            <w:r w:rsidRPr="005A1FCA">
              <w:rPr>
                <w:rFonts w:ascii="Calibri" w:hAnsi="Calibri" w:cs="Calibri"/>
                <w:b/>
                <w:bCs/>
                <w:sz w:val="22"/>
                <w:szCs w:val="22"/>
                <w:lang w:val="it-IT"/>
              </w:rPr>
              <w:t xml:space="preserve">Articoli modificati della </w:t>
            </w:r>
            <w:r w:rsidRPr="005A1FCA">
              <w:rPr>
                <w:rFonts w:ascii="Calibri" w:hAnsi="Calibri" w:cs="Calibri"/>
                <w:b/>
                <w:bCs/>
                <w:sz w:val="22"/>
                <w:szCs w:val="22"/>
                <w:lang w:val="it-IT" w:eastAsia="de-DE"/>
              </w:rPr>
              <w:t xml:space="preserve">legge provinciale 17 dicembre 2015, n. 16, recante </w:t>
            </w:r>
            <w:r w:rsidRPr="005A1FCA">
              <w:rPr>
                <w:rFonts w:ascii="Calibri" w:hAnsi="Calibri" w:cs="Calibri"/>
                <w:b/>
                <w:bCs/>
                <w:i/>
                <w:iCs/>
                <w:sz w:val="22"/>
                <w:szCs w:val="22"/>
                <w:lang w:val="it-IT" w:eastAsia="de-DE"/>
              </w:rPr>
              <w:t>“Disposizioni sugli appalti pubblici”</w:t>
            </w:r>
          </w:p>
          <w:p w14:paraId="64336DD9" w14:textId="52ED94B3" w:rsidR="003A193E" w:rsidRPr="005A1FCA" w:rsidRDefault="003A193E" w:rsidP="00C16B7F">
            <w:pPr>
              <w:jc w:val="center"/>
              <w:rPr>
                <w:rFonts w:ascii="Calibri" w:hAnsi="Calibri" w:cs="Calibri"/>
                <w:b/>
                <w:bCs/>
                <w:sz w:val="22"/>
                <w:szCs w:val="22"/>
                <w:lang w:val="it-IT"/>
              </w:rPr>
            </w:pPr>
          </w:p>
        </w:tc>
      </w:tr>
    </w:tbl>
    <w:p w14:paraId="1528D49A" w14:textId="5A70E0B3" w:rsidR="003A193E" w:rsidRDefault="003A193E">
      <w:pPr>
        <w:rPr>
          <w:rFonts w:ascii="Calibri" w:hAnsi="Calibri" w:cs="Calibri"/>
          <w:sz w:val="22"/>
          <w:szCs w:val="22"/>
          <w:lang w:val="it-IT"/>
        </w:rPr>
      </w:pPr>
    </w:p>
    <w:p w14:paraId="3BC007C1" w14:textId="77777777" w:rsidR="00FE7A4A" w:rsidRPr="005A1FCA" w:rsidRDefault="00FE7A4A">
      <w:pPr>
        <w:rPr>
          <w:rFonts w:ascii="Calibri" w:hAnsi="Calibri" w:cs="Calibri"/>
          <w:sz w:val="22"/>
          <w:szCs w:val="22"/>
          <w:lang w:val="it-IT"/>
        </w:rPr>
      </w:pPr>
    </w:p>
    <w:tbl>
      <w:tblPr>
        <w:tblW w:w="9639" w:type="dxa"/>
        <w:jc w:val="center"/>
        <w:tblLayout w:type="fixed"/>
        <w:tblCellMar>
          <w:left w:w="71" w:type="dxa"/>
          <w:right w:w="71" w:type="dxa"/>
        </w:tblCellMar>
        <w:tblLook w:val="0000" w:firstRow="0" w:lastRow="0" w:firstColumn="0" w:lastColumn="0" w:noHBand="0" w:noVBand="0"/>
      </w:tblPr>
      <w:tblGrid>
        <w:gridCol w:w="4253"/>
        <w:gridCol w:w="850"/>
        <w:gridCol w:w="4536"/>
      </w:tblGrid>
      <w:tr w:rsidR="00033CCB" w:rsidRPr="005A1FCA" w14:paraId="5D7DCC1E" w14:textId="77777777" w:rsidTr="00033CCB">
        <w:trPr>
          <w:jc w:val="center"/>
        </w:trPr>
        <w:tc>
          <w:tcPr>
            <w:tcW w:w="4253" w:type="dxa"/>
          </w:tcPr>
          <w:p w14:paraId="3577BB0C" w14:textId="43D09923" w:rsidR="00033CCB" w:rsidRPr="005A1FCA" w:rsidRDefault="00033CCB" w:rsidP="005F4510">
            <w:pPr>
              <w:jc w:val="center"/>
              <w:rPr>
                <w:rFonts w:ascii="Calibri" w:hAnsi="Calibri" w:cs="Calibri"/>
                <w:b/>
                <w:bCs/>
                <w:color w:val="FF0000"/>
                <w:sz w:val="22"/>
                <w:szCs w:val="22"/>
              </w:rPr>
            </w:pPr>
            <w:r w:rsidRPr="005A1FCA">
              <w:rPr>
                <w:rFonts w:ascii="Calibri" w:hAnsi="Calibri" w:cs="Calibri"/>
                <w:b/>
                <w:bCs/>
                <w:color w:val="FF0000"/>
                <w:sz w:val="22"/>
                <w:szCs w:val="22"/>
              </w:rPr>
              <w:t>Art. 2-ter</w:t>
            </w:r>
          </w:p>
        </w:tc>
        <w:tc>
          <w:tcPr>
            <w:tcW w:w="850" w:type="dxa"/>
          </w:tcPr>
          <w:p w14:paraId="4D4F9460" w14:textId="77777777" w:rsidR="00033CCB" w:rsidRPr="005A1FCA" w:rsidRDefault="00033CCB" w:rsidP="00033CCB">
            <w:pPr>
              <w:jc w:val="center"/>
              <w:rPr>
                <w:rFonts w:ascii="Calibri" w:hAnsi="Calibri" w:cs="Calibri"/>
                <w:b/>
                <w:bCs/>
                <w:color w:val="FF0000"/>
                <w:sz w:val="22"/>
                <w:szCs w:val="22"/>
              </w:rPr>
            </w:pPr>
          </w:p>
        </w:tc>
        <w:tc>
          <w:tcPr>
            <w:tcW w:w="4536" w:type="dxa"/>
          </w:tcPr>
          <w:p w14:paraId="00FBF8A0" w14:textId="56114693" w:rsidR="00033CCB" w:rsidRPr="005A1FCA" w:rsidRDefault="00033CCB" w:rsidP="00033CCB">
            <w:pPr>
              <w:jc w:val="center"/>
              <w:rPr>
                <w:rFonts w:ascii="Calibri" w:hAnsi="Calibri" w:cs="Calibri"/>
                <w:b/>
                <w:bCs/>
                <w:color w:val="FF0000"/>
                <w:sz w:val="22"/>
                <w:szCs w:val="22"/>
                <w:lang w:val="it-IT"/>
              </w:rPr>
            </w:pPr>
            <w:r w:rsidRPr="005A1FCA">
              <w:rPr>
                <w:rFonts w:ascii="Calibri" w:hAnsi="Calibri" w:cs="Calibri"/>
                <w:b/>
                <w:bCs/>
                <w:color w:val="FF0000"/>
                <w:sz w:val="22"/>
                <w:szCs w:val="22"/>
                <w:lang w:val="it-IT"/>
              </w:rPr>
              <w:t>Art. 2 - ter</w:t>
            </w:r>
          </w:p>
        </w:tc>
      </w:tr>
      <w:tr w:rsidR="00033CCB" w:rsidRPr="005A1FCA" w14:paraId="2C4AF17A" w14:textId="77777777" w:rsidTr="00033CCB">
        <w:trPr>
          <w:jc w:val="center"/>
        </w:trPr>
        <w:tc>
          <w:tcPr>
            <w:tcW w:w="4253" w:type="dxa"/>
          </w:tcPr>
          <w:p w14:paraId="3E0C8B5E" w14:textId="77777777" w:rsidR="00033CCB" w:rsidRPr="005A1FCA" w:rsidRDefault="00033CCB" w:rsidP="00033CCB">
            <w:pPr>
              <w:jc w:val="center"/>
              <w:rPr>
                <w:rFonts w:ascii="Calibri" w:hAnsi="Calibri" w:cs="Calibri"/>
                <w:color w:val="FF0000"/>
                <w:sz w:val="22"/>
                <w:szCs w:val="22"/>
              </w:rPr>
            </w:pPr>
            <w:r w:rsidRPr="005A1FCA">
              <w:rPr>
                <w:rFonts w:ascii="Calibri" w:hAnsi="Calibri" w:cs="Calibri"/>
                <w:color w:val="FF0000"/>
                <w:sz w:val="22"/>
                <w:szCs w:val="22"/>
              </w:rPr>
              <w:t>(Ausgenommene Aufträge in den ordentlichen Bereichen)</w:t>
            </w:r>
          </w:p>
          <w:p w14:paraId="024B6CBE" w14:textId="77777777" w:rsidR="00033CCB" w:rsidRPr="005A1FCA" w:rsidRDefault="00033CCB" w:rsidP="00033CCB">
            <w:pPr>
              <w:jc w:val="center"/>
              <w:rPr>
                <w:rFonts w:ascii="Calibri" w:hAnsi="Calibri" w:cs="Calibri"/>
                <w:color w:val="FF0000"/>
                <w:sz w:val="22"/>
                <w:szCs w:val="22"/>
              </w:rPr>
            </w:pPr>
          </w:p>
        </w:tc>
        <w:tc>
          <w:tcPr>
            <w:tcW w:w="850" w:type="dxa"/>
          </w:tcPr>
          <w:p w14:paraId="22977577" w14:textId="77777777" w:rsidR="00033CCB" w:rsidRPr="005A1FCA" w:rsidRDefault="00033CCB" w:rsidP="00033CCB">
            <w:pPr>
              <w:jc w:val="center"/>
              <w:rPr>
                <w:rFonts w:ascii="Calibri" w:hAnsi="Calibri" w:cs="Calibri"/>
                <w:color w:val="FF0000"/>
                <w:sz w:val="22"/>
                <w:szCs w:val="22"/>
              </w:rPr>
            </w:pPr>
          </w:p>
        </w:tc>
        <w:tc>
          <w:tcPr>
            <w:tcW w:w="4536" w:type="dxa"/>
          </w:tcPr>
          <w:p w14:paraId="278211CD" w14:textId="77777777" w:rsidR="00033CCB" w:rsidRPr="005A1FCA" w:rsidRDefault="00033CCB" w:rsidP="00033CCB">
            <w:pPr>
              <w:jc w:val="center"/>
              <w:rPr>
                <w:rFonts w:ascii="Calibri" w:hAnsi="Calibri" w:cs="Calibri"/>
                <w:color w:val="FF0000"/>
                <w:sz w:val="22"/>
                <w:szCs w:val="22"/>
                <w:lang w:val="it-IT"/>
              </w:rPr>
            </w:pPr>
            <w:r w:rsidRPr="005A1FCA">
              <w:rPr>
                <w:rFonts w:ascii="Calibri" w:hAnsi="Calibri" w:cs="Calibri"/>
                <w:color w:val="FF0000"/>
                <w:sz w:val="22"/>
                <w:szCs w:val="22"/>
                <w:lang w:val="it-IT"/>
              </w:rPr>
              <w:t>(Appalti esclusi nei settori ordinari)</w:t>
            </w:r>
          </w:p>
          <w:p w14:paraId="43F1BF76" w14:textId="77777777" w:rsidR="00033CCB" w:rsidRPr="005A1FCA" w:rsidRDefault="00033CCB" w:rsidP="00033CCB">
            <w:pPr>
              <w:jc w:val="center"/>
              <w:rPr>
                <w:rFonts w:ascii="Calibri" w:hAnsi="Calibri" w:cs="Calibri"/>
                <w:color w:val="FF0000"/>
                <w:sz w:val="22"/>
                <w:szCs w:val="22"/>
                <w:lang w:val="it-IT"/>
              </w:rPr>
            </w:pPr>
          </w:p>
        </w:tc>
      </w:tr>
      <w:tr w:rsidR="00DA67ED" w:rsidRPr="005A1FCA" w14:paraId="3ADD7A65" w14:textId="77777777" w:rsidTr="000C19B0">
        <w:trPr>
          <w:jc w:val="center"/>
        </w:trPr>
        <w:tc>
          <w:tcPr>
            <w:tcW w:w="4253" w:type="dxa"/>
          </w:tcPr>
          <w:p w14:paraId="3B281F7A" w14:textId="3ECCB291" w:rsidR="00DA67ED" w:rsidRPr="005A1FCA" w:rsidRDefault="00DA67ED" w:rsidP="00DA67ED">
            <w:pPr>
              <w:jc w:val="both"/>
              <w:rPr>
                <w:rFonts w:ascii="Calibri" w:hAnsi="Calibri" w:cs="Calibri"/>
                <w:color w:val="FF0000"/>
                <w:sz w:val="22"/>
                <w:szCs w:val="22"/>
              </w:rPr>
            </w:pPr>
            <w:r w:rsidRPr="005A1FCA">
              <w:rPr>
                <w:rFonts w:ascii="Calibri" w:hAnsi="Calibri" w:cs="Calibri"/>
                <w:color w:val="FF0000"/>
                <w:sz w:val="22"/>
                <w:szCs w:val="22"/>
              </w:rPr>
              <w:t>1. Die Bestimmungen dieses Gesetzes betreffend die ordentlichen Bereiche gelten nicht für öffentliche Aufträge die den Kauf von landwirtschaftlichen Erzeugnissen und Nahrungsmitteln im Wert von bis zu 20.000 Euro pro Unternehmen und Jahr, von einzelnen oder verbundenen landwirtschaftlichen Betrieben betreffen, die in den Gemeinden liegen, die gemäß den geltenden Rechtsvorschriften als vollkommene Berggemeinden eingestuft sind.</w:t>
            </w:r>
          </w:p>
        </w:tc>
        <w:tc>
          <w:tcPr>
            <w:tcW w:w="850" w:type="dxa"/>
          </w:tcPr>
          <w:p w14:paraId="0D4C69BC" w14:textId="77777777" w:rsidR="00DA67ED" w:rsidRPr="005A1FCA" w:rsidRDefault="00DA67ED" w:rsidP="00DA67ED">
            <w:pPr>
              <w:jc w:val="both"/>
              <w:rPr>
                <w:rFonts w:ascii="Calibri" w:hAnsi="Calibri" w:cs="Calibri"/>
                <w:color w:val="FF0000"/>
                <w:sz w:val="22"/>
                <w:szCs w:val="22"/>
              </w:rPr>
            </w:pPr>
          </w:p>
        </w:tc>
        <w:tc>
          <w:tcPr>
            <w:tcW w:w="4536" w:type="dxa"/>
          </w:tcPr>
          <w:p w14:paraId="4780FFAD" w14:textId="687A81A6" w:rsidR="00DA67ED" w:rsidRPr="005A1FCA" w:rsidRDefault="00DA67ED" w:rsidP="00DA67ED">
            <w:pPr>
              <w:jc w:val="both"/>
              <w:rPr>
                <w:rFonts w:ascii="Calibri" w:hAnsi="Calibri" w:cs="Calibri"/>
                <w:color w:val="FF0000"/>
                <w:sz w:val="22"/>
                <w:szCs w:val="22"/>
                <w:lang w:val="it-IT"/>
              </w:rPr>
            </w:pPr>
            <w:r w:rsidRPr="005A1FCA">
              <w:rPr>
                <w:rFonts w:ascii="Calibri" w:hAnsi="Calibri" w:cs="Calibri"/>
                <w:color w:val="FF0000"/>
                <w:sz w:val="22"/>
                <w:szCs w:val="22"/>
                <w:lang w:val="it-IT"/>
              </w:rPr>
              <w:t>1. Le disposizioni della presente legge relative ai settori ordinari non si applicano agli appalti pubblici aventi ad oggetto l'acquisto di prodotti agricoli e alimentari per un valore non superiore a 20.000 euro annui per ciascuna impresa, da imprese agricole singole o associate situate in comuni classificati totalmente montani secondo la normativa vigente.</w:t>
            </w:r>
          </w:p>
        </w:tc>
      </w:tr>
    </w:tbl>
    <w:p w14:paraId="0692834D" w14:textId="77777777" w:rsidR="005F4510" w:rsidRDefault="005F4510" w:rsidP="003F708D">
      <w:pPr>
        <w:jc w:val="center"/>
        <w:rPr>
          <w:rFonts w:ascii="Calibri" w:hAnsi="Calibri" w:cs="Calibri"/>
          <w:sz w:val="22"/>
          <w:szCs w:val="22"/>
          <w:lang w:val="it-IT"/>
        </w:rPr>
      </w:pPr>
    </w:p>
    <w:p w14:paraId="144A6C4B" w14:textId="77777777" w:rsidR="00FE7A4A" w:rsidRPr="005A1FCA" w:rsidRDefault="00FE7A4A" w:rsidP="003F708D">
      <w:pPr>
        <w:jc w:val="center"/>
        <w:rPr>
          <w:rFonts w:ascii="Calibri" w:hAnsi="Calibri" w:cs="Calibri"/>
          <w:sz w:val="22"/>
          <w:szCs w:val="22"/>
          <w:lang w:val="it-IT"/>
        </w:rPr>
      </w:pPr>
    </w:p>
    <w:tbl>
      <w:tblPr>
        <w:tblW w:w="9639" w:type="dxa"/>
        <w:jc w:val="center"/>
        <w:tblLayout w:type="fixed"/>
        <w:tblCellMar>
          <w:left w:w="71" w:type="dxa"/>
          <w:right w:w="71" w:type="dxa"/>
        </w:tblCellMar>
        <w:tblLook w:val="0000" w:firstRow="0" w:lastRow="0" w:firstColumn="0" w:lastColumn="0" w:noHBand="0" w:noVBand="0"/>
      </w:tblPr>
      <w:tblGrid>
        <w:gridCol w:w="4253"/>
        <w:gridCol w:w="850"/>
        <w:gridCol w:w="4536"/>
      </w:tblGrid>
      <w:tr w:rsidR="005F4510" w:rsidRPr="005A1FCA" w14:paraId="389DCBAD" w14:textId="77777777" w:rsidTr="000C19B0">
        <w:trPr>
          <w:jc w:val="center"/>
        </w:trPr>
        <w:tc>
          <w:tcPr>
            <w:tcW w:w="4253" w:type="dxa"/>
          </w:tcPr>
          <w:p w14:paraId="5F514C17" w14:textId="714EC16E" w:rsidR="005F4510" w:rsidRPr="005A1FCA" w:rsidRDefault="005F4510" w:rsidP="00EA20BE">
            <w:pPr>
              <w:jc w:val="center"/>
              <w:rPr>
                <w:rFonts w:ascii="Calibri" w:hAnsi="Calibri" w:cs="Calibri"/>
                <w:b/>
                <w:bCs/>
                <w:sz w:val="22"/>
                <w:szCs w:val="22"/>
              </w:rPr>
            </w:pPr>
            <w:r w:rsidRPr="005A1FCA">
              <w:rPr>
                <w:rFonts w:ascii="Calibri" w:hAnsi="Calibri" w:cs="Calibri"/>
                <w:b/>
                <w:bCs/>
                <w:sz w:val="22"/>
                <w:szCs w:val="22"/>
              </w:rPr>
              <w:t xml:space="preserve">Art. 3 </w:t>
            </w:r>
          </w:p>
        </w:tc>
        <w:tc>
          <w:tcPr>
            <w:tcW w:w="850" w:type="dxa"/>
          </w:tcPr>
          <w:p w14:paraId="4CE0EAD1" w14:textId="77777777" w:rsidR="005F4510" w:rsidRPr="005A1FCA" w:rsidRDefault="005F4510" w:rsidP="000C19B0">
            <w:pPr>
              <w:jc w:val="center"/>
              <w:rPr>
                <w:rFonts w:ascii="Calibri" w:hAnsi="Calibri" w:cs="Calibri"/>
                <w:sz w:val="22"/>
                <w:szCs w:val="22"/>
              </w:rPr>
            </w:pPr>
          </w:p>
        </w:tc>
        <w:tc>
          <w:tcPr>
            <w:tcW w:w="4536" w:type="dxa"/>
          </w:tcPr>
          <w:p w14:paraId="08C6404F" w14:textId="755F8694" w:rsidR="005F4510" w:rsidRPr="005A1FCA" w:rsidRDefault="005F4510" w:rsidP="00EA20BE">
            <w:pPr>
              <w:jc w:val="center"/>
              <w:rPr>
                <w:rFonts w:ascii="Calibri" w:hAnsi="Calibri" w:cs="Calibri"/>
                <w:b/>
                <w:bCs/>
                <w:sz w:val="22"/>
                <w:szCs w:val="22"/>
              </w:rPr>
            </w:pPr>
            <w:r w:rsidRPr="005A1FCA">
              <w:rPr>
                <w:rFonts w:ascii="Calibri" w:hAnsi="Calibri" w:cs="Calibri"/>
                <w:b/>
                <w:bCs/>
                <w:sz w:val="22"/>
                <w:szCs w:val="22"/>
              </w:rPr>
              <w:t xml:space="preserve">Art. 3 </w:t>
            </w:r>
          </w:p>
        </w:tc>
      </w:tr>
      <w:tr w:rsidR="00EA20BE" w:rsidRPr="005A1FCA" w14:paraId="2C623E2C" w14:textId="77777777" w:rsidTr="000C19B0">
        <w:trPr>
          <w:jc w:val="center"/>
        </w:trPr>
        <w:tc>
          <w:tcPr>
            <w:tcW w:w="4253" w:type="dxa"/>
          </w:tcPr>
          <w:p w14:paraId="379B42BC" w14:textId="2ED30AB6" w:rsidR="00EA20BE" w:rsidRPr="005A1FCA" w:rsidRDefault="00EA20BE" w:rsidP="000C19B0">
            <w:pPr>
              <w:jc w:val="center"/>
              <w:rPr>
                <w:rFonts w:ascii="Calibri" w:hAnsi="Calibri" w:cs="Calibri"/>
                <w:b/>
                <w:bCs/>
                <w:sz w:val="22"/>
                <w:szCs w:val="22"/>
              </w:rPr>
            </w:pPr>
            <w:r w:rsidRPr="005A1FCA">
              <w:rPr>
                <w:rFonts w:ascii="Calibri" w:hAnsi="Calibri" w:cs="Calibri"/>
                <w:sz w:val="22"/>
                <w:szCs w:val="22"/>
              </w:rPr>
              <w:t>(Definition der Unterteilungen)</w:t>
            </w:r>
          </w:p>
        </w:tc>
        <w:tc>
          <w:tcPr>
            <w:tcW w:w="850" w:type="dxa"/>
          </w:tcPr>
          <w:p w14:paraId="5A5C066E" w14:textId="77777777" w:rsidR="00EA20BE" w:rsidRPr="005A1FCA" w:rsidRDefault="00EA20BE" w:rsidP="000C19B0">
            <w:pPr>
              <w:jc w:val="center"/>
              <w:rPr>
                <w:rFonts w:ascii="Calibri" w:hAnsi="Calibri" w:cs="Calibri"/>
                <w:sz w:val="22"/>
                <w:szCs w:val="22"/>
              </w:rPr>
            </w:pPr>
          </w:p>
        </w:tc>
        <w:tc>
          <w:tcPr>
            <w:tcW w:w="4536" w:type="dxa"/>
          </w:tcPr>
          <w:p w14:paraId="561A1BE9" w14:textId="77777777" w:rsidR="00EA20BE" w:rsidRPr="005A1FCA" w:rsidRDefault="00EA20BE" w:rsidP="000C19B0">
            <w:pPr>
              <w:jc w:val="center"/>
              <w:rPr>
                <w:rFonts w:ascii="Calibri" w:hAnsi="Calibri" w:cs="Calibri"/>
                <w:sz w:val="22"/>
                <w:szCs w:val="22"/>
              </w:rPr>
            </w:pPr>
            <w:r w:rsidRPr="005A1FCA">
              <w:rPr>
                <w:rFonts w:ascii="Calibri" w:hAnsi="Calibri" w:cs="Calibri"/>
                <w:sz w:val="22"/>
                <w:szCs w:val="22"/>
              </w:rPr>
              <w:t>(Definizione delle suddivisioni)</w:t>
            </w:r>
          </w:p>
          <w:p w14:paraId="176F8587" w14:textId="59BFE416" w:rsidR="00EA20BE" w:rsidRPr="005A1FCA" w:rsidRDefault="00EA20BE" w:rsidP="000C19B0">
            <w:pPr>
              <w:jc w:val="center"/>
              <w:rPr>
                <w:rFonts w:ascii="Calibri" w:hAnsi="Calibri" w:cs="Calibri"/>
                <w:b/>
                <w:bCs/>
                <w:sz w:val="22"/>
                <w:szCs w:val="22"/>
              </w:rPr>
            </w:pPr>
          </w:p>
        </w:tc>
      </w:tr>
      <w:tr w:rsidR="0041078A" w:rsidRPr="005A1FCA" w14:paraId="6E2F4BD0" w14:textId="77777777" w:rsidTr="00BC6450">
        <w:trPr>
          <w:jc w:val="center"/>
        </w:trPr>
        <w:tc>
          <w:tcPr>
            <w:tcW w:w="9639" w:type="dxa"/>
            <w:gridSpan w:val="3"/>
          </w:tcPr>
          <w:p w14:paraId="3CA4D6CF" w14:textId="77777777" w:rsidR="0041078A" w:rsidRDefault="0041078A" w:rsidP="00FE7A4A">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p w14:paraId="38429A89" w14:textId="300C4E28" w:rsidR="00FE7A4A" w:rsidRPr="005A1FCA" w:rsidRDefault="00FE7A4A" w:rsidP="00FE7A4A">
            <w:pPr>
              <w:jc w:val="center"/>
              <w:rPr>
                <w:rFonts w:ascii="Calibri" w:hAnsi="Calibri" w:cs="Calibri"/>
                <w:b/>
                <w:bCs/>
                <w:i/>
                <w:iCs/>
                <w:sz w:val="22"/>
                <w:szCs w:val="22"/>
                <w:lang w:val="it-IT"/>
              </w:rPr>
            </w:pPr>
          </w:p>
        </w:tc>
      </w:tr>
      <w:tr w:rsidR="005F4510" w:rsidRPr="005A1FCA" w14:paraId="0E380F3B" w14:textId="77777777" w:rsidTr="000C19B0">
        <w:trPr>
          <w:jc w:val="center"/>
        </w:trPr>
        <w:tc>
          <w:tcPr>
            <w:tcW w:w="4253" w:type="dxa"/>
          </w:tcPr>
          <w:p w14:paraId="42E32B96" w14:textId="1D67A9FD" w:rsidR="005F4510" w:rsidRPr="005A1FCA" w:rsidRDefault="005F4510" w:rsidP="00C93DA5">
            <w:pPr>
              <w:pStyle w:val="Listenabsatz"/>
              <w:numPr>
                <w:ilvl w:val="0"/>
                <w:numId w:val="42"/>
              </w:numPr>
              <w:jc w:val="both"/>
              <w:rPr>
                <w:rFonts w:ascii="Calibri" w:hAnsi="Calibri" w:cs="Calibri"/>
                <w:sz w:val="22"/>
                <w:szCs w:val="22"/>
              </w:rPr>
            </w:pPr>
            <w:r w:rsidRPr="005A1FCA">
              <w:rPr>
                <w:rFonts w:ascii="Calibri" w:hAnsi="Calibri" w:cs="Calibri"/>
                <w:sz w:val="22"/>
                <w:szCs w:val="22"/>
                <w:lang w:eastAsia="de-DE"/>
              </w:rPr>
              <w:t xml:space="preserve">„quantitatives Los“: ein spezifischer, auch mit getrenntem oder unabhängigem Verfahren zu vergebender Auftragsgegenstand </w:t>
            </w:r>
            <w:r w:rsidRPr="005A1FCA">
              <w:rPr>
                <w:rFonts w:ascii="Calibri" w:hAnsi="Calibri" w:cs="Calibri"/>
                <w:strike/>
                <w:color w:val="E40000"/>
                <w:sz w:val="22"/>
                <w:szCs w:val="22"/>
                <w:lang w:eastAsia="de-DE"/>
              </w:rPr>
              <w:t>mit</w:t>
            </w:r>
            <w:r w:rsidRPr="005A1FCA">
              <w:rPr>
                <w:rFonts w:ascii="Calibri" w:hAnsi="Calibri" w:cs="Calibri"/>
                <w:color w:val="E40000"/>
                <w:sz w:val="22"/>
                <w:szCs w:val="22"/>
                <w:lang w:eastAsia="de-DE"/>
              </w:rPr>
              <w:t xml:space="preserve"> </w:t>
            </w:r>
            <w:r w:rsidRPr="005A1FCA">
              <w:rPr>
                <w:rFonts w:ascii="Calibri" w:hAnsi="Calibri" w:cs="Calibri"/>
                <w:strike/>
                <w:color w:val="E40000"/>
                <w:sz w:val="22"/>
                <w:szCs w:val="22"/>
                <w:lang w:eastAsia="de-DE"/>
              </w:rPr>
              <w:t>funktioneller Eigenständigkeit</w:t>
            </w:r>
            <w:r w:rsidRPr="005A1FCA">
              <w:rPr>
                <w:rFonts w:ascii="Calibri" w:hAnsi="Calibri" w:cs="Calibri"/>
                <w:color w:val="E40000"/>
                <w:sz w:val="22"/>
                <w:szCs w:val="22"/>
                <w:lang w:eastAsia="de-DE"/>
              </w:rPr>
              <w:t>,</w:t>
            </w:r>
            <w:r w:rsidRPr="005A1FCA">
              <w:rPr>
                <w:rFonts w:ascii="Calibri" w:hAnsi="Calibri" w:cs="Calibri"/>
                <w:sz w:val="22"/>
                <w:szCs w:val="22"/>
                <w:lang w:eastAsia="de-DE"/>
              </w:rPr>
              <w:t xml:space="preserve"> der auf rein quantitativer Basis in Übereinstimmung mit den verschiedenen vorhandenen Kategorien und Spezialisierungen oder in Übereinstimmung mit den verschiedenen aufeinanderfolgenden Projektphasen – der wirtschaftlichen und finanziellen Leistungsfähigkeit der kleinen und mittleren Unternehmen entsprechend − bestimmt ist</w:t>
            </w:r>
            <w:r w:rsidRPr="005A1FCA">
              <w:rPr>
                <w:rFonts w:ascii="Calibri" w:hAnsi="Calibri" w:cs="Calibri"/>
                <w:color w:val="FF0000"/>
                <w:sz w:val="22"/>
                <w:szCs w:val="22"/>
                <w:lang w:eastAsia="de-DE"/>
              </w:rPr>
              <w:t>,</w:t>
            </w:r>
            <w:r w:rsidRPr="005A1FCA">
              <w:rPr>
                <w:rFonts w:ascii="Calibri" w:hAnsi="Calibri" w:cs="Calibri"/>
                <w:color w:val="FF0000"/>
                <w:sz w:val="22"/>
                <w:szCs w:val="22"/>
              </w:rPr>
              <w:t xml:space="preserve"> s</w:t>
            </w:r>
            <w:r w:rsidRPr="005A1FCA">
              <w:rPr>
                <w:rFonts w:ascii="Calibri" w:hAnsi="Calibri" w:cs="Calibri"/>
                <w:color w:val="E40000"/>
                <w:sz w:val="22"/>
                <w:szCs w:val="22"/>
              </w:rPr>
              <w:t>ofern dieser in einer Programmierung enthalten ist, die die Realisierung von Bauwerken mit funktioneller Eigenständigkeit gewährleistet.</w:t>
            </w:r>
          </w:p>
        </w:tc>
        <w:tc>
          <w:tcPr>
            <w:tcW w:w="850" w:type="dxa"/>
          </w:tcPr>
          <w:p w14:paraId="200BFD4D" w14:textId="77777777" w:rsidR="005F4510" w:rsidRPr="005A1FCA" w:rsidRDefault="005F4510" w:rsidP="000C19B0">
            <w:pPr>
              <w:jc w:val="both"/>
              <w:rPr>
                <w:rFonts w:ascii="Calibri" w:hAnsi="Calibri" w:cs="Calibri"/>
                <w:sz w:val="22"/>
                <w:szCs w:val="22"/>
              </w:rPr>
            </w:pPr>
          </w:p>
        </w:tc>
        <w:tc>
          <w:tcPr>
            <w:tcW w:w="4536" w:type="dxa"/>
          </w:tcPr>
          <w:p w14:paraId="0701245B" w14:textId="6B74B344" w:rsidR="005F4510" w:rsidRPr="005A1FCA" w:rsidRDefault="005F4510" w:rsidP="00C93DA5">
            <w:pPr>
              <w:pStyle w:val="Listenabsatz"/>
              <w:numPr>
                <w:ilvl w:val="0"/>
                <w:numId w:val="43"/>
              </w:numPr>
              <w:jc w:val="both"/>
              <w:rPr>
                <w:rFonts w:ascii="Calibri" w:hAnsi="Calibri" w:cs="Calibri"/>
                <w:sz w:val="22"/>
                <w:szCs w:val="22"/>
                <w:lang w:val="it-IT" w:eastAsia="de-DE"/>
              </w:rPr>
            </w:pPr>
            <w:r w:rsidRPr="005A1FCA">
              <w:rPr>
                <w:rFonts w:ascii="Calibri" w:hAnsi="Calibri" w:cs="Calibri"/>
                <w:sz w:val="22"/>
                <w:szCs w:val="22"/>
                <w:lang w:val="it-IT" w:eastAsia="de-DE"/>
              </w:rPr>
              <w:t xml:space="preserve">“lotto quantitativo”: uno specifico oggetto di appalto </w:t>
            </w:r>
            <w:r w:rsidRPr="005A1FCA">
              <w:rPr>
                <w:rFonts w:ascii="Calibri" w:hAnsi="Calibri" w:cs="Calibri"/>
                <w:strike/>
                <w:color w:val="E40000"/>
                <w:sz w:val="22"/>
                <w:szCs w:val="22"/>
                <w:lang w:val="it-IT" w:eastAsia="de-DE"/>
              </w:rPr>
              <w:t>funzionalmente autonomo</w:t>
            </w:r>
            <w:r w:rsidRPr="005A1FCA">
              <w:rPr>
                <w:rFonts w:ascii="Calibri" w:hAnsi="Calibri" w:cs="Calibri"/>
                <w:color w:val="E40000"/>
                <w:sz w:val="22"/>
                <w:szCs w:val="22"/>
                <w:lang w:val="it-IT" w:eastAsia="de-DE"/>
              </w:rPr>
              <w:t xml:space="preserve"> </w:t>
            </w:r>
            <w:r w:rsidRPr="005A1FCA">
              <w:rPr>
                <w:rFonts w:ascii="Calibri" w:hAnsi="Calibri" w:cs="Calibri"/>
                <w:sz w:val="22"/>
                <w:szCs w:val="22"/>
                <w:lang w:val="it-IT" w:eastAsia="de-DE"/>
              </w:rPr>
              <w:t xml:space="preserve">da aggiudicare anche con separata e autonoma procedura, definito su base meramente quantitativa, in conformità alle varie categorie e specializzazioni presenti o in conformità alle diverse fasi successive del progetto, adeguato alla capacità economico-finanziaria delle piccole e medie imprese, </w:t>
            </w:r>
            <w:r w:rsidRPr="005A1FCA">
              <w:rPr>
                <w:rFonts w:ascii="Calibri" w:hAnsi="Calibri" w:cs="Calibri"/>
                <w:color w:val="E40000"/>
                <w:sz w:val="22"/>
                <w:szCs w:val="22"/>
                <w:lang w:val="it-IT" w:eastAsia="de-DE"/>
              </w:rPr>
              <w:t>purché inserito in una programmazione idonea a garantire la realizzazione di opere funzionalmente autonome.</w:t>
            </w:r>
          </w:p>
          <w:p w14:paraId="51DC5F12" w14:textId="77777777" w:rsidR="005F4510" w:rsidRPr="005A1FCA" w:rsidRDefault="005F4510" w:rsidP="000C19B0">
            <w:pPr>
              <w:autoSpaceDE w:val="0"/>
              <w:autoSpaceDN w:val="0"/>
              <w:adjustRightInd w:val="0"/>
              <w:jc w:val="both"/>
              <w:rPr>
                <w:rFonts w:ascii="Calibri" w:hAnsi="Calibri" w:cs="Calibri"/>
                <w:sz w:val="22"/>
                <w:szCs w:val="22"/>
                <w:lang w:val="it-IT" w:eastAsia="de-DE"/>
              </w:rPr>
            </w:pPr>
          </w:p>
        </w:tc>
      </w:tr>
    </w:tbl>
    <w:p w14:paraId="2C545AB2" w14:textId="77777777" w:rsidR="00033CCB" w:rsidRDefault="00033CCB" w:rsidP="003F708D">
      <w:pPr>
        <w:jc w:val="center"/>
        <w:rPr>
          <w:rFonts w:ascii="Calibri" w:hAnsi="Calibri" w:cs="Calibri"/>
          <w:sz w:val="22"/>
          <w:szCs w:val="22"/>
          <w:lang w:val="it-IT"/>
        </w:rPr>
      </w:pPr>
    </w:p>
    <w:p w14:paraId="36C37150" w14:textId="77777777" w:rsidR="00FE7A4A" w:rsidRDefault="00FE7A4A" w:rsidP="003F708D">
      <w:pPr>
        <w:jc w:val="center"/>
        <w:rPr>
          <w:rFonts w:ascii="Calibri" w:hAnsi="Calibri" w:cs="Calibri"/>
          <w:sz w:val="22"/>
          <w:szCs w:val="22"/>
          <w:lang w:val="it-IT"/>
        </w:rPr>
      </w:pPr>
    </w:p>
    <w:p w14:paraId="73633E41" w14:textId="77777777" w:rsidR="00FE7A4A" w:rsidRDefault="00FE7A4A" w:rsidP="003F708D">
      <w:pPr>
        <w:jc w:val="center"/>
        <w:rPr>
          <w:rFonts w:ascii="Calibri" w:hAnsi="Calibri" w:cs="Calibri"/>
          <w:sz w:val="22"/>
          <w:szCs w:val="22"/>
          <w:lang w:val="it-IT"/>
        </w:rPr>
      </w:pPr>
    </w:p>
    <w:p w14:paraId="71540480" w14:textId="77777777" w:rsidR="00FE7A4A" w:rsidRPr="005A1FCA" w:rsidRDefault="00FE7A4A" w:rsidP="003F708D">
      <w:pPr>
        <w:jc w:val="center"/>
        <w:rPr>
          <w:rFonts w:ascii="Calibri" w:hAnsi="Calibri" w:cs="Calibri"/>
          <w:sz w:val="22"/>
          <w:szCs w:val="22"/>
          <w:lang w:val="it-IT"/>
        </w:rPr>
      </w:pPr>
    </w:p>
    <w:p w14:paraId="5B7D7C26" w14:textId="77777777" w:rsidR="00D10C06" w:rsidRPr="005A1FCA" w:rsidRDefault="00D10C06" w:rsidP="008B4F88">
      <w:pPr>
        <w:rPr>
          <w:rFonts w:ascii="Calibri" w:hAnsi="Calibri" w:cs="Calibri"/>
          <w:sz w:val="22"/>
          <w:szCs w:val="22"/>
          <w:lang w:val="it-IT"/>
        </w:rPr>
      </w:pPr>
    </w:p>
    <w:tbl>
      <w:tblPr>
        <w:tblW w:w="9639" w:type="dxa"/>
        <w:jc w:val="center"/>
        <w:tblLayout w:type="fixed"/>
        <w:tblCellMar>
          <w:left w:w="71" w:type="dxa"/>
          <w:right w:w="71" w:type="dxa"/>
        </w:tblCellMar>
        <w:tblLook w:val="0000" w:firstRow="0" w:lastRow="0" w:firstColumn="0" w:lastColumn="0" w:noHBand="0" w:noVBand="0"/>
      </w:tblPr>
      <w:tblGrid>
        <w:gridCol w:w="4253"/>
        <w:gridCol w:w="850"/>
        <w:gridCol w:w="4536"/>
      </w:tblGrid>
      <w:tr w:rsidR="00EB10B4" w:rsidRPr="005A1FCA" w14:paraId="13E32450" w14:textId="77777777" w:rsidTr="000C19B0">
        <w:trPr>
          <w:jc w:val="center"/>
        </w:trPr>
        <w:tc>
          <w:tcPr>
            <w:tcW w:w="4253" w:type="dxa"/>
          </w:tcPr>
          <w:p w14:paraId="59C244BA" w14:textId="34A38F86" w:rsidR="00EB10B4" w:rsidRPr="005A1FCA" w:rsidRDefault="00EB10B4" w:rsidP="00EA20BE">
            <w:pPr>
              <w:jc w:val="center"/>
              <w:rPr>
                <w:rFonts w:ascii="Calibri" w:hAnsi="Calibri" w:cs="Calibri"/>
                <w:b/>
                <w:bCs/>
                <w:strike/>
                <w:color w:val="E40000"/>
                <w:sz w:val="22"/>
                <w:szCs w:val="22"/>
              </w:rPr>
            </w:pPr>
            <w:r w:rsidRPr="005A1FCA">
              <w:rPr>
                <w:rFonts w:ascii="Calibri" w:hAnsi="Calibri" w:cs="Calibri"/>
                <w:b/>
                <w:bCs/>
                <w:strike/>
                <w:color w:val="E40000"/>
                <w:sz w:val="22"/>
                <w:szCs w:val="22"/>
              </w:rPr>
              <w:t xml:space="preserve">Art. 6/bis </w:t>
            </w:r>
          </w:p>
        </w:tc>
        <w:tc>
          <w:tcPr>
            <w:tcW w:w="850" w:type="dxa"/>
          </w:tcPr>
          <w:p w14:paraId="0CD37FEC" w14:textId="77777777" w:rsidR="00EB10B4" w:rsidRPr="005A1FCA" w:rsidRDefault="00EB10B4" w:rsidP="000C19B0">
            <w:pPr>
              <w:jc w:val="center"/>
              <w:rPr>
                <w:rFonts w:ascii="Calibri" w:hAnsi="Calibri" w:cs="Calibri"/>
                <w:b/>
                <w:bCs/>
                <w:strike/>
                <w:color w:val="E40000"/>
                <w:sz w:val="22"/>
                <w:szCs w:val="22"/>
              </w:rPr>
            </w:pPr>
          </w:p>
        </w:tc>
        <w:tc>
          <w:tcPr>
            <w:tcW w:w="4536" w:type="dxa"/>
          </w:tcPr>
          <w:p w14:paraId="28DF26E0" w14:textId="01C5D0F7" w:rsidR="00EB10B4" w:rsidRPr="005A1FCA" w:rsidRDefault="00EB10B4" w:rsidP="00EA20BE">
            <w:pPr>
              <w:jc w:val="center"/>
              <w:rPr>
                <w:rFonts w:ascii="Calibri" w:hAnsi="Calibri" w:cs="Calibri"/>
                <w:b/>
                <w:bCs/>
                <w:strike/>
                <w:color w:val="E40000"/>
                <w:sz w:val="22"/>
                <w:szCs w:val="22"/>
                <w:lang w:val="it-IT"/>
              </w:rPr>
            </w:pPr>
            <w:r w:rsidRPr="005A1FCA">
              <w:rPr>
                <w:rFonts w:ascii="Calibri" w:hAnsi="Calibri" w:cs="Calibri"/>
                <w:b/>
                <w:bCs/>
                <w:strike/>
                <w:color w:val="E40000"/>
                <w:sz w:val="22"/>
                <w:szCs w:val="22"/>
                <w:lang w:val="it-IT"/>
              </w:rPr>
              <w:t xml:space="preserve">Art. 6 bis </w:t>
            </w:r>
          </w:p>
        </w:tc>
      </w:tr>
      <w:tr w:rsidR="00EA20BE" w:rsidRPr="005A1FCA" w14:paraId="30A12B07" w14:textId="77777777" w:rsidTr="000C19B0">
        <w:trPr>
          <w:jc w:val="center"/>
        </w:trPr>
        <w:tc>
          <w:tcPr>
            <w:tcW w:w="4253" w:type="dxa"/>
          </w:tcPr>
          <w:p w14:paraId="6FA66184" w14:textId="21898AEE" w:rsidR="00EA20BE" w:rsidRPr="005A1FCA" w:rsidRDefault="00EA20BE" w:rsidP="000C19B0">
            <w:pPr>
              <w:jc w:val="center"/>
              <w:rPr>
                <w:rFonts w:ascii="Calibri" w:hAnsi="Calibri" w:cs="Calibri"/>
                <w:strike/>
                <w:color w:val="E40000"/>
                <w:sz w:val="22"/>
                <w:szCs w:val="22"/>
              </w:rPr>
            </w:pPr>
            <w:r w:rsidRPr="005A1FCA">
              <w:rPr>
                <w:rFonts w:ascii="Calibri" w:hAnsi="Calibri" w:cs="Calibri"/>
                <w:strike/>
                <w:color w:val="E40000"/>
                <w:sz w:val="22"/>
                <w:szCs w:val="22"/>
              </w:rPr>
              <w:lastRenderedPageBreak/>
              <w:t>(Qualifikation der Vergabestellen)</w:t>
            </w:r>
          </w:p>
        </w:tc>
        <w:tc>
          <w:tcPr>
            <w:tcW w:w="850" w:type="dxa"/>
          </w:tcPr>
          <w:p w14:paraId="5CF8095A" w14:textId="77777777" w:rsidR="00EA20BE" w:rsidRPr="005A1FCA" w:rsidRDefault="00EA20BE" w:rsidP="000C19B0">
            <w:pPr>
              <w:jc w:val="center"/>
              <w:rPr>
                <w:rFonts w:ascii="Calibri" w:hAnsi="Calibri" w:cs="Calibri"/>
                <w:strike/>
                <w:color w:val="E40000"/>
                <w:sz w:val="22"/>
                <w:szCs w:val="22"/>
              </w:rPr>
            </w:pPr>
          </w:p>
        </w:tc>
        <w:tc>
          <w:tcPr>
            <w:tcW w:w="4536" w:type="dxa"/>
          </w:tcPr>
          <w:p w14:paraId="328B9A09" w14:textId="18D29DC2" w:rsidR="00EA20BE" w:rsidRPr="005A1FCA" w:rsidRDefault="00EA20BE" w:rsidP="000C19B0">
            <w:pPr>
              <w:jc w:val="center"/>
              <w:rPr>
                <w:rFonts w:ascii="Calibri" w:hAnsi="Calibri" w:cs="Calibri"/>
                <w:strike/>
                <w:color w:val="E40000"/>
                <w:sz w:val="22"/>
                <w:szCs w:val="22"/>
                <w:lang w:val="it-IT"/>
              </w:rPr>
            </w:pPr>
            <w:r w:rsidRPr="005A1FCA">
              <w:rPr>
                <w:rFonts w:ascii="Calibri" w:hAnsi="Calibri" w:cs="Calibri"/>
                <w:strike/>
                <w:color w:val="E40000"/>
                <w:sz w:val="22"/>
                <w:szCs w:val="22"/>
                <w:lang w:val="it-IT"/>
              </w:rPr>
              <w:t>(Qualifica delle stazioni appaltanti)</w:t>
            </w:r>
          </w:p>
        </w:tc>
      </w:tr>
      <w:tr w:rsidR="00EB10B4" w:rsidRPr="005A1FCA" w14:paraId="79F06DA6" w14:textId="77777777" w:rsidTr="000C19B0">
        <w:trPr>
          <w:jc w:val="center"/>
        </w:trPr>
        <w:tc>
          <w:tcPr>
            <w:tcW w:w="4253" w:type="dxa"/>
          </w:tcPr>
          <w:p w14:paraId="0BF4C8BD" w14:textId="77777777" w:rsidR="00EB10B4" w:rsidRPr="005A1FCA" w:rsidRDefault="00EB10B4" w:rsidP="000C19B0">
            <w:pPr>
              <w:jc w:val="center"/>
              <w:rPr>
                <w:rFonts w:ascii="Calibri" w:hAnsi="Calibri" w:cs="Calibri"/>
                <w:color w:val="E40000"/>
                <w:sz w:val="22"/>
                <w:szCs w:val="22"/>
                <w:lang w:val="it-IT"/>
              </w:rPr>
            </w:pPr>
          </w:p>
        </w:tc>
        <w:tc>
          <w:tcPr>
            <w:tcW w:w="850" w:type="dxa"/>
          </w:tcPr>
          <w:p w14:paraId="48C5AC90" w14:textId="77777777" w:rsidR="00EB10B4" w:rsidRPr="005A1FCA" w:rsidRDefault="00EB10B4" w:rsidP="000C19B0">
            <w:pPr>
              <w:jc w:val="center"/>
              <w:rPr>
                <w:rFonts w:ascii="Calibri" w:hAnsi="Calibri" w:cs="Calibri"/>
                <w:color w:val="E40000"/>
                <w:sz w:val="22"/>
                <w:szCs w:val="22"/>
                <w:lang w:val="it-IT"/>
              </w:rPr>
            </w:pPr>
          </w:p>
        </w:tc>
        <w:tc>
          <w:tcPr>
            <w:tcW w:w="4536" w:type="dxa"/>
          </w:tcPr>
          <w:p w14:paraId="6279E91A" w14:textId="77777777" w:rsidR="00EB10B4" w:rsidRPr="005A1FCA" w:rsidRDefault="00EB10B4" w:rsidP="000C19B0">
            <w:pPr>
              <w:jc w:val="center"/>
              <w:rPr>
                <w:rFonts w:ascii="Calibri" w:hAnsi="Calibri" w:cs="Calibri"/>
                <w:color w:val="E40000"/>
                <w:sz w:val="22"/>
                <w:szCs w:val="22"/>
                <w:lang w:val="it-IT"/>
              </w:rPr>
            </w:pPr>
          </w:p>
        </w:tc>
      </w:tr>
      <w:tr w:rsidR="00EB10B4" w:rsidRPr="005A1FCA" w14:paraId="5A676418" w14:textId="77777777" w:rsidTr="000C19B0">
        <w:trPr>
          <w:jc w:val="center"/>
        </w:trPr>
        <w:tc>
          <w:tcPr>
            <w:tcW w:w="4253" w:type="dxa"/>
          </w:tcPr>
          <w:p w14:paraId="17AB6607" w14:textId="77777777" w:rsidR="00EB10B4" w:rsidRPr="005A1FCA" w:rsidRDefault="00EB10B4" w:rsidP="000C19B0">
            <w:pPr>
              <w:shd w:val="clear" w:color="auto" w:fill="FFFFFF"/>
              <w:spacing w:after="160" w:line="259" w:lineRule="auto"/>
              <w:jc w:val="both"/>
              <w:rPr>
                <w:rFonts w:ascii="Calibri" w:hAnsi="Calibri" w:cs="Calibri"/>
                <w:strike/>
                <w:color w:val="E40000"/>
                <w:sz w:val="22"/>
                <w:szCs w:val="22"/>
                <w:lang w:eastAsia="de-DE"/>
              </w:rPr>
            </w:pPr>
            <w:r w:rsidRPr="005A1FCA">
              <w:rPr>
                <w:rFonts w:ascii="Calibri" w:hAnsi="Calibri" w:cs="Calibri"/>
                <w:strike/>
                <w:color w:val="E40000"/>
                <w:sz w:val="22"/>
                <w:szCs w:val="22"/>
                <w:lang w:eastAsia="de-DE"/>
              </w:rPr>
              <w:t xml:space="preserve">(1) Vorbehaltlich dessen, was im Sinne von Artikel 38 zur Vereinfachung und Organisation der Vergabeverfahren festgelegt ist, definiert die Landesregierung, unter Berücksichtigung der Grundsätze, die in der geltenden staatlichen Rechtsvorschrift vorgesehen sind, die für die Qualifikation der Vergabestellen erforderlichen Anforderungen auf der Grundlage der Kriterien der Qualität, Effizienz und Professionalisierung, zu welchen für die zentralen Beschaffungsstellen das Merkmal der Stabilität der Tätigkeiten und der jeweilige Gebietsbereich gehören. </w:t>
            </w:r>
          </w:p>
        </w:tc>
        <w:tc>
          <w:tcPr>
            <w:tcW w:w="850" w:type="dxa"/>
          </w:tcPr>
          <w:p w14:paraId="2575E39A" w14:textId="77777777" w:rsidR="00EB10B4" w:rsidRPr="005A1FCA" w:rsidRDefault="00EB10B4" w:rsidP="000C19B0">
            <w:pPr>
              <w:jc w:val="both"/>
              <w:rPr>
                <w:rFonts w:ascii="Calibri" w:hAnsi="Calibri" w:cs="Calibri"/>
                <w:color w:val="E40000"/>
                <w:sz w:val="22"/>
                <w:szCs w:val="22"/>
              </w:rPr>
            </w:pPr>
          </w:p>
        </w:tc>
        <w:tc>
          <w:tcPr>
            <w:tcW w:w="4536" w:type="dxa"/>
          </w:tcPr>
          <w:p w14:paraId="36A9423E" w14:textId="77777777" w:rsidR="00EB10B4" w:rsidRPr="005A1FCA" w:rsidRDefault="00EB10B4" w:rsidP="000C19B0">
            <w:pPr>
              <w:spacing w:after="160" w:line="259" w:lineRule="auto"/>
              <w:jc w:val="both"/>
              <w:rPr>
                <w:rFonts w:ascii="Calibri" w:eastAsiaTheme="minorHAnsi" w:hAnsi="Calibri" w:cs="Calibri"/>
                <w:strike/>
                <w:color w:val="E40000"/>
                <w:sz w:val="22"/>
                <w:szCs w:val="22"/>
                <w:shd w:val="clear" w:color="auto" w:fill="FFFFFF"/>
                <w:lang w:val="it-IT" w:eastAsia="en-US"/>
              </w:rPr>
            </w:pPr>
            <w:r w:rsidRPr="005A1FCA">
              <w:rPr>
                <w:rFonts w:ascii="Calibri" w:eastAsiaTheme="minorHAnsi" w:hAnsi="Calibri" w:cs="Calibri"/>
                <w:strike/>
                <w:color w:val="E40000"/>
                <w:sz w:val="22"/>
                <w:szCs w:val="22"/>
                <w:shd w:val="clear" w:color="auto" w:fill="FFFFFF"/>
                <w:lang w:val="it-IT" w:eastAsia="en-US"/>
              </w:rPr>
              <w:t>(1) Fermo restando quanto stabilito ai sensi dell’articolo 38 in tema di semplificazione ed organizzazione delle procedure di affidamento, la Giunta Provinciale ai fini della qualificazione delle stazioni appaltanti definisce i requisiti necessari sulla base dei criteri di qualità, efficienza e professionalizzazione, tra cui, per le centrali di committenza il carattere di stabilità delle attività e il relativo ambito territoriale, tenendo conto dei principi previsti dalla normativa statale vigente.</w:t>
            </w:r>
          </w:p>
          <w:p w14:paraId="165F2050" w14:textId="77777777" w:rsidR="00EB10B4" w:rsidRPr="005A1FCA" w:rsidRDefault="00EB10B4" w:rsidP="000C19B0">
            <w:pPr>
              <w:spacing w:after="160" w:line="259" w:lineRule="auto"/>
              <w:jc w:val="both"/>
              <w:rPr>
                <w:rFonts w:ascii="Calibri" w:eastAsiaTheme="minorHAnsi" w:hAnsi="Calibri" w:cs="Calibri"/>
                <w:color w:val="E40000"/>
                <w:sz w:val="22"/>
                <w:szCs w:val="22"/>
                <w:lang w:val="it-IT" w:eastAsia="en-US"/>
              </w:rPr>
            </w:pPr>
          </w:p>
        </w:tc>
      </w:tr>
      <w:tr w:rsidR="00EB10B4" w:rsidRPr="005A1FCA" w14:paraId="085028AC" w14:textId="77777777" w:rsidTr="000C19B0">
        <w:trPr>
          <w:jc w:val="center"/>
        </w:trPr>
        <w:tc>
          <w:tcPr>
            <w:tcW w:w="4253" w:type="dxa"/>
          </w:tcPr>
          <w:p w14:paraId="4B77CE0D" w14:textId="77777777" w:rsidR="00EB10B4" w:rsidRPr="005A1FCA" w:rsidRDefault="00EB10B4" w:rsidP="000C19B0">
            <w:pPr>
              <w:jc w:val="center"/>
              <w:rPr>
                <w:rFonts w:ascii="Calibri" w:hAnsi="Calibri" w:cs="Calibri"/>
                <w:sz w:val="22"/>
                <w:szCs w:val="22"/>
                <w:lang w:val="it-IT"/>
              </w:rPr>
            </w:pPr>
          </w:p>
        </w:tc>
        <w:tc>
          <w:tcPr>
            <w:tcW w:w="850" w:type="dxa"/>
          </w:tcPr>
          <w:p w14:paraId="4E28A0B0" w14:textId="77777777" w:rsidR="00EB10B4" w:rsidRPr="005A1FCA" w:rsidRDefault="00EB10B4" w:rsidP="000C19B0">
            <w:pPr>
              <w:jc w:val="center"/>
              <w:rPr>
                <w:rFonts w:ascii="Calibri" w:hAnsi="Calibri" w:cs="Calibri"/>
                <w:sz w:val="22"/>
                <w:szCs w:val="22"/>
                <w:lang w:val="it-IT"/>
              </w:rPr>
            </w:pPr>
          </w:p>
        </w:tc>
        <w:tc>
          <w:tcPr>
            <w:tcW w:w="4536" w:type="dxa"/>
          </w:tcPr>
          <w:p w14:paraId="07A96339" w14:textId="77777777" w:rsidR="00EB10B4" w:rsidRPr="005A1FCA" w:rsidRDefault="00EB10B4" w:rsidP="000C19B0">
            <w:pPr>
              <w:jc w:val="center"/>
              <w:rPr>
                <w:rFonts w:ascii="Calibri" w:hAnsi="Calibri" w:cs="Calibri"/>
                <w:sz w:val="22"/>
                <w:szCs w:val="22"/>
                <w:lang w:val="it-IT"/>
              </w:rPr>
            </w:pPr>
          </w:p>
        </w:tc>
      </w:tr>
      <w:tr w:rsidR="00EB10B4" w:rsidRPr="005A1FCA" w14:paraId="01A92473" w14:textId="77777777" w:rsidTr="000C19B0">
        <w:trPr>
          <w:jc w:val="center"/>
        </w:trPr>
        <w:tc>
          <w:tcPr>
            <w:tcW w:w="4253" w:type="dxa"/>
          </w:tcPr>
          <w:p w14:paraId="06351359" w14:textId="55599152" w:rsidR="00EB10B4" w:rsidRPr="005A1FCA" w:rsidRDefault="00EB10B4" w:rsidP="00EA20BE">
            <w:pPr>
              <w:jc w:val="center"/>
              <w:rPr>
                <w:rFonts w:ascii="Calibri" w:hAnsi="Calibri" w:cs="Calibri"/>
                <w:b/>
                <w:bCs/>
                <w:color w:val="E40000"/>
                <w:sz w:val="22"/>
                <w:szCs w:val="22"/>
              </w:rPr>
            </w:pPr>
            <w:r w:rsidRPr="005A1FCA">
              <w:rPr>
                <w:rFonts w:ascii="Calibri" w:hAnsi="Calibri" w:cs="Calibri"/>
                <w:b/>
                <w:bCs/>
                <w:color w:val="E40000"/>
                <w:sz w:val="22"/>
                <w:szCs w:val="22"/>
              </w:rPr>
              <w:t xml:space="preserve">Art. 6/bis </w:t>
            </w:r>
          </w:p>
        </w:tc>
        <w:tc>
          <w:tcPr>
            <w:tcW w:w="850" w:type="dxa"/>
          </w:tcPr>
          <w:p w14:paraId="3D33EE09" w14:textId="77777777" w:rsidR="00EB10B4" w:rsidRPr="005A1FCA" w:rsidRDefault="00EB10B4" w:rsidP="000C19B0">
            <w:pPr>
              <w:jc w:val="center"/>
              <w:rPr>
                <w:rFonts w:ascii="Calibri" w:hAnsi="Calibri" w:cs="Calibri"/>
                <w:b/>
                <w:bCs/>
                <w:color w:val="E40000"/>
                <w:sz w:val="22"/>
                <w:szCs w:val="22"/>
              </w:rPr>
            </w:pPr>
          </w:p>
        </w:tc>
        <w:tc>
          <w:tcPr>
            <w:tcW w:w="4536" w:type="dxa"/>
          </w:tcPr>
          <w:p w14:paraId="0C3FABA9" w14:textId="6828D798" w:rsidR="00EB10B4" w:rsidRPr="005A1FCA" w:rsidRDefault="00EB10B4" w:rsidP="00EA20BE">
            <w:pPr>
              <w:jc w:val="center"/>
              <w:rPr>
                <w:rFonts w:ascii="Calibri" w:hAnsi="Calibri" w:cs="Calibri"/>
                <w:b/>
                <w:bCs/>
                <w:color w:val="E40000"/>
                <w:sz w:val="22"/>
                <w:szCs w:val="22"/>
                <w:lang w:val="it-IT"/>
              </w:rPr>
            </w:pPr>
            <w:r w:rsidRPr="005A1FCA">
              <w:rPr>
                <w:rFonts w:ascii="Calibri" w:hAnsi="Calibri" w:cs="Calibri"/>
                <w:b/>
                <w:bCs/>
                <w:color w:val="E40000"/>
                <w:sz w:val="22"/>
                <w:szCs w:val="22"/>
                <w:lang w:val="it-IT"/>
              </w:rPr>
              <w:t xml:space="preserve">Art. 6 bis </w:t>
            </w:r>
          </w:p>
        </w:tc>
      </w:tr>
      <w:tr w:rsidR="00EA20BE" w:rsidRPr="005A1FCA" w14:paraId="4C3656FF" w14:textId="77777777" w:rsidTr="000C19B0">
        <w:trPr>
          <w:jc w:val="center"/>
        </w:trPr>
        <w:tc>
          <w:tcPr>
            <w:tcW w:w="4253" w:type="dxa"/>
          </w:tcPr>
          <w:p w14:paraId="276260AA" w14:textId="77777777" w:rsidR="00EA20BE" w:rsidRPr="005A1FCA" w:rsidRDefault="00EA20BE" w:rsidP="000C19B0">
            <w:pPr>
              <w:jc w:val="center"/>
              <w:rPr>
                <w:rFonts w:ascii="Calibri" w:hAnsi="Calibri" w:cs="Calibri"/>
                <w:color w:val="E40000"/>
                <w:sz w:val="22"/>
                <w:szCs w:val="22"/>
              </w:rPr>
            </w:pPr>
            <w:r w:rsidRPr="005A1FCA">
              <w:rPr>
                <w:rFonts w:ascii="Calibri" w:hAnsi="Calibri" w:cs="Calibri"/>
                <w:color w:val="E40000"/>
                <w:sz w:val="22"/>
                <w:szCs w:val="22"/>
              </w:rPr>
              <w:t>(Anforderungen an die Professionalität des/der EPV)</w:t>
            </w:r>
          </w:p>
          <w:p w14:paraId="66567B2D" w14:textId="6903E448" w:rsidR="00EA20BE" w:rsidRPr="005A1FCA" w:rsidRDefault="00EA20BE" w:rsidP="000C19B0">
            <w:pPr>
              <w:jc w:val="center"/>
              <w:rPr>
                <w:rFonts w:ascii="Calibri" w:hAnsi="Calibri" w:cs="Calibri"/>
                <w:color w:val="E40000"/>
                <w:sz w:val="22"/>
                <w:szCs w:val="22"/>
              </w:rPr>
            </w:pPr>
          </w:p>
        </w:tc>
        <w:tc>
          <w:tcPr>
            <w:tcW w:w="850" w:type="dxa"/>
          </w:tcPr>
          <w:p w14:paraId="1EC062FD" w14:textId="77777777" w:rsidR="00EA20BE" w:rsidRPr="005A1FCA" w:rsidRDefault="00EA20BE" w:rsidP="000C19B0">
            <w:pPr>
              <w:jc w:val="center"/>
              <w:rPr>
                <w:rFonts w:ascii="Calibri" w:hAnsi="Calibri" w:cs="Calibri"/>
                <w:color w:val="E40000"/>
                <w:sz w:val="22"/>
                <w:szCs w:val="22"/>
              </w:rPr>
            </w:pPr>
          </w:p>
        </w:tc>
        <w:tc>
          <w:tcPr>
            <w:tcW w:w="4536" w:type="dxa"/>
          </w:tcPr>
          <w:p w14:paraId="55A23E21" w14:textId="6C6B2CDE" w:rsidR="00EA20BE" w:rsidRPr="005A1FCA" w:rsidRDefault="00EA20BE" w:rsidP="000C19B0">
            <w:pPr>
              <w:jc w:val="center"/>
              <w:rPr>
                <w:rFonts w:ascii="Calibri" w:hAnsi="Calibri" w:cs="Calibri"/>
                <w:color w:val="E40000"/>
                <w:sz w:val="22"/>
                <w:szCs w:val="22"/>
                <w:lang w:val="it-IT"/>
              </w:rPr>
            </w:pPr>
            <w:r w:rsidRPr="005A1FCA">
              <w:rPr>
                <w:rFonts w:ascii="Calibri" w:hAnsi="Calibri" w:cs="Calibri"/>
                <w:color w:val="E40000"/>
                <w:sz w:val="22"/>
                <w:szCs w:val="22"/>
                <w:lang w:val="it-IT"/>
              </w:rPr>
              <w:t>(Requisiti di professionalità del/della RUP)</w:t>
            </w:r>
          </w:p>
        </w:tc>
      </w:tr>
      <w:tr w:rsidR="00EB10B4" w:rsidRPr="005A1FCA" w14:paraId="20D0C31C" w14:textId="77777777" w:rsidTr="000C19B0">
        <w:trPr>
          <w:jc w:val="center"/>
        </w:trPr>
        <w:tc>
          <w:tcPr>
            <w:tcW w:w="4253" w:type="dxa"/>
          </w:tcPr>
          <w:p w14:paraId="50E81024" w14:textId="77777777" w:rsidR="00EB10B4" w:rsidRPr="005A1FCA" w:rsidRDefault="00EB10B4" w:rsidP="000C19B0">
            <w:pPr>
              <w:jc w:val="center"/>
              <w:rPr>
                <w:rFonts w:ascii="Calibri" w:hAnsi="Calibri" w:cs="Calibri"/>
                <w:color w:val="E40000"/>
                <w:sz w:val="22"/>
                <w:szCs w:val="22"/>
                <w:lang w:val="it-IT"/>
              </w:rPr>
            </w:pPr>
          </w:p>
        </w:tc>
        <w:tc>
          <w:tcPr>
            <w:tcW w:w="850" w:type="dxa"/>
          </w:tcPr>
          <w:p w14:paraId="71C0100A" w14:textId="77777777" w:rsidR="00EB10B4" w:rsidRPr="005A1FCA" w:rsidRDefault="00EB10B4" w:rsidP="000C19B0">
            <w:pPr>
              <w:jc w:val="center"/>
              <w:rPr>
                <w:rFonts w:ascii="Calibri" w:hAnsi="Calibri" w:cs="Calibri"/>
                <w:color w:val="E40000"/>
                <w:sz w:val="22"/>
                <w:szCs w:val="22"/>
                <w:lang w:val="it-IT"/>
              </w:rPr>
            </w:pPr>
          </w:p>
        </w:tc>
        <w:tc>
          <w:tcPr>
            <w:tcW w:w="4536" w:type="dxa"/>
          </w:tcPr>
          <w:p w14:paraId="70344891" w14:textId="77777777" w:rsidR="00EB10B4" w:rsidRPr="005A1FCA" w:rsidRDefault="00EB10B4" w:rsidP="000C19B0">
            <w:pPr>
              <w:jc w:val="center"/>
              <w:rPr>
                <w:rFonts w:ascii="Calibri" w:hAnsi="Calibri" w:cs="Calibri"/>
                <w:color w:val="E40000"/>
                <w:sz w:val="22"/>
                <w:szCs w:val="22"/>
                <w:lang w:val="it-IT"/>
              </w:rPr>
            </w:pPr>
          </w:p>
        </w:tc>
      </w:tr>
      <w:tr w:rsidR="00EB10B4" w:rsidRPr="005A1FCA" w14:paraId="63ADAB23" w14:textId="77777777" w:rsidTr="000C19B0">
        <w:trPr>
          <w:jc w:val="center"/>
        </w:trPr>
        <w:tc>
          <w:tcPr>
            <w:tcW w:w="4253" w:type="dxa"/>
          </w:tcPr>
          <w:p w14:paraId="03D9DA53" w14:textId="712CF4F5" w:rsidR="00EB10B4" w:rsidRPr="005A1FCA" w:rsidRDefault="00DA67ED" w:rsidP="000C19B0">
            <w:pPr>
              <w:shd w:val="clear" w:color="auto" w:fill="FFFFFF"/>
              <w:spacing w:after="160" w:line="259" w:lineRule="auto"/>
              <w:jc w:val="both"/>
              <w:rPr>
                <w:rFonts w:ascii="Calibri" w:hAnsi="Calibri" w:cs="Calibri"/>
                <w:color w:val="E40000"/>
                <w:sz w:val="22"/>
                <w:szCs w:val="22"/>
                <w:lang w:eastAsia="de-DE"/>
              </w:rPr>
            </w:pPr>
            <w:r w:rsidRPr="005A1FCA">
              <w:rPr>
                <w:rFonts w:ascii="Calibri" w:hAnsi="Calibri" w:cs="Calibri"/>
                <w:color w:val="E40000"/>
                <w:sz w:val="22"/>
                <w:szCs w:val="22"/>
              </w:rPr>
              <w:t>1. Die Landesregierung genehmigt die Anwendungsrichtlinien, worin sie die Anforderungen an die Fachkompetenz des/der EPV festlegt.</w:t>
            </w:r>
          </w:p>
        </w:tc>
        <w:tc>
          <w:tcPr>
            <w:tcW w:w="850" w:type="dxa"/>
          </w:tcPr>
          <w:p w14:paraId="57994AC3" w14:textId="77777777" w:rsidR="00EB10B4" w:rsidRPr="005A1FCA" w:rsidRDefault="00EB10B4" w:rsidP="000C19B0">
            <w:pPr>
              <w:jc w:val="both"/>
              <w:rPr>
                <w:rFonts w:ascii="Calibri" w:hAnsi="Calibri" w:cs="Calibri"/>
                <w:color w:val="E40000"/>
                <w:sz w:val="22"/>
                <w:szCs w:val="22"/>
              </w:rPr>
            </w:pPr>
          </w:p>
        </w:tc>
        <w:tc>
          <w:tcPr>
            <w:tcW w:w="4536" w:type="dxa"/>
          </w:tcPr>
          <w:p w14:paraId="2ED605EA" w14:textId="26EA9693" w:rsidR="00EB10B4" w:rsidRPr="005A1FCA" w:rsidRDefault="00EB10B4" w:rsidP="000C19B0">
            <w:pPr>
              <w:spacing w:after="160" w:line="259" w:lineRule="auto"/>
              <w:jc w:val="both"/>
              <w:rPr>
                <w:rFonts w:ascii="Calibri" w:eastAsiaTheme="minorHAnsi" w:hAnsi="Calibri" w:cs="Calibri"/>
                <w:color w:val="E40000"/>
                <w:sz w:val="22"/>
                <w:szCs w:val="22"/>
                <w:lang w:val="it-IT" w:eastAsia="en-US"/>
              </w:rPr>
            </w:pPr>
            <w:r w:rsidRPr="005A1FCA">
              <w:rPr>
                <w:rFonts w:ascii="Calibri" w:hAnsi="Calibri" w:cs="Calibri"/>
                <w:color w:val="E40000"/>
                <w:sz w:val="22"/>
                <w:szCs w:val="22"/>
                <w:lang w:val="it-IT"/>
              </w:rPr>
              <w:t xml:space="preserve">1. La Giunta </w:t>
            </w:r>
            <w:r w:rsidR="00DA67ED" w:rsidRPr="005A1FCA">
              <w:rPr>
                <w:rFonts w:ascii="Calibri" w:hAnsi="Calibri" w:cs="Calibri"/>
                <w:color w:val="E40000"/>
                <w:sz w:val="22"/>
                <w:szCs w:val="22"/>
                <w:lang w:val="it-IT"/>
              </w:rPr>
              <w:t>p</w:t>
            </w:r>
            <w:r w:rsidRPr="005A1FCA">
              <w:rPr>
                <w:rFonts w:ascii="Calibri" w:hAnsi="Calibri" w:cs="Calibri"/>
                <w:color w:val="E40000"/>
                <w:sz w:val="22"/>
                <w:szCs w:val="22"/>
                <w:lang w:val="it-IT"/>
              </w:rPr>
              <w:t xml:space="preserve">rovinciale adotta linee guida con le quali definisce i </w:t>
            </w:r>
            <w:r w:rsidR="00DA67ED" w:rsidRPr="005A1FCA">
              <w:rPr>
                <w:rFonts w:ascii="Calibri" w:hAnsi="Calibri" w:cs="Calibri"/>
                <w:color w:val="E40000"/>
                <w:sz w:val="22"/>
                <w:szCs w:val="22"/>
                <w:lang w:val="it-IT"/>
              </w:rPr>
              <w:t xml:space="preserve">necessari </w:t>
            </w:r>
            <w:r w:rsidRPr="005A1FCA">
              <w:rPr>
                <w:rFonts w:ascii="Calibri" w:hAnsi="Calibri" w:cs="Calibri"/>
                <w:color w:val="E40000"/>
                <w:sz w:val="22"/>
                <w:szCs w:val="22"/>
                <w:lang w:val="it-IT"/>
              </w:rPr>
              <w:t>requisiti di professionalità del/della RUP.</w:t>
            </w:r>
          </w:p>
        </w:tc>
      </w:tr>
    </w:tbl>
    <w:p w14:paraId="57B52F8F" w14:textId="77777777" w:rsidR="005F4510" w:rsidRPr="005A1FCA" w:rsidRDefault="005F4510" w:rsidP="008B4F88">
      <w:pPr>
        <w:rPr>
          <w:rFonts w:ascii="Calibri" w:hAnsi="Calibri" w:cs="Calibri"/>
          <w:sz w:val="22"/>
          <w:szCs w:val="22"/>
          <w:lang w:val="it-IT"/>
        </w:rPr>
      </w:pPr>
    </w:p>
    <w:p w14:paraId="19FCAF9F" w14:textId="77777777" w:rsidR="00C14BB6" w:rsidRPr="005A1FCA" w:rsidRDefault="00C14BB6" w:rsidP="008B4F88">
      <w:pPr>
        <w:rPr>
          <w:rFonts w:ascii="Calibri" w:hAnsi="Calibri" w:cs="Calibri"/>
          <w:sz w:val="22"/>
          <w:szCs w:val="22"/>
          <w:lang w:val="it-IT"/>
        </w:rPr>
      </w:pPr>
    </w:p>
    <w:tbl>
      <w:tblPr>
        <w:tblW w:w="9639" w:type="dxa"/>
        <w:jc w:val="center"/>
        <w:tblLayout w:type="fixed"/>
        <w:tblCellMar>
          <w:left w:w="71" w:type="dxa"/>
          <w:right w:w="71" w:type="dxa"/>
        </w:tblCellMar>
        <w:tblLook w:val="0000" w:firstRow="0" w:lastRow="0" w:firstColumn="0" w:lastColumn="0" w:noHBand="0" w:noVBand="0"/>
      </w:tblPr>
      <w:tblGrid>
        <w:gridCol w:w="4253"/>
        <w:gridCol w:w="850"/>
        <w:gridCol w:w="4536"/>
      </w:tblGrid>
      <w:tr w:rsidR="000B3F05" w:rsidRPr="005A1FCA" w14:paraId="4288016B" w14:textId="77777777" w:rsidTr="000C19B0">
        <w:trPr>
          <w:jc w:val="center"/>
        </w:trPr>
        <w:tc>
          <w:tcPr>
            <w:tcW w:w="4253" w:type="dxa"/>
          </w:tcPr>
          <w:p w14:paraId="42EA9A36" w14:textId="1904B691" w:rsidR="000B3F05" w:rsidRPr="005A1FCA" w:rsidRDefault="000B3F05" w:rsidP="00EA20BE">
            <w:pPr>
              <w:jc w:val="center"/>
              <w:rPr>
                <w:rFonts w:ascii="Calibri" w:hAnsi="Calibri" w:cs="Calibri"/>
                <w:b/>
                <w:bCs/>
                <w:sz w:val="22"/>
                <w:szCs w:val="22"/>
              </w:rPr>
            </w:pPr>
            <w:r w:rsidRPr="005A1FCA">
              <w:rPr>
                <w:rFonts w:ascii="Calibri" w:hAnsi="Calibri" w:cs="Calibri"/>
                <w:b/>
                <w:bCs/>
                <w:sz w:val="22"/>
                <w:szCs w:val="22"/>
              </w:rPr>
              <w:t xml:space="preserve">Art. 9 </w:t>
            </w:r>
          </w:p>
        </w:tc>
        <w:tc>
          <w:tcPr>
            <w:tcW w:w="850" w:type="dxa"/>
          </w:tcPr>
          <w:p w14:paraId="3D2ADC43" w14:textId="77777777" w:rsidR="000B3F05" w:rsidRPr="005A1FCA" w:rsidRDefault="000B3F05" w:rsidP="000C19B0">
            <w:pPr>
              <w:jc w:val="center"/>
              <w:rPr>
                <w:rFonts w:ascii="Calibri" w:hAnsi="Calibri" w:cs="Calibri"/>
                <w:b/>
                <w:bCs/>
                <w:sz w:val="22"/>
                <w:szCs w:val="22"/>
              </w:rPr>
            </w:pPr>
          </w:p>
        </w:tc>
        <w:tc>
          <w:tcPr>
            <w:tcW w:w="4536" w:type="dxa"/>
          </w:tcPr>
          <w:p w14:paraId="2951CF3C" w14:textId="64DC9CA2" w:rsidR="000B3F05" w:rsidRPr="005A1FCA" w:rsidRDefault="000B3F05" w:rsidP="00EA20BE">
            <w:pPr>
              <w:jc w:val="center"/>
              <w:rPr>
                <w:rFonts w:ascii="Calibri" w:hAnsi="Calibri" w:cs="Calibri"/>
                <w:b/>
                <w:bCs/>
                <w:sz w:val="22"/>
                <w:szCs w:val="22"/>
                <w:lang w:val="it-IT"/>
              </w:rPr>
            </w:pPr>
            <w:r w:rsidRPr="005A1FCA">
              <w:rPr>
                <w:rFonts w:ascii="Calibri" w:hAnsi="Calibri" w:cs="Calibri"/>
                <w:b/>
                <w:bCs/>
                <w:sz w:val="22"/>
                <w:szCs w:val="22"/>
                <w:lang w:val="it-IT"/>
              </w:rPr>
              <w:t xml:space="preserve">Art. 9 </w:t>
            </w:r>
          </w:p>
        </w:tc>
      </w:tr>
      <w:tr w:rsidR="00EA20BE" w:rsidRPr="005A1FCA" w14:paraId="3EAA4379" w14:textId="77777777" w:rsidTr="000C19B0">
        <w:trPr>
          <w:jc w:val="center"/>
        </w:trPr>
        <w:tc>
          <w:tcPr>
            <w:tcW w:w="4253" w:type="dxa"/>
          </w:tcPr>
          <w:p w14:paraId="7AA5BD75" w14:textId="6BEDB34E" w:rsidR="00EA20BE" w:rsidRPr="005A1FCA" w:rsidRDefault="00EA20BE" w:rsidP="000C19B0">
            <w:pPr>
              <w:jc w:val="center"/>
              <w:rPr>
                <w:rFonts w:ascii="Calibri" w:hAnsi="Calibri" w:cs="Calibri"/>
                <w:sz w:val="22"/>
                <w:szCs w:val="22"/>
              </w:rPr>
            </w:pPr>
            <w:r w:rsidRPr="005A1FCA">
              <w:rPr>
                <w:rFonts w:ascii="Calibri" w:hAnsi="Calibri" w:cs="Calibri"/>
                <w:sz w:val="22"/>
                <w:szCs w:val="22"/>
              </w:rPr>
              <w:t>(Planung von öffentlichen Bauvorhaben)</w:t>
            </w:r>
          </w:p>
        </w:tc>
        <w:tc>
          <w:tcPr>
            <w:tcW w:w="850" w:type="dxa"/>
          </w:tcPr>
          <w:p w14:paraId="43621CBA" w14:textId="77777777" w:rsidR="00EA20BE" w:rsidRPr="005A1FCA" w:rsidRDefault="00EA20BE" w:rsidP="000C19B0">
            <w:pPr>
              <w:jc w:val="center"/>
              <w:rPr>
                <w:rFonts w:ascii="Calibri" w:hAnsi="Calibri" w:cs="Calibri"/>
                <w:sz w:val="22"/>
                <w:szCs w:val="22"/>
              </w:rPr>
            </w:pPr>
          </w:p>
        </w:tc>
        <w:tc>
          <w:tcPr>
            <w:tcW w:w="4536" w:type="dxa"/>
          </w:tcPr>
          <w:p w14:paraId="73136270" w14:textId="77777777" w:rsidR="00EA20BE" w:rsidRPr="005A1FCA" w:rsidRDefault="00EA20BE" w:rsidP="000C19B0">
            <w:pPr>
              <w:jc w:val="center"/>
              <w:rPr>
                <w:rFonts w:ascii="Calibri" w:hAnsi="Calibri" w:cs="Calibri"/>
                <w:sz w:val="22"/>
                <w:szCs w:val="22"/>
                <w:lang w:val="it-IT"/>
              </w:rPr>
            </w:pPr>
            <w:r w:rsidRPr="005A1FCA">
              <w:rPr>
                <w:rFonts w:ascii="Calibri" w:hAnsi="Calibri" w:cs="Calibri"/>
                <w:sz w:val="22"/>
                <w:szCs w:val="22"/>
                <w:lang w:val="it-IT"/>
              </w:rPr>
              <w:t>(Progettazione di opere pubbliche)</w:t>
            </w:r>
          </w:p>
          <w:p w14:paraId="25F4E2B7" w14:textId="3678758B" w:rsidR="00EA20BE" w:rsidRPr="005A1FCA" w:rsidRDefault="00EA20BE" w:rsidP="000C19B0">
            <w:pPr>
              <w:jc w:val="center"/>
              <w:rPr>
                <w:rFonts w:ascii="Calibri" w:hAnsi="Calibri" w:cs="Calibri"/>
                <w:sz w:val="22"/>
                <w:szCs w:val="22"/>
                <w:lang w:val="it-IT"/>
              </w:rPr>
            </w:pPr>
          </w:p>
        </w:tc>
      </w:tr>
      <w:tr w:rsidR="0041078A" w:rsidRPr="005A1FCA" w14:paraId="7E06A4C5" w14:textId="77777777" w:rsidTr="000C19B0">
        <w:trPr>
          <w:jc w:val="center"/>
        </w:trPr>
        <w:tc>
          <w:tcPr>
            <w:tcW w:w="9639" w:type="dxa"/>
            <w:gridSpan w:val="3"/>
          </w:tcPr>
          <w:p w14:paraId="0FCA31F2" w14:textId="77777777" w:rsidR="0041078A" w:rsidRPr="005A1FCA" w:rsidRDefault="0041078A" w:rsidP="000C19B0">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p w14:paraId="5AEAD553" w14:textId="77777777" w:rsidR="0041078A" w:rsidRPr="005A1FCA" w:rsidRDefault="0041078A" w:rsidP="000C19B0">
            <w:pPr>
              <w:jc w:val="center"/>
              <w:rPr>
                <w:rFonts w:ascii="Calibri" w:hAnsi="Calibri" w:cs="Calibri"/>
                <w:b/>
                <w:bCs/>
                <w:i/>
                <w:iCs/>
                <w:sz w:val="22"/>
                <w:szCs w:val="22"/>
                <w:lang w:val="it-IT"/>
              </w:rPr>
            </w:pPr>
          </w:p>
        </w:tc>
      </w:tr>
      <w:tr w:rsidR="003F19DA" w:rsidRPr="005A1FCA" w14:paraId="49CF1C44" w14:textId="77777777" w:rsidTr="000C19B0">
        <w:trPr>
          <w:jc w:val="center"/>
        </w:trPr>
        <w:tc>
          <w:tcPr>
            <w:tcW w:w="4253" w:type="dxa"/>
          </w:tcPr>
          <w:p w14:paraId="689510ED" w14:textId="56F43DBD" w:rsidR="003F19DA" w:rsidRPr="005A1FCA" w:rsidRDefault="003F19DA" w:rsidP="003F19DA">
            <w:pPr>
              <w:shd w:val="clear" w:color="auto" w:fill="FFFFFF"/>
              <w:spacing w:after="160" w:line="259" w:lineRule="auto"/>
              <w:jc w:val="both"/>
              <w:rPr>
                <w:rFonts w:ascii="Calibri" w:hAnsi="Calibri" w:cs="Calibri"/>
                <w:color w:val="E40000"/>
                <w:sz w:val="22"/>
                <w:szCs w:val="22"/>
              </w:rPr>
            </w:pPr>
            <w:r w:rsidRPr="005A1FCA">
              <w:rPr>
                <w:rFonts w:ascii="Calibri" w:hAnsi="Calibri" w:cs="Calibri"/>
                <w:color w:val="E40000"/>
                <w:sz w:val="22"/>
                <w:szCs w:val="22"/>
              </w:rPr>
              <w:t xml:space="preserve">2-bis. Die Vergabestellen oder die konzessionsgebenden Körperschaften wenden Methoden und Instrumente für das digitale Informationsmanagement im Bauwesen für die Planung und Ausführung von Neubauten und für Maßnahmen an bestehenden Bauwerken an, deren voraussichtliche Kostenschätzung der Arbeiten den europäischen Schwellenwert erreichen oder überschreiten. Für die Planung und Ausführung von Neubauten und für Maßnahmen an bestehenden Bauwerken, deren voraussichtliche Kostenschätzung der Arbeiten den europäischen Schwellenwert nicht erreicht, ist der Einsatz dieser digitalen Methoden und Instrumente für die </w:t>
            </w:r>
            <w:r w:rsidRPr="005A1FCA">
              <w:rPr>
                <w:rFonts w:ascii="Calibri" w:hAnsi="Calibri" w:cs="Calibri"/>
                <w:color w:val="E40000"/>
                <w:sz w:val="22"/>
                <w:szCs w:val="22"/>
              </w:rPr>
              <w:lastRenderedPageBreak/>
              <w:t>Vergabestellen oder für die konzessionsgebenden Körperschaften fakultativ. Die Bestimmung des ersten Satzes gilt nicht für ordentliche und außerordentliche Instandhaltungsmaß-nahmen, es sei denn, diese betreffen Bauarbeiten, die zuvor unter Anwendung der oben genannten Methoden und Instrumente für das digitale Informationsmanagement durchgeführt wurden.</w:t>
            </w:r>
          </w:p>
        </w:tc>
        <w:tc>
          <w:tcPr>
            <w:tcW w:w="850" w:type="dxa"/>
          </w:tcPr>
          <w:p w14:paraId="39B730B6" w14:textId="77777777" w:rsidR="003F19DA" w:rsidRPr="005A1FCA" w:rsidRDefault="003F19DA" w:rsidP="003F19DA">
            <w:pPr>
              <w:shd w:val="clear" w:color="auto" w:fill="FFFFFF"/>
              <w:spacing w:after="160" w:line="259" w:lineRule="auto"/>
              <w:jc w:val="both"/>
              <w:rPr>
                <w:rFonts w:ascii="Calibri" w:hAnsi="Calibri" w:cs="Calibri"/>
                <w:color w:val="E40000"/>
                <w:sz w:val="22"/>
                <w:szCs w:val="22"/>
              </w:rPr>
            </w:pPr>
          </w:p>
        </w:tc>
        <w:tc>
          <w:tcPr>
            <w:tcW w:w="4536" w:type="dxa"/>
          </w:tcPr>
          <w:p w14:paraId="43D47D13" w14:textId="6F0CBE7A" w:rsidR="003F19DA" w:rsidRPr="005A1FCA" w:rsidRDefault="003F19DA" w:rsidP="003F19DA">
            <w:pPr>
              <w:shd w:val="clear" w:color="auto" w:fill="FFFFFF"/>
              <w:spacing w:after="160" w:line="259" w:lineRule="auto"/>
              <w:jc w:val="both"/>
              <w:rPr>
                <w:rFonts w:ascii="Calibri" w:hAnsi="Calibri" w:cs="Calibri"/>
                <w:color w:val="E40000"/>
                <w:sz w:val="22"/>
                <w:szCs w:val="22"/>
                <w:lang w:val="it-IT"/>
              </w:rPr>
            </w:pPr>
            <w:r w:rsidRPr="005A1FCA">
              <w:rPr>
                <w:rFonts w:ascii="Calibri" w:hAnsi="Calibri" w:cs="Calibri"/>
                <w:color w:val="E40000"/>
                <w:sz w:val="22"/>
                <w:szCs w:val="22"/>
                <w:lang w:val="it-IT"/>
              </w:rPr>
              <w:t xml:space="preserve">2-bis. Le stazioni appaltanti o gli enti concedenti adottano metodi e strumenti di gestione informativa digitale delle costruzioni per la progettazione e la realizzazione di opere di nuova costruzione e per gli interventi su costruzioni esistenti con stima del costo presunto dei lavori d'importo pari o superiore alla soglia di rilevanza europea. Per la progettazione e la realizzazione di opere di nuova costruzione e per gli interventi su costruzioni esistenti con stima del costo presunto dei lavori inferiore alla soglia di rilevanza europea, l’utilizzo di tali metodi e strumenti digitali è facoltativo per le stazioni appaltanti o per gli enti concedenti. La disposizione di cui al primo periodo non si applica agli interventi di ordinaria e straordinaria manutenzione, a meno </w:t>
            </w:r>
            <w:r w:rsidRPr="005A1FCA">
              <w:rPr>
                <w:rFonts w:ascii="Calibri" w:hAnsi="Calibri" w:cs="Calibri"/>
                <w:color w:val="E40000"/>
                <w:sz w:val="22"/>
                <w:szCs w:val="22"/>
                <w:lang w:val="it-IT"/>
              </w:rPr>
              <w:lastRenderedPageBreak/>
              <w:t>che essi non riguardino opere precedentemente eseguite con l’adozione dei suddetti metodi e strumenti di gestione informativa digitale.</w:t>
            </w:r>
          </w:p>
        </w:tc>
      </w:tr>
    </w:tbl>
    <w:p w14:paraId="43965258" w14:textId="77777777" w:rsidR="00AE10B1" w:rsidRPr="005A1FCA" w:rsidRDefault="00AE10B1" w:rsidP="00AE10B1">
      <w:pPr>
        <w:rPr>
          <w:rFonts w:ascii="Calibri" w:hAnsi="Calibri" w:cs="Calibri"/>
          <w:sz w:val="22"/>
          <w:szCs w:val="22"/>
          <w:lang w:val="it-IT"/>
        </w:rPr>
      </w:pPr>
    </w:p>
    <w:p w14:paraId="7F9812CE" w14:textId="77777777" w:rsidR="00DD04EE" w:rsidRPr="005A1FCA" w:rsidRDefault="00DD04EE" w:rsidP="00AE10B1">
      <w:pPr>
        <w:jc w:val="center"/>
        <w:rPr>
          <w:rFonts w:ascii="Calibri" w:hAnsi="Calibri" w:cs="Calibri"/>
          <w:b/>
          <w:bCs/>
          <w:i/>
          <w:iCs/>
          <w:sz w:val="22"/>
          <w:szCs w:val="22"/>
          <w:lang w:val="it-IT"/>
        </w:rPr>
      </w:pPr>
    </w:p>
    <w:tbl>
      <w:tblPr>
        <w:tblW w:w="9639" w:type="dxa"/>
        <w:jc w:val="center"/>
        <w:tblLayout w:type="fixed"/>
        <w:tblCellMar>
          <w:left w:w="71" w:type="dxa"/>
          <w:right w:w="71" w:type="dxa"/>
        </w:tblCellMar>
        <w:tblLook w:val="0000" w:firstRow="0" w:lastRow="0" w:firstColumn="0" w:lastColumn="0" w:noHBand="0" w:noVBand="0"/>
      </w:tblPr>
      <w:tblGrid>
        <w:gridCol w:w="4253"/>
        <w:gridCol w:w="850"/>
        <w:gridCol w:w="4536"/>
      </w:tblGrid>
      <w:tr w:rsidR="00DD04EE" w:rsidRPr="005A1FCA" w14:paraId="244EB660" w14:textId="77777777" w:rsidTr="000C19B0">
        <w:trPr>
          <w:jc w:val="center"/>
        </w:trPr>
        <w:tc>
          <w:tcPr>
            <w:tcW w:w="4253" w:type="dxa"/>
          </w:tcPr>
          <w:p w14:paraId="2F0B6054" w14:textId="5C1876A5" w:rsidR="00DD04EE" w:rsidRPr="005A1FCA" w:rsidRDefault="00DD04EE" w:rsidP="00EA20BE">
            <w:pPr>
              <w:jc w:val="center"/>
              <w:rPr>
                <w:rFonts w:ascii="Calibri" w:hAnsi="Calibri" w:cs="Calibri"/>
                <w:b/>
                <w:bCs/>
                <w:sz w:val="22"/>
                <w:szCs w:val="22"/>
              </w:rPr>
            </w:pPr>
            <w:r w:rsidRPr="005A1FCA">
              <w:rPr>
                <w:rFonts w:ascii="Calibri" w:hAnsi="Calibri" w:cs="Calibri"/>
                <w:b/>
                <w:bCs/>
                <w:sz w:val="22"/>
                <w:szCs w:val="22"/>
              </w:rPr>
              <w:t xml:space="preserve">Art. 16 </w:t>
            </w:r>
          </w:p>
        </w:tc>
        <w:tc>
          <w:tcPr>
            <w:tcW w:w="850" w:type="dxa"/>
          </w:tcPr>
          <w:p w14:paraId="627B4ACF" w14:textId="77777777" w:rsidR="00DD04EE" w:rsidRPr="005A1FCA" w:rsidRDefault="00DD04EE" w:rsidP="000C19B0">
            <w:pPr>
              <w:jc w:val="center"/>
              <w:rPr>
                <w:rFonts w:ascii="Calibri" w:hAnsi="Calibri" w:cs="Calibri"/>
                <w:b/>
                <w:bCs/>
                <w:sz w:val="22"/>
                <w:szCs w:val="22"/>
              </w:rPr>
            </w:pPr>
          </w:p>
        </w:tc>
        <w:tc>
          <w:tcPr>
            <w:tcW w:w="4536" w:type="dxa"/>
          </w:tcPr>
          <w:p w14:paraId="0D84376B" w14:textId="318C7F92" w:rsidR="00DD04EE" w:rsidRPr="005A1FCA" w:rsidRDefault="00DD04EE" w:rsidP="00EA20BE">
            <w:pPr>
              <w:jc w:val="center"/>
              <w:rPr>
                <w:rFonts w:ascii="Calibri" w:hAnsi="Calibri" w:cs="Calibri"/>
                <w:b/>
                <w:bCs/>
                <w:sz w:val="22"/>
                <w:szCs w:val="22"/>
                <w:lang w:val="it-IT"/>
              </w:rPr>
            </w:pPr>
            <w:r w:rsidRPr="005A1FCA">
              <w:rPr>
                <w:rFonts w:ascii="Calibri" w:hAnsi="Calibri" w:cs="Calibri"/>
                <w:b/>
                <w:bCs/>
                <w:sz w:val="22"/>
                <w:szCs w:val="22"/>
                <w:lang w:val="it-IT"/>
              </w:rPr>
              <w:t xml:space="preserve">Art. 16 </w:t>
            </w:r>
          </w:p>
        </w:tc>
      </w:tr>
      <w:tr w:rsidR="00EA20BE" w:rsidRPr="005A1FCA" w14:paraId="57F2FE82" w14:textId="77777777" w:rsidTr="000C19B0">
        <w:trPr>
          <w:jc w:val="center"/>
        </w:trPr>
        <w:tc>
          <w:tcPr>
            <w:tcW w:w="4253" w:type="dxa"/>
          </w:tcPr>
          <w:p w14:paraId="246B66C0" w14:textId="635A0422" w:rsidR="00EA20BE" w:rsidRPr="005A1FCA" w:rsidRDefault="00EA20BE" w:rsidP="000C19B0">
            <w:pPr>
              <w:jc w:val="center"/>
              <w:rPr>
                <w:rFonts w:ascii="Calibri" w:hAnsi="Calibri" w:cs="Calibri"/>
                <w:sz w:val="22"/>
                <w:szCs w:val="22"/>
              </w:rPr>
            </w:pPr>
            <w:r w:rsidRPr="005A1FCA">
              <w:rPr>
                <w:rFonts w:ascii="Calibri" w:hAnsi="Calibri" w:cs="Calibri"/>
                <w:sz w:val="22"/>
                <w:szCs w:val="22"/>
              </w:rPr>
              <w:t>(Methoden zur Berechnung des geschätzten Auftragswerts)</w:t>
            </w:r>
          </w:p>
        </w:tc>
        <w:tc>
          <w:tcPr>
            <w:tcW w:w="850" w:type="dxa"/>
          </w:tcPr>
          <w:p w14:paraId="4751A75F" w14:textId="77777777" w:rsidR="00EA20BE" w:rsidRPr="005A1FCA" w:rsidRDefault="00EA20BE" w:rsidP="000C19B0">
            <w:pPr>
              <w:jc w:val="center"/>
              <w:rPr>
                <w:rFonts w:ascii="Calibri" w:hAnsi="Calibri" w:cs="Calibri"/>
                <w:sz w:val="22"/>
                <w:szCs w:val="22"/>
              </w:rPr>
            </w:pPr>
          </w:p>
        </w:tc>
        <w:tc>
          <w:tcPr>
            <w:tcW w:w="4536" w:type="dxa"/>
          </w:tcPr>
          <w:p w14:paraId="7BEEA6C9" w14:textId="77777777" w:rsidR="00EA20BE" w:rsidRPr="005A1FCA" w:rsidRDefault="00EA20BE" w:rsidP="000C19B0">
            <w:pPr>
              <w:jc w:val="center"/>
              <w:rPr>
                <w:rFonts w:ascii="Calibri" w:hAnsi="Calibri" w:cs="Calibri"/>
                <w:sz w:val="22"/>
                <w:szCs w:val="22"/>
                <w:lang w:val="it-IT"/>
              </w:rPr>
            </w:pPr>
            <w:r w:rsidRPr="005A1FCA">
              <w:rPr>
                <w:rFonts w:ascii="Calibri" w:hAnsi="Calibri" w:cs="Calibri"/>
                <w:sz w:val="22"/>
                <w:szCs w:val="22"/>
                <w:lang w:val="it-IT"/>
              </w:rPr>
              <w:t>(Metodi di calcolo del valore stimato degli appalti)</w:t>
            </w:r>
          </w:p>
          <w:p w14:paraId="228EB643" w14:textId="2089A8AB" w:rsidR="00EA20BE" w:rsidRPr="005A1FCA" w:rsidRDefault="00EA20BE" w:rsidP="000C19B0">
            <w:pPr>
              <w:jc w:val="center"/>
              <w:rPr>
                <w:rFonts w:ascii="Calibri" w:hAnsi="Calibri" w:cs="Calibri"/>
                <w:sz w:val="22"/>
                <w:szCs w:val="22"/>
                <w:lang w:val="it-IT"/>
              </w:rPr>
            </w:pPr>
          </w:p>
        </w:tc>
      </w:tr>
      <w:tr w:rsidR="00080DE9" w:rsidRPr="005A1FCA" w14:paraId="65DECF5E" w14:textId="77777777" w:rsidTr="000C19B0">
        <w:trPr>
          <w:jc w:val="center"/>
        </w:trPr>
        <w:tc>
          <w:tcPr>
            <w:tcW w:w="9639" w:type="dxa"/>
            <w:gridSpan w:val="3"/>
          </w:tcPr>
          <w:p w14:paraId="3BE179D6" w14:textId="77777777" w:rsidR="00080DE9" w:rsidRPr="005A1FCA" w:rsidRDefault="00080DE9" w:rsidP="000C19B0">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p w14:paraId="540BDB09" w14:textId="77777777" w:rsidR="00080DE9" w:rsidRPr="005A1FCA" w:rsidRDefault="00080DE9" w:rsidP="000C19B0">
            <w:pPr>
              <w:jc w:val="center"/>
              <w:rPr>
                <w:rFonts w:ascii="Calibri" w:hAnsi="Calibri" w:cs="Calibri"/>
                <w:b/>
                <w:bCs/>
                <w:i/>
                <w:iCs/>
                <w:sz w:val="22"/>
                <w:szCs w:val="22"/>
                <w:lang w:val="it-IT"/>
              </w:rPr>
            </w:pPr>
          </w:p>
        </w:tc>
      </w:tr>
      <w:tr w:rsidR="00DD04EE" w:rsidRPr="005A1FCA" w14:paraId="05F6EF0A" w14:textId="77777777" w:rsidTr="000C19B0">
        <w:trPr>
          <w:jc w:val="center"/>
        </w:trPr>
        <w:tc>
          <w:tcPr>
            <w:tcW w:w="4253" w:type="dxa"/>
          </w:tcPr>
          <w:p w14:paraId="0D53FA1D" w14:textId="0D8159E5" w:rsidR="00DD04EE" w:rsidRPr="005A1FCA" w:rsidRDefault="00DD04EE" w:rsidP="000C19B0">
            <w:pPr>
              <w:jc w:val="both"/>
              <w:rPr>
                <w:rFonts w:ascii="Calibri" w:hAnsi="Calibri" w:cs="Calibri"/>
                <w:sz w:val="22"/>
                <w:szCs w:val="22"/>
                <w:lang w:eastAsia="de-DE"/>
              </w:rPr>
            </w:pPr>
            <w:r w:rsidRPr="005A1FCA">
              <w:rPr>
                <w:rFonts w:ascii="Calibri" w:hAnsi="Calibri" w:cs="Calibri"/>
                <w:sz w:val="22"/>
                <w:szCs w:val="22"/>
                <w:lang w:eastAsia="de-DE"/>
              </w:rPr>
              <w:t xml:space="preserve">(10) Abweichend von den Absätzen 8 und 9 können öffentliche Auftraggeber bei der Vergabe einzelner Lose </w:t>
            </w:r>
            <w:r w:rsidRPr="005A1FCA">
              <w:rPr>
                <w:rFonts w:ascii="Calibri" w:hAnsi="Calibri" w:cs="Calibri"/>
                <w:strike/>
                <w:color w:val="E40000"/>
                <w:sz w:val="22"/>
                <w:szCs w:val="22"/>
                <w:lang w:eastAsia="de-DE"/>
              </w:rPr>
              <w:t xml:space="preserve">von den in der Richtlinie festgelegten Verfahren abweichen, </w:t>
            </w:r>
            <w:r w:rsidRPr="005A1FCA">
              <w:rPr>
                <w:rFonts w:ascii="Calibri" w:hAnsi="Calibri" w:cs="Calibri"/>
                <w:color w:val="E40000"/>
                <w:sz w:val="22"/>
                <w:szCs w:val="22"/>
              </w:rPr>
              <w:t>gemäß den in Artikel 26 vorgesehenen Modalitäten vergeben</w:t>
            </w:r>
            <w:r w:rsidRPr="005A1FCA">
              <w:rPr>
                <w:rFonts w:ascii="Calibri" w:hAnsi="Calibri" w:cs="Calibri"/>
                <w:sz w:val="22"/>
                <w:szCs w:val="22"/>
              </w:rPr>
              <w:t>,</w:t>
            </w:r>
            <w:r w:rsidRPr="005A1FCA">
              <w:rPr>
                <w:rFonts w:ascii="Calibri" w:hAnsi="Calibri" w:cs="Calibri"/>
                <w:sz w:val="22"/>
                <w:szCs w:val="22"/>
                <w:lang w:eastAsia="de-DE"/>
              </w:rPr>
              <w:t xml:space="preserve"> wenn der geschätzte Wert des betreffenden Loses ohne Mehrwertsteuer bei Lieferungen oder Dienstleistungen unter 80.000 Euro und bei Bauleistungen unter 1.000.000 Euro liegt, sofern der kumulierte Wert der vergebenen Lose nicht 20 Prozent des Gesamtwerts sämtlicher Lose überschreiten, in welchen das Bauvorhaben, das Projekt zur Beschaffung von gleichartigen Lieferungen oder das Projekt der Dienstleistungen unterteilt ist. Bei Verfahren unter dem EU-Schwellenwert darf in Abweichung vom Verfahren, welches für den Gesamtbetrag des Vorhabens vorgesehen ist, der kumulierte Wert der vergebenen Lose nicht 30 Prozent des kumulierten Werts sämtlicher Lose überschreiten, in die das Bauvorhaben, der vorgesehene Erwerb gleichartiger Lieferungen oder die vorgesehene Erbringung von Dienstleistungen unterteilt wurden.</w:t>
            </w:r>
          </w:p>
        </w:tc>
        <w:tc>
          <w:tcPr>
            <w:tcW w:w="850" w:type="dxa"/>
          </w:tcPr>
          <w:p w14:paraId="69AED11F" w14:textId="77777777" w:rsidR="00DD04EE" w:rsidRPr="005A1FCA" w:rsidRDefault="00DD04EE" w:rsidP="000C19B0">
            <w:pPr>
              <w:jc w:val="both"/>
              <w:rPr>
                <w:rFonts w:ascii="Calibri" w:hAnsi="Calibri" w:cs="Calibri"/>
                <w:sz w:val="22"/>
                <w:szCs w:val="22"/>
                <w:highlight w:val="yellow"/>
              </w:rPr>
            </w:pPr>
          </w:p>
        </w:tc>
        <w:tc>
          <w:tcPr>
            <w:tcW w:w="4536" w:type="dxa"/>
          </w:tcPr>
          <w:p w14:paraId="72998101" w14:textId="18442F6C" w:rsidR="00DD04EE" w:rsidRPr="005A1FCA" w:rsidRDefault="00DD04EE" w:rsidP="000C19B0">
            <w:pPr>
              <w:spacing w:after="160" w:line="259" w:lineRule="auto"/>
              <w:jc w:val="both"/>
              <w:rPr>
                <w:rFonts w:ascii="Calibri" w:hAnsi="Calibri" w:cs="Calibri"/>
                <w:sz w:val="22"/>
                <w:szCs w:val="22"/>
                <w:lang w:val="it-IT"/>
              </w:rPr>
            </w:pPr>
            <w:r w:rsidRPr="005A1FCA">
              <w:rPr>
                <w:rFonts w:ascii="Calibri" w:hAnsi="Calibri" w:cs="Calibri"/>
                <w:sz w:val="22"/>
                <w:szCs w:val="22"/>
                <w:lang w:val="it-IT"/>
              </w:rPr>
              <w:t xml:space="preserve">(10) In deroga ai commi 8 e 9, le amministrazioni aggiudicatrici possono aggiudicare appalti per singoli lotti </w:t>
            </w:r>
            <w:r w:rsidRPr="005A1FCA">
              <w:rPr>
                <w:rFonts w:ascii="Calibri" w:hAnsi="Calibri" w:cs="Calibri"/>
                <w:strike/>
                <w:color w:val="E40000"/>
                <w:sz w:val="22"/>
                <w:szCs w:val="22"/>
                <w:lang w:val="it-IT"/>
              </w:rPr>
              <w:t>senza applicare le procedure previste dalla direttiva</w:t>
            </w:r>
            <w:r w:rsidRPr="005A1FCA">
              <w:rPr>
                <w:rFonts w:ascii="Calibri" w:hAnsi="Calibri" w:cs="Calibri"/>
                <w:color w:val="E40000"/>
                <w:sz w:val="22"/>
                <w:szCs w:val="22"/>
                <w:lang w:val="it-IT"/>
              </w:rPr>
              <w:t xml:space="preserve"> con le modalità previste dall’art. 26</w:t>
            </w:r>
            <w:r w:rsidRPr="005A1FCA">
              <w:rPr>
                <w:rFonts w:ascii="Calibri" w:hAnsi="Calibri" w:cs="Calibri"/>
                <w:sz w:val="22"/>
                <w:szCs w:val="22"/>
                <w:lang w:val="it-IT"/>
              </w:rPr>
              <w:t>, a condizione che il valore stimato, al netto dell’IVA, del lotto in questione sia inferiore a 80.000 euro per le forniture o i servizi oppure a 1.000.000 di euro per i lavori, purché il valore cumulato dei lotti aggiudicati non superi il 20 per cento del valore complessivo di tutti i lotti in cui sono stati frazionati l'opera prevista, il progetto di acquisizione delle forniture omogenee o il progetto di prestazione di servizi. Nelle procedure di valore inferiore alla soglia UE il valore cumulato dei lotti aggiudicati senza applicare la procedura prevista per l’intero importo dell’opera non può superare il 30 per cento del valore cumulato di tutti i lotti in cui sono stati frazionati l’opera prevista, il progetto di acquisizione di forniture omogenee o il progetto di prestazione di servizi.</w:t>
            </w:r>
            <w:r w:rsidR="00CC3CD7" w:rsidRPr="005A1FCA">
              <w:rPr>
                <w:rFonts w:ascii="Calibri" w:hAnsi="Calibri" w:cs="Calibri"/>
                <w:sz w:val="22"/>
                <w:szCs w:val="22"/>
                <w:lang w:val="it-IT"/>
              </w:rPr>
              <w:t xml:space="preserve"> </w:t>
            </w:r>
          </w:p>
        </w:tc>
      </w:tr>
      <w:tr w:rsidR="00C14BB6" w:rsidRPr="005A1FCA" w14:paraId="3EE9CB7F" w14:textId="77777777" w:rsidTr="000C19B0">
        <w:trPr>
          <w:jc w:val="center"/>
        </w:trPr>
        <w:tc>
          <w:tcPr>
            <w:tcW w:w="9639" w:type="dxa"/>
            <w:gridSpan w:val="3"/>
          </w:tcPr>
          <w:p w14:paraId="3CE5C9C8" w14:textId="77777777" w:rsidR="00C14BB6" w:rsidRPr="005A1FCA" w:rsidRDefault="00C14BB6" w:rsidP="000C19B0">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p w14:paraId="567AC524" w14:textId="77777777" w:rsidR="00C14BB6" w:rsidRPr="005A1FCA" w:rsidRDefault="00C14BB6" w:rsidP="000C19B0">
            <w:pPr>
              <w:jc w:val="center"/>
              <w:rPr>
                <w:rFonts w:ascii="Calibri" w:hAnsi="Calibri" w:cs="Calibri"/>
                <w:b/>
                <w:bCs/>
                <w:i/>
                <w:iCs/>
                <w:sz w:val="22"/>
                <w:szCs w:val="22"/>
                <w:lang w:val="it-IT"/>
              </w:rPr>
            </w:pPr>
          </w:p>
        </w:tc>
      </w:tr>
    </w:tbl>
    <w:p w14:paraId="5D5B663A" w14:textId="77777777" w:rsidR="00E54B44" w:rsidRDefault="00E54B44" w:rsidP="00AE10B1">
      <w:pPr>
        <w:rPr>
          <w:rFonts w:ascii="Calibri" w:hAnsi="Calibri" w:cs="Calibri"/>
          <w:sz w:val="22"/>
          <w:szCs w:val="22"/>
          <w:lang w:val="it-IT"/>
        </w:rPr>
      </w:pPr>
    </w:p>
    <w:tbl>
      <w:tblPr>
        <w:tblW w:w="9639" w:type="dxa"/>
        <w:jc w:val="center"/>
        <w:tblLayout w:type="fixed"/>
        <w:tblCellMar>
          <w:left w:w="71" w:type="dxa"/>
          <w:right w:w="71" w:type="dxa"/>
        </w:tblCellMar>
        <w:tblLook w:val="0000" w:firstRow="0" w:lastRow="0" w:firstColumn="0" w:lastColumn="0" w:noHBand="0" w:noVBand="0"/>
      </w:tblPr>
      <w:tblGrid>
        <w:gridCol w:w="4253"/>
        <w:gridCol w:w="850"/>
        <w:gridCol w:w="4536"/>
      </w:tblGrid>
      <w:tr w:rsidR="00E54B44" w:rsidRPr="005A1FCA" w14:paraId="7FD9CF19" w14:textId="77777777" w:rsidTr="000C19B0">
        <w:trPr>
          <w:jc w:val="center"/>
        </w:trPr>
        <w:tc>
          <w:tcPr>
            <w:tcW w:w="4253" w:type="dxa"/>
          </w:tcPr>
          <w:p w14:paraId="44286A52" w14:textId="667D25EA" w:rsidR="00E54B44" w:rsidRPr="005A1FCA" w:rsidRDefault="00E54B44" w:rsidP="00EA20BE">
            <w:pPr>
              <w:shd w:val="clear" w:color="auto" w:fill="FFFFFF"/>
              <w:jc w:val="center"/>
              <w:rPr>
                <w:rFonts w:ascii="Calibri" w:hAnsi="Calibri" w:cs="Calibri"/>
                <w:b/>
                <w:bCs/>
                <w:sz w:val="22"/>
                <w:szCs w:val="22"/>
                <w:lang w:eastAsia="de-DE"/>
              </w:rPr>
            </w:pPr>
            <w:r w:rsidRPr="005A1FCA">
              <w:rPr>
                <w:rFonts w:ascii="Calibri" w:hAnsi="Calibri" w:cs="Calibri"/>
                <w:b/>
                <w:bCs/>
                <w:sz w:val="22"/>
                <w:szCs w:val="22"/>
                <w:lang w:eastAsia="de-DE"/>
              </w:rPr>
              <w:t xml:space="preserve">Art. 18 </w:t>
            </w:r>
          </w:p>
        </w:tc>
        <w:tc>
          <w:tcPr>
            <w:tcW w:w="850" w:type="dxa"/>
          </w:tcPr>
          <w:p w14:paraId="5D839990" w14:textId="77777777" w:rsidR="00E54B44" w:rsidRPr="005A1FCA" w:rsidRDefault="00E54B44" w:rsidP="000C19B0">
            <w:pPr>
              <w:shd w:val="clear" w:color="auto" w:fill="FFFFFF"/>
              <w:jc w:val="center"/>
              <w:rPr>
                <w:rFonts w:ascii="Calibri" w:hAnsi="Calibri" w:cs="Calibri"/>
                <w:b/>
                <w:bCs/>
                <w:sz w:val="22"/>
                <w:szCs w:val="22"/>
                <w:lang w:eastAsia="de-DE"/>
              </w:rPr>
            </w:pPr>
          </w:p>
        </w:tc>
        <w:tc>
          <w:tcPr>
            <w:tcW w:w="4536" w:type="dxa"/>
          </w:tcPr>
          <w:p w14:paraId="514FDCE3" w14:textId="6185D65A" w:rsidR="00E54B44" w:rsidRPr="005A1FCA" w:rsidRDefault="00E54B44" w:rsidP="00EA20BE">
            <w:pPr>
              <w:shd w:val="clear" w:color="auto" w:fill="FFFFFF"/>
              <w:jc w:val="center"/>
              <w:rPr>
                <w:rFonts w:ascii="Calibri" w:hAnsi="Calibri" w:cs="Calibri"/>
                <w:b/>
                <w:bCs/>
                <w:sz w:val="22"/>
                <w:szCs w:val="22"/>
                <w:lang w:val="it-IT" w:eastAsia="de-DE"/>
              </w:rPr>
            </w:pPr>
            <w:r w:rsidRPr="005A1FCA">
              <w:rPr>
                <w:rFonts w:ascii="Calibri" w:hAnsi="Calibri" w:cs="Calibri"/>
                <w:b/>
                <w:bCs/>
                <w:sz w:val="22"/>
                <w:szCs w:val="22"/>
                <w:lang w:val="it-IT" w:eastAsia="de-DE"/>
              </w:rPr>
              <w:t xml:space="preserve">Art. 18 </w:t>
            </w:r>
          </w:p>
        </w:tc>
      </w:tr>
      <w:tr w:rsidR="00EA20BE" w:rsidRPr="005A1FCA" w14:paraId="7C578446" w14:textId="77777777" w:rsidTr="000C19B0">
        <w:trPr>
          <w:jc w:val="center"/>
        </w:trPr>
        <w:tc>
          <w:tcPr>
            <w:tcW w:w="4253" w:type="dxa"/>
          </w:tcPr>
          <w:p w14:paraId="1539C814" w14:textId="77777777" w:rsidR="00EA20BE" w:rsidRPr="005A1FCA" w:rsidRDefault="00EA20BE" w:rsidP="000C19B0">
            <w:pPr>
              <w:shd w:val="clear" w:color="auto" w:fill="FFFFFF"/>
              <w:jc w:val="center"/>
              <w:rPr>
                <w:rFonts w:ascii="Calibri" w:hAnsi="Calibri" w:cs="Calibri"/>
                <w:sz w:val="22"/>
                <w:szCs w:val="22"/>
                <w:lang w:eastAsia="de-DE"/>
              </w:rPr>
            </w:pPr>
            <w:r w:rsidRPr="005A1FCA">
              <w:rPr>
                <w:rFonts w:ascii="Calibri" w:hAnsi="Calibri" w:cs="Calibri"/>
                <w:sz w:val="22"/>
                <w:szCs w:val="22"/>
                <w:lang w:eastAsia="de-DE"/>
              </w:rPr>
              <w:t>(Vergabe von Architekten- oder Ingenieurleistungen)</w:t>
            </w:r>
          </w:p>
          <w:p w14:paraId="2AC3AC50" w14:textId="1AB68777" w:rsidR="00EA20BE" w:rsidRPr="005A1FCA" w:rsidRDefault="00EA20BE" w:rsidP="000C19B0">
            <w:pPr>
              <w:shd w:val="clear" w:color="auto" w:fill="FFFFFF"/>
              <w:jc w:val="center"/>
              <w:rPr>
                <w:rFonts w:ascii="Calibri" w:hAnsi="Calibri" w:cs="Calibri"/>
                <w:sz w:val="22"/>
                <w:szCs w:val="22"/>
                <w:lang w:eastAsia="de-DE"/>
              </w:rPr>
            </w:pPr>
          </w:p>
        </w:tc>
        <w:tc>
          <w:tcPr>
            <w:tcW w:w="850" w:type="dxa"/>
          </w:tcPr>
          <w:p w14:paraId="2FB63827" w14:textId="77777777" w:rsidR="00EA20BE" w:rsidRPr="005A1FCA" w:rsidRDefault="00EA20BE" w:rsidP="000C19B0">
            <w:pPr>
              <w:shd w:val="clear" w:color="auto" w:fill="FFFFFF"/>
              <w:jc w:val="center"/>
              <w:rPr>
                <w:rFonts w:ascii="Calibri" w:hAnsi="Calibri" w:cs="Calibri"/>
                <w:sz w:val="22"/>
                <w:szCs w:val="22"/>
                <w:lang w:eastAsia="de-DE"/>
              </w:rPr>
            </w:pPr>
          </w:p>
        </w:tc>
        <w:tc>
          <w:tcPr>
            <w:tcW w:w="4536" w:type="dxa"/>
          </w:tcPr>
          <w:p w14:paraId="7C9507C1" w14:textId="22C7AEB3" w:rsidR="00EA20BE" w:rsidRPr="005A1FCA" w:rsidRDefault="00EA20BE" w:rsidP="000C19B0">
            <w:pPr>
              <w:shd w:val="clear" w:color="auto" w:fill="FFFFFF"/>
              <w:jc w:val="center"/>
              <w:rPr>
                <w:rFonts w:ascii="Calibri" w:hAnsi="Calibri" w:cs="Calibri"/>
                <w:sz w:val="22"/>
                <w:szCs w:val="22"/>
                <w:lang w:val="it-IT" w:eastAsia="de-DE"/>
              </w:rPr>
            </w:pPr>
            <w:r w:rsidRPr="005A1FCA">
              <w:rPr>
                <w:rFonts w:ascii="Calibri" w:hAnsi="Calibri" w:cs="Calibri"/>
                <w:sz w:val="22"/>
                <w:szCs w:val="22"/>
                <w:lang w:val="it-IT" w:eastAsia="de-DE"/>
              </w:rPr>
              <w:t>(Affidamento dei servizi attinenti all’architettura e all’ingegneria)</w:t>
            </w:r>
          </w:p>
        </w:tc>
      </w:tr>
      <w:tr w:rsidR="00080DE9" w:rsidRPr="005A1FCA" w14:paraId="3EF5F448" w14:textId="77777777" w:rsidTr="000C19B0">
        <w:trPr>
          <w:jc w:val="center"/>
        </w:trPr>
        <w:tc>
          <w:tcPr>
            <w:tcW w:w="9639" w:type="dxa"/>
            <w:gridSpan w:val="3"/>
          </w:tcPr>
          <w:p w14:paraId="4F1F5390" w14:textId="77777777" w:rsidR="00080DE9" w:rsidRPr="005A1FCA" w:rsidRDefault="00080DE9" w:rsidP="000C19B0">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p w14:paraId="7FD58FAE" w14:textId="77777777" w:rsidR="00080DE9" w:rsidRPr="005A1FCA" w:rsidRDefault="00080DE9" w:rsidP="000C19B0">
            <w:pPr>
              <w:jc w:val="center"/>
              <w:rPr>
                <w:rFonts w:ascii="Calibri" w:hAnsi="Calibri" w:cs="Calibri"/>
                <w:b/>
                <w:bCs/>
                <w:i/>
                <w:iCs/>
                <w:sz w:val="22"/>
                <w:szCs w:val="22"/>
                <w:lang w:val="it-IT"/>
              </w:rPr>
            </w:pPr>
          </w:p>
        </w:tc>
      </w:tr>
      <w:tr w:rsidR="00E54B44" w:rsidRPr="005A1FCA" w14:paraId="330ACE83" w14:textId="77777777" w:rsidTr="000C19B0">
        <w:trPr>
          <w:jc w:val="center"/>
        </w:trPr>
        <w:tc>
          <w:tcPr>
            <w:tcW w:w="4253" w:type="dxa"/>
          </w:tcPr>
          <w:p w14:paraId="5390453D" w14:textId="77777777" w:rsidR="00E54B44" w:rsidRPr="005A1FCA" w:rsidRDefault="00E54B44" w:rsidP="000C19B0">
            <w:pPr>
              <w:shd w:val="clear" w:color="auto" w:fill="FFFFFF"/>
              <w:jc w:val="both"/>
              <w:rPr>
                <w:rFonts w:ascii="Calibri" w:hAnsi="Calibri" w:cs="Calibri"/>
                <w:strike/>
                <w:color w:val="E40000"/>
                <w:sz w:val="22"/>
                <w:szCs w:val="22"/>
                <w:lang w:eastAsia="de-DE"/>
              </w:rPr>
            </w:pPr>
            <w:r w:rsidRPr="005A1FCA">
              <w:rPr>
                <w:rFonts w:ascii="Calibri" w:hAnsi="Calibri" w:cs="Calibri"/>
                <w:strike/>
                <w:color w:val="E40000"/>
                <w:sz w:val="22"/>
                <w:szCs w:val="22"/>
                <w:lang w:eastAsia="de-DE"/>
              </w:rPr>
              <w:t>(3) Um einen ausreichenden Wettbewerb sicherzustellen, können bei der Bestimmung der Anforderungen an die technisch-organisatorische Leistungsfähigkeit auch einschlägige Dienstleistungen berücksichtigt werden, die mehr als drei Jahre zurückliegen.</w:t>
            </w:r>
          </w:p>
          <w:p w14:paraId="60BD0B1A" w14:textId="77777777" w:rsidR="00E54B44" w:rsidRPr="005A1FCA" w:rsidRDefault="00E54B44" w:rsidP="000C19B0">
            <w:pPr>
              <w:shd w:val="clear" w:color="auto" w:fill="FFFFFF"/>
              <w:jc w:val="both"/>
              <w:rPr>
                <w:rFonts w:ascii="Calibri" w:hAnsi="Calibri" w:cs="Calibri"/>
                <w:strike/>
                <w:color w:val="E40000"/>
                <w:sz w:val="22"/>
                <w:szCs w:val="22"/>
                <w:lang w:eastAsia="de-DE"/>
              </w:rPr>
            </w:pPr>
          </w:p>
        </w:tc>
        <w:tc>
          <w:tcPr>
            <w:tcW w:w="850" w:type="dxa"/>
          </w:tcPr>
          <w:p w14:paraId="4F5FCB65" w14:textId="77777777" w:rsidR="00E54B44" w:rsidRPr="005A1FCA" w:rsidRDefault="00E54B44" w:rsidP="000C19B0">
            <w:pPr>
              <w:jc w:val="both"/>
              <w:rPr>
                <w:rFonts w:ascii="Calibri" w:hAnsi="Calibri" w:cs="Calibri"/>
                <w:strike/>
                <w:color w:val="E40000"/>
                <w:sz w:val="22"/>
                <w:szCs w:val="22"/>
              </w:rPr>
            </w:pPr>
          </w:p>
        </w:tc>
        <w:tc>
          <w:tcPr>
            <w:tcW w:w="4536" w:type="dxa"/>
          </w:tcPr>
          <w:p w14:paraId="290AD190" w14:textId="77777777" w:rsidR="00E54B44" w:rsidRPr="005A1FCA" w:rsidRDefault="00E54B44" w:rsidP="000C19B0">
            <w:pPr>
              <w:shd w:val="clear" w:color="auto" w:fill="FFFFFF"/>
              <w:jc w:val="both"/>
              <w:rPr>
                <w:rFonts w:ascii="Calibri" w:hAnsi="Calibri" w:cs="Calibri"/>
                <w:strike/>
                <w:color w:val="E40000"/>
                <w:sz w:val="22"/>
                <w:szCs w:val="22"/>
                <w:lang w:val="it-IT"/>
              </w:rPr>
            </w:pPr>
            <w:r w:rsidRPr="005A1FCA">
              <w:rPr>
                <w:rFonts w:ascii="Calibri" w:hAnsi="Calibri" w:cs="Calibri"/>
                <w:strike/>
                <w:color w:val="E40000"/>
                <w:sz w:val="22"/>
                <w:szCs w:val="22"/>
                <w:lang w:val="it-IT"/>
              </w:rPr>
              <w:t xml:space="preserve">(3) Al fine di assicurare un livello adeguato di concorrenza, nella determinazione dei requisiti tecnico-organizzativi si possono considerare anche i servizi espletati più di tre anni prima. </w:t>
            </w:r>
          </w:p>
          <w:p w14:paraId="1F163C0F" w14:textId="77777777" w:rsidR="00E54B44" w:rsidRPr="005A1FCA" w:rsidRDefault="00E54B44" w:rsidP="000C19B0">
            <w:pPr>
              <w:shd w:val="clear" w:color="auto" w:fill="FFFFFF"/>
              <w:jc w:val="both"/>
              <w:rPr>
                <w:rFonts w:ascii="Calibri" w:hAnsi="Calibri" w:cs="Calibri"/>
                <w:strike/>
                <w:color w:val="E40000"/>
                <w:sz w:val="22"/>
                <w:szCs w:val="22"/>
                <w:lang w:val="it-IT"/>
              </w:rPr>
            </w:pPr>
          </w:p>
        </w:tc>
      </w:tr>
      <w:tr w:rsidR="00080DE9" w:rsidRPr="005A1FCA" w14:paraId="5FB72ABA" w14:textId="77777777" w:rsidTr="000C19B0">
        <w:trPr>
          <w:jc w:val="center"/>
        </w:trPr>
        <w:tc>
          <w:tcPr>
            <w:tcW w:w="9639" w:type="dxa"/>
            <w:gridSpan w:val="3"/>
          </w:tcPr>
          <w:p w14:paraId="21E14DD0" w14:textId="77777777" w:rsidR="00080DE9" w:rsidRPr="005A1FCA" w:rsidRDefault="00080DE9" w:rsidP="000C19B0">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p w14:paraId="5B72D736" w14:textId="77777777" w:rsidR="00080DE9" w:rsidRPr="005A1FCA" w:rsidRDefault="00080DE9" w:rsidP="000C19B0">
            <w:pPr>
              <w:jc w:val="center"/>
              <w:rPr>
                <w:rFonts w:ascii="Calibri" w:hAnsi="Calibri" w:cs="Calibri"/>
                <w:b/>
                <w:bCs/>
                <w:i/>
                <w:iCs/>
                <w:sz w:val="22"/>
                <w:szCs w:val="22"/>
                <w:lang w:val="it-IT"/>
              </w:rPr>
            </w:pPr>
          </w:p>
        </w:tc>
      </w:tr>
      <w:tr w:rsidR="00E54B44" w:rsidRPr="005A1FCA" w14:paraId="7A64FFB7" w14:textId="77777777" w:rsidTr="000C19B0">
        <w:trPr>
          <w:jc w:val="center"/>
        </w:trPr>
        <w:tc>
          <w:tcPr>
            <w:tcW w:w="4253" w:type="dxa"/>
          </w:tcPr>
          <w:p w14:paraId="030E6771" w14:textId="77777777" w:rsidR="00E54B44" w:rsidRPr="005A1FCA" w:rsidRDefault="00E54B44" w:rsidP="000C19B0">
            <w:pPr>
              <w:shd w:val="clear" w:color="auto" w:fill="FFFFFF"/>
              <w:spacing w:after="160" w:line="259" w:lineRule="auto"/>
              <w:jc w:val="both"/>
              <w:rPr>
                <w:rFonts w:ascii="Calibri" w:hAnsi="Calibri" w:cs="Calibri"/>
                <w:strike/>
                <w:color w:val="E40000"/>
                <w:sz w:val="22"/>
                <w:szCs w:val="22"/>
                <w:lang w:eastAsia="de-DE"/>
              </w:rPr>
            </w:pPr>
            <w:r w:rsidRPr="005A1FCA">
              <w:rPr>
                <w:rFonts w:ascii="Calibri" w:hAnsi="Calibri" w:cs="Calibri"/>
                <w:strike/>
                <w:color w:val="E40000"/>
                <w:sz w:val="22"/>
                <w:szCs w:val="22"/>
                <w:lang w:eastAsia="de-DE"/>
              </w:rPr>
              <w:t xml:space="preserve">(6) Der technische Bericht zur Erläuterung der Ausführungsweise der Leistungen, die Gegenstand des Auftrags sind, darf nach Ermessen der Vergabestelle höchstens zehn Seiten im A4-Format oder fünf Seiten im A3-Format umfassen und darf keine Zeichnungen, Fotos und andere graphische Darstellungen enthalten. </w:t>
            </w:r>
          </w:p>
        </w:tc>
        <w:tc>
          <w:tcPr>
            <w:tcW w:w="850" w:type="dxa"/>
          </w:tcPr>
          <w:p w14:paraId="5AA307AE" w14:textId="77777777" w:rsidR="00E54B44" w:rsidRPr="005A1FCA" w:rsidRDefault="00E54B44" w:rsidP="000C19B0">
            <w:pPr>
              <w:jc w:val="both"/>
              <w:rPr>
                <w:rFonts w:ascii="Calibri" w:hAnsi="Calibri" w:cs="Calibri"/>
                <w:strike/>
                <w:color w:val="E40000"/>
                <w:sz w:val="22"/>
                <w:szCs w:val="22"/>
              </w:rPr>
            </w:pPr>
          </w:p>
        </w:tc>
        <w:tc>
          <w:tcPr>
            <w:tcW w:w="4536" w:type="dxa"/>
          </w:tcPr>
          <w:p w14:paraId="3B6A8FCE" w14:textId="77777777" w:rsidR="00E54B44" w:rsidRPr="005A1FCA" w:rsidRDefault="00E54B44" w:rsidP="000C19B0">
            <w:pPr>
              <w:shd w:val="clear" w:color="auto" w:fill="FFFFFF"/>
              <w:jc w:val="both"/>
              <w:rPr>
                <w:rFonts w:ascii="Calibri" w:hAnsi="Calibri" w:cs="Calibri"/>
                <w:strike/>
                <w:color w:val="E40000"/>
                <w:sz w:val="22"/>
                <w:szCs w:val="22"/>
                <w:lang w:val="it-IT"/>
              </w:rPr>
            </w:pPr>
            <w:r w:rsidRPr="005A1FCA">
              <w:rPr>
                <w:rFonts w:ascii="Calibri" w:hAnsi="Calibri" w:cs="Calibri"/>
                <w:strike/>
                <w:color w:val="E40000"/>
                <w:sz w:val="22"/>
                <w:szCs w:val="22"/>
                <w:lang w:val="it-IT"/>
              </w:rPr>
              <w:t xml:space="preserve">(6) La relazione tecnica illustrativa delle modalità di svolgimento delle prestazioni oggetto dell’incarico si compone, a discrezione della stazione appaltante, di un numero massimo di dieci pagine formato A4 o cinque pagine formato A3 e non può contenere disegni, foto o altre rappresentazioni grafiche. </w:t>
            </w:r>
          </w:p>
          <w:p w14:paraId="021BAA68" w14:textId="77777777" w:rsidR="00E54B44" w:rsidRPr="005A1FCA" w:rsidRDefault="00E54B44" w:rsidP="000C19B0">
            <w:pPr>
              <w:shd w:val="clear" w:color="auto" w:fill="FFFFFF"/>
              <w:jc w:val="both"/>
              <w:rPr>
                <w:rFonts w:ascii="Calibri" w:hAnsi="Calibri" w:cs="Calibri"/>
                <w:strike/>
                <w:color w:val="E40000"/>
                <w:sz w:val="22"/>
                <w:szCs w:val="22"/>
                <w:lang w:val="it-IT"/>
              </w:rPr>
            </w:pPr>
          </w:p>
        </w:tc>
      </w:tr>
      <w:tr w:rsidR="00C93DA5" w:rsidRPr="005A1FCA" w14:paraId="6A2A9C5B" w14:textId="77777777" w:rsidTr="000B3D49">
        <w:trPr>
          <w:jc w:val="center"/>
        </w:trPr>
        <w:tc>
          <w:tcPr>
            <w:tcW w:w="9639" w:type="dxa"/>
            <w:gridSpan w:val="3"/>
          </w:tcPr>
          <w:p w14:paraId="7298C781" w14:textId="06293544" w:rsidR="00C93DA5" w:rsidRPr="005A1FCA" w:rsidRDefault="00C93DA5" w:rsidP="00FE7A4A">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tc>
      </w:tr>
    </w:tbl>
    <w:p w14:paraId="06AC8784" w14:textId="77777777" w:rsidR="00E54B44" w:rsidRPr="005A1FCA" w:rsidRDefault="00E54B44" w:rsidP="00AE10B1">
      <w:pPr>
        <w:rPr>
          <w:rFonts w:ascii="Calibri" w:hAnsi="Calibri" w:cs="Calibri"/>
          <w:sz w:val="22"/>
          <w:szCs w:val="22"/>
          <w:lang w:val="it-IT"/>
        </w:rPr>
      </w:pPr>
      <w:bookmarkStart w:id="0" w:name="_Hlk202432915"/>
    </w:p>
    <w:p w14:paraId="0FABB952" w14:textId="77777777" w:rsidR="0095145E" w:rsidRPr="005A1FCA" w:rsidRDefault="0095145E" w:rsidP="00E54B44">
      <w:pPr>
        <w:jc w:val="center"/>
        <w:rPr>
          <w:rFonts w:ascii="Calibri" w:hAnsi="Calibri" w:cs="Calibri"/>
          <w:b/>
          <w:bCs/>
          <w:i/>
          <w:iCs/>
          <w:sz w:val="22"/>
          <w:szCs w:val="22"/>
          <w:lang w:val="it-IT"/>
        </w:rPr>
      </w:pPr>
    </w:p>
    <w:tbl>
      <w:tblPr>
        <w:tblW w:w="9639" w:type="dxa"/>
        <w:jc w:val="center"/>
        <w:tblLayout w:type="fixed"/>
        <w:tblCellMar>
          <w:left w:w="71" w:type="dxa"/>
          <w:right w:w="71" w:type="dxa"/>
        </w:tblCellMar>
        <w:tblLook w:val="0000" w:firstRow="0" w:lastRow="0" w:firstColumn="0" w:lastColumn="0" w:noHBand="0" w:noVBand="0"/>
      </w:tblPr>
      <w:tblGrid>
        <w:gridCol w:w="4253"/>
        <w:gridCol w:w="850"/>
        <w:gridCol w:w="4536"/>
      </w:tblGrid>
      <w:tr w:rsidR="00DF6D83" w:rsidRPr="005A1FCA" w14:paraId="3043D6D5" w14:textId="77777777" w:rsidTr="000C19B0">
        <w:trPr>
          <w:jc w:val="center"/>
        </w:trPr>
        <w:tc>
          <w:tcPr>
            <w:tcW w:w="4253" w:type="dxa"/>
          </w:tcPr>
          <w:bookmarkEnd w:id="0"/>
          <w:p w14:paraId="098A8A45" w14:textId="5F425AC5" w:rsidR="00DF6D83" w:rsidRPr="005A1FCA" w:rsidRDefault="00DF6D83" w:rsidP="00EA20BE">
            <w:pPr>
              <w:shd w:val="clear" w:color="auto" w:fill="FFFFFF"/>
              <w:jc w:val="center"/>
              <w:rPr>
                <w:rFonts w:ascii="Calibri" w:hAnsi="Calibri" w:cs="Calibri"/>
                <w:b/>
                <w:bCs/>
                <w:sz w:val="22"/>
                <w:szCs w:val="22"/>
              </w:rPr>
            </w:pPr>
            <w:r w:rsidRPr="005A1FCA">
              <w:rPr>
                <w:rFonts w:ascii="Calibri" w:hAnsi="Calibri" w:cs="Calibri"/>
                <w:b/>
                <w:bCs/>
                <w:sz w:val="22"/>
                <w:szCs w:val="22"/>
              </w:rPr>
              <w:t>Art. 27</w:t>
            </w:r>
          </w:p>
        </w:tc>
        <w:tc>
          <w:tcPr>
            <w:tcW w:w="850" w:type="dxa"/>
          </w:tcPr>
          <w:p w14:paraId="22E73FF3" w14:textId="77777777" w:rsidR="00DF6D83" w:rsidRPr="005A1FCA" w:rsidRDefault="00DF6D83" w:rsidP="000C19B0">
            <w:pPr>
              <w:jc w:val="center"/>
              <w:rPr>
                <w:rFonts w:ascii="Calibri" w:hAnsi="Calibri" w:cs="Calibri"/>
                <w:b/>
                <w:bCs/>
                <w:sz w:val="22"/>
                <w:szCs w:val="22"/>
              </w:rPr>
            </w:pPr>
          </w:p>
        </w:tc>
        <w:tc>
          <w:tcPr>
            <w:tcW w:w="4536" w:type="dxa"/>
          </w:tcPr>
          <w:p w14:paraId="6D2B46B1" w14:textId="0FA10EDC" w:rsidR="00DF6D83" w:rsidRPr="005A1FCA" w:rsidRDefault="00DF6D83" w:rsidP="00EA20BE">
            <w:pPr>
              <w:shd w:val="clear" w:color="auto" w:fill="FFFFFF"/>
              <w:jc w:val="center"/>
              <w:rPr>
                <w:rFonts w:ascii="Calibri" w:hAnsi="Calibri" w:cs="Calibri"/>
                <w:b/>
                <w:bCs/>
                <w:sz w:val="22"/>
                <w:szCs w:val="22"/>
                <w:lang w:val="it-IT"/>
              </w:rPr>
            </w:pPr>
            <w:r w:rsidRPr="005A1FCA">
              <w:rPr>
                <w:rFonts w:ascii="Calibri" w:hAnsi="Calibri" w:cs="Calibri"/>
                <w:b/>
                <w:bCs/>
                <w:sz w:val="22"/>
                <w:szCs w:val="22"/>
                <w:lang w:val="it-IT"/>
              </w:rPr>
              <w:t>Art. 27</w:t>
            </w:r>
          </w:p>
        </w:tc>
      </w:tr>
      <w:tr w:rsidR="00DF6D83" w:rsidRPr="005A1FCA" w14:paraId="0A4DFD19" w14:textId="77777777" w:rsidTr="000C19B0">
        <w:trPr>
          <w:jc w:val="center"/>
        </w:trPr>
        <w:tc>
          <w:tcPr>
            <w:tcW w:w="4253" w:type="dxa"/>
          </w:tcPr>
          <w:p w14:paraId="3FF96FC9" w14:textId="77777777" w:rsidR="00EA20BE" w:rsidRPr="005A1FCA" w:rsidRDefault="00EA20BE" w:rsidP="00EA20BE">
            <w:pPr>
              <w:shd w:val="clear" w:color="auto" w:fill="FFFFFF"/>
              <w:jc w:val="center"/>
              <w:rPr>
                <w:rFonts w:ascii="Calibri" w:hAnsi="Calibri" w:cs="Calibri"/>
                <w:sz w:val="22"/>
                <w:szCs w:val="22"/>
              </w:rPr>
            </w:pPr>
            <w:r w:rsidRPr="005A1FCA">
              <w:rPr>
                <w:rFonts w:ascii="Calibri" w:hAnsi="Calibri" w:cs="Calibri"/>
                <w:sz w:val="22"/>
                <w:szCs w:val="22"/>
              </w:rPr>
              <w:t>(Beschleunigung der Verfahren und Zugang der KMU zu den Vergabeverfahren)</w:t>
            </w:r>
          </w:p>
          <w:p w14:paraId="35957DD3" w14:textId="77777777" w:rsidR="00DF6D83" w:rsidRPr="005A1FCA" w:rsidRDefault="00DF6D83" w:rsidP="000C19B0">
            <w:pPr>
              <w:shd w:val="clear" w:color="auto" w:fill="FFFFFF"/>
              <w:jc w:val="center"/>
              <w:rPr>
                <w:rFonts w:ascii="Calibri" w:hAnsi="Calibri" w:cs="Calibri"/>
                <w:sz w:val="22"/>
                <w:szCs w:val="22"/>
              </w:rPr>
            </w:pPr>
          </w:p>
        </w:tc>
        <w:tc>
          <w:tcPr>
            <w:tcW w:w="850" w:type="dxa"/>
          </w:tcPr>
          <w:p w14:paraId="4308D654" w14:textId="77777777" w:rsidR="00DF6D83" w:rsidRPr="005A1FCA" w:rsidRDefault="00DF6D83" w:rsidP="000C19B0">
            <w:pPr>
              <w:jc w:val="center"/>
              <w:rPr>
                <w:rFonts w:ascii="Calibri" w:hAnsi="Calibri" w:cs="Calibri"/>
                <w:sz w:val="22"/>
                <w:szCs w:val="22"/>
              </w:rPr>
            </w:pPr>
          </w:p>
        </w:tc>
        <w:tc>
          <w:tcPr>
            <w:tcW w:w="4536" w:type="dxa"/>
          </w:tcPr>
          <w:p w14:paraId="451323B7" w14:textId="00A10F5A" w:rsidR="00DF6D83" w:rsidRPr="005A1FCA" w:rsidRDefault="00EA20BE" w:rsidP="000C19B0">
            <w:pPr>
              <w:shd w:val="clear" w:color="auto" w:fill="FFFFFF"/>
              <w:jc w:val="center"/>
              <w:rPr>
                <w:rFonts w:ascii="Calibri" w:hAnsi="Calibri" w:cs="Calibri"/>
                <w:sz w:val="22"/>
                <w:szCs w:val="22"/>
                <w:lang w:val="it-IT"/>
              </w:rPr>
            </w:pPr>
            <w:r w:rsidRPr="005A1FCA">
              <w:rPr>
                <w:rFonts w:ascii="Calibri" w:hAnsi="Calibri" w:cs="Calibri"/>
                <w:sz w:val="22"/>
                <w:szCs w:val="22"/>
                <w:lang w:val="it-IT"/>
              </w:rPr>
              <w:t>(Accelerazione delle procedure e accesso delle PMI alle procedure di affidamento)</w:t>
            </w:r>
          </w:p>
        </w:tc>
      </w:tr>
      <w:tr w:rsidR="00080DE9" w:rsidRPr="005A1FCA" w14:paraId="588297F2" w14:textId="77777777" w:rsidTr="000C19B0">
        <w:trPr>
          <w:jc w:val="center"/>
        </w:trPr>
        <w:tc>
          <w:tcPr>
            <w:tcW w:w="9639" w:type="dxa"/>
            <w:gridSpan w:val="3"/>
          </w:tcPr>
          <w:p w14:paraId="3375180B" w14:textId="77777777" w:rsidR="00080DE9" w:rsidRPr="005A1FCA" w:rsidRDefault="00080DE9" w:rsidP="000C19B0">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p w14:paraId="2E283B95" w14:textId="77777777" w:rsidR="00080DE9" w:rsidRPr="005A1FCA" w:rsidRDefault="00080DE9" w:rsidP="000C19B0">
            <w:pPr>
              <w:jc w:val="center"/>
              <w:rPr>
                <w:rFonts w:ascii="Calibri" w:hAnsi="Calibri" w:cs="Calibri"/>
                <w:b/>
                <w:bCs/>
                <w:i/>
                <w:iCs/>
                <w:sz w:val="22"/>
                <w:szCs w:val="22"/>
                <w:lang w:val="it-IT"/>
              </w:rPr>
            </w:pPr>
          </w:p>
        </w:tc>
      </w:tr>
      <w:tr w:rsidR="00DF6D83" w:rsidRPr="005A1FCA" w14:paraId="4FE05DB7" w14:textId="77777777" w:rsidTr="000C19B0">
        <w:trPr>
          <w:jc w:val="center"/>
        </w:trPr>
        <w:tc>
          <w:tcPr>
            <w:tcW w:w="4253" w:type="dxa"/>
          </w:tcPr>
          <w:p w14:paraId="1437C533" w14:textId="11359DA2" w:rsidR="00DF6D83" w:rsidRPr="005A1FCA" w:rsidRDefault="00DF6D83" w:rsidP="000C19B0">
            <w:pPr>
              <w:autoSpaceDE w:val="0"/>
              <w:autoSpaceDN w:val="0"/>
              <w:adjustRightInd w:val="0"/>
              <w:jc w:val="both"/>
              <w:rPr>
                <w:rFonts w:ascii="Calibri" w:hAnsi="Calibri" w:cs="Calibri"/>
                <w:sz w:val="22"/>
                <w:szCs w:val="22"/>
                <w:lang w:eastAsia="de-DE"/>
              </w:rPr>
            </w:pPr>
            <w:bookmarkStart w:id="1" w:name="_Hlk193720430"/>
            <w:r w:rsidRPr="005A1FCA">
              <w:rPr>
                <w:rFonts w:ascii="Calibri" w:hAnsi="Calibri" w:cs="Calibri"/>
                <w:sz w:val="22"/>
                <w:szCs w:val="22"/>
                <w:lang w:eastAsia="de-DE"/>
              </w:rPr>
              <w:t>(2) Zur Vereinfachung und Beschleunigung der Verfahren für die Auswahl des Auftragnehmers, zur Minimierung der Aufwendungen zulasten der Wirtschaftsteilnehmer und zur Vermeidung von Streitverfahren ist der Antrag auf Teilnahme an den Verfahren mit einer Erklärung über die Erfüllung der allgemeinen und besonderen Anforderungen zu versehen, die von den staatlichen Rechtsvorschriften vorgegeben werden und in der Ausschreibungsbekanntmachung oder im Aufforderungsschreiben näher ausgeführt und gegebenenfalls ergänzt sind.</w:t>
            </w:r>
            <w:r w:rsidRPr="005A1FCA">
              <w:rPr>
                <w:rFonts w:ascii="Calibri" w:hAnsi="Calibri" w:cs="Calibri"/>
                <w:i/>
                <w:iCs/>
                <w:sz w:val="22"/>
                <w:szCs w:val="22"/>
                <w:lang w:eastAsia="de-DE"/>
              </w:rPr>
              <w:t xml:space="preserve"> </w:t>
            </w:r>
            <w:r w:rsidRPr="005A1FCA">
              <w:rPr>
                <w:rFonts w:ascii="Calibri" w:hAnsi="Calibri" w:cs="Calibri"/>
                <w:strike/>
                <w:color w:val="E40000"/>
                <w:sz w:val="22"/>
                <w:szCs w:val="22"/>
                <w:lang w:eastAsia="de-DE"/>
              </w:rPr>
              <w:t>Die Vergabestellen beschränken die Überprüfung der Anforderungen auf den Zuschlagsempfänger.</w:t>
            </w:r>
            <w:r w:rsidRPr="005A1FCA">
              <w:rPr>
                <w:rFonts w:ascii="Calibri" w:hAnsi="Calibri" w:cs="Calibri"/>
                <w:color w:val="E40000"/>
                <w:sz w:val="22"/>
                <w:szCs w:val="22"/>
                <w:lang w:eastAsia="de-DE"/>
              </w:rPr>
              <w:t xml:space="preserve"> </w:t>
            </w:r>
            <w:r w:rsidRPr="005A1FCA">
              <w:rPr>
                <w:rFonts w:ascii="Calibri" w:hAnsi="Calibri" w:cs="Calibri"/>
                <w:sz w:val="22"/>
                <w:szCs w:val="22"/>
                <w:lang w:eastAsia="de-DE"/>
              </w:rPr>
              <w:t xml:space="preserve">Im begründeten Zweifelsfall kann die Vergabestelle die Überprüfung der Teilnahmeanforderungen zu jeglichem Zeitpunkt des Vergabeverfahrens vornehmen. </w:t>
            </w:r>
          </w:p>
          <w:p w14:paraId="3A94EB1A" w14:textId="77777777" w:rsidR="00DF6D83" w:rsidRPr="005A1FCA" w:rsidRDefault="00DF6D83" w:rsidP="000C19B0">
            <w:pPr>
              <w:shd w:val="clear" w:color="auto" w:fill="FFFFFF"/>
              <w:jc w:val="both"/>
              <w:rPr>
                <w:rFonts w:ascii="Calibri" w:hAnsi="Calibri" w:cs="Calibri"/>
                <w:sz w:val="22"/>
                <w:szCs w:val="22"/>
                <w:lang w:eastAsia="de-DE"/>
              </w:rPr>
            </w:pPr>
          </w:p>
        </w:tc>
        <w:tc>
          <w:tcPr>
            <w:tcW w:w="850" w:type="dxa"/>
          </w:tcPr>
          <w:p w14:paraId="7E0C1969" w14:textId="77777777" w:rsidR="00DF6D83" w:rsidRPr="005A1FCA" w:rsidRDefault="00DF6D83" w:rsidP="000C19B0">
            <w:pPr>
              <w:jc w:val="both"/>
              <w:rPr>
                <w:rFonts w:ascii="Calibri" w:hAnsi="Calibri" w:cs="Calibri"/>
                <w:sz w:val="22"/>
                <w:szCs w:val="22"/>
                <w:highlight w:val="yellow"/>
              </w:rPr>
            </w:pPr>
          </w:p>
        </w:tc>
        <w:tc>
          <w:tcPr>
            <w:tcW w:w="4536" w:type="dxa"/>
          </w:tcPr>
          <w:p w14:paraId="3137D099" w14:textId="13B3585F" w:rsidR="00DF6D83" w:rsidRPr="005A1FCA" w:rsidRDefault="00DF6D83" w:rsidP="000C19B0">
            <w:pPr>
              <w:autoSpaceDE w:val="0"/>
              <w:autoSpaceDN w:val="0"/>
              <w:adjustRightInd w:val="0"/>
              <w:jc w:val="both"/>
              <w:rPr>
                <w:rFonts w:ascii="Calibri" w:hAnsi="Calibri" w:cs="Calibri"/>
                <w:sz w:val="22"/>
                <w:szCs w:val="22"/>
                <w:lang w:val="it-IT"/>
              </w:rPr>
            </w:pPr>
            <w:r w:rsidRPr="005A1FCA">
              <w:rPr>
                <w:rFonts w:ascii="Calibri" w:hAnsi="Calibri" w:cs="Calibri"/>
                <w:sz w:val="22"/>
                <w:szCs w:val="22"/>
                <w:lang w:val="it-IT"/>
              </w:rPr>
              <w:t>(2)</w:t>
            </w:r>
            <w:r w:rsidRPr="005A1FCA">
              <w:rPr>
                <w:rFonts w:ascii="Calibri" w:hAnsi="Calibri" w:cs="Calibri"/>
                <w:i/>
                <w:iCs/>
                <w:sz w:val="22"/>
                <w:szCs w:val="22"/>
                <w:lang w:val="it-IT"/>
              </w:rPr>
              <w:t xml:space="preserve"> </w:t>
            </w:r>
            <w:r w:rsidRPr="005A1FCA">
              <w:rPr>
                <w:rFonts w:ascii="Calibri" w:hAnsi="Calibri" w:cs="Calibri"/>
                <w:sz w:val="22"/>
                <w:szCs w:val="22"/>
                <w:lang w:val="it-IT" w:eastAsia="de-DE"/>
              </w:rPr>
              <w:t>Al fine di semplificare e accelerare le procedure di scelta del contraente, ridurre gli oneri a carico degli operatori economici e limitare il contenzioso, la domanda di partecipazione alle procedure è corredata di una dichiarazione attestante il possesso dei requisiti di ordine generale e speciale stabiliti dalla normativa nazionale, specificati ed eventualmente integrati nel bando di gara o nella lettera d’invito.</w:t>
            </w:r>
            <w:r w:rsidRPr="005A1FCA">
              <w:rPr>
                <w:rFonts w:ascii="Calibri" w:hAnsi="Calibri" w:cs="Calibri"/>
                <w:i/>
                <w:iCs/>
                <w:sz w:val="22"/>
                <w:szCs w:val="22"/>
                <w:lang w:val="it-IT" w:eastAsia="de-DE"/>
              </w:rPr>
              <w:t xml:space="preserve"> </w:t>
            </w:r>
            <w:r w:rsidRPr="005A1FCA">
              <w:rPr>
                <w:rFonts w:ascii="Calibri" w:hAnsi="Calibri" w:cs="Calibri"/>
                <w:strike/>
                <w:color w:val="E40000"/>
                <w:sz w:val="22"/>
                <w:szCs w:val="22"/>
                <w:lang w:val="it-IT" w:eastAsia="de-DE"/>
              </w:rPr>
              <w:t xml:space="preserve">Le stazioni appaltanti limitano la verifica del possesso dei requisiti di ordine generale e speciale in capo al solo aggiudicatario. </w:t>
            </w:r>
            <w:r w:rsidRPr="005A1FCA">
              <w:rPr>
                <w:rFonts w:ascii="Calibri" w:hAnsi="Calibri" w:cs="Calibri"/>
                <w:sz w:val="22"/>
                <w:szCs w:val="22"/>
                <w:lang w:val="it-IT"/>
              </w:rPr>
              <w:t xml:space="preserve">In caso di fondati dubbi è sempre facoltà della stazione appaltante procedere alla verifica del possesso dei requisiti di partecipazione in qualsiasi momento della procedura d’appalto. </w:t>
            </w:r>
          </w:p>
          <w:p w14:paraId="454A565F" w14:textId="77777777" w:rsidR="00DF6D83" w:rsidRPr="005A1FCA" w:rsidRDefault="00DF6D83" w:rsidP="000C19B0">
            <w:pPr>
              <w:shd w:val="clear" w:color="auto" w:fill="FFFFFF"/>
              <w:jc w:val="both"/>
              <w:rPr>
                <w:rFonts w:ascii="Calibri" w:hAnsi="Calibri" w:cs="Calibri"/>
                <w:sz w:val="22"/>
                <w:szCs w:val="22"/>
                <w:lang w:val="it-IT"/>
              </w:rPr>
            </w:pPr>
          </w:p>
        </w:tc>
      </w:tr>
      <w:tr w:rsidR="00DF6D83" w:rsidRPr="005A1FCA" w14:paraId="67C0EFC0" w14:textId="77777777" w:rsidTr="000C19B0">
        <w:trPr>
          <w:jc w:val="center"/>
        </w:trPr>
        <w:tc>
          <w:tcPr>
            <w:tcW w:w="4253" w:type="dxa"/>
          </w:tcPr>
          <w:p w14:paraId="3316F02D" w14:textId="77777777" w:rsidR="00DF6D83" w:rsidRPr="005A1FCA" w:rsidRDefault="00DF6D83" w:rsidP="000C19B0">
            <w:pPr>
              <w:shd w:val="clear" w:color="auto" w:fill="FFFFFF"/>
              <w:jc w:val="both"/>
              <w:rPr>
                <w:rFonts w:ascii="Calibri" w:hAnsi="Calibri" w:cs="Calibri"/>
                <w:sz w:val="22"/>
                <w:szCs w:val="22"/>
                <w:lang w:eastAsia="de-DE"/>
              </w:rPr>
            </w:pPr>
            <w:r w:rsidRPr="005A1FCA">
              <w:rPr>
                <w:rFonts w:ascii="Calibri" w:hAnsi="Calibri" w:cs="Calibri"/>
                <w:sz w:val="22"/>
                <w:szCs w:val="22"/>
                <w:lang w:eastAsia="de-DE"/>
              </w:rPr>
              <w:t xml:space="preserve">(3) Werden die Nachweise über die Erfüllung der Teilnahmeanforderungen nicht erbracht, widerruft die Vergabestelle </w:t>
            </w:r>
            <w:r w:rsidRPr="005A1FCA">
              <w:rPr>
                <w:rFonts w:ascii="Calibri" w:hAnsi="Calibri" w:cs="Calibri"/>
                <w:strike/>
                <w:color w:val="E40000"/>
                <w:sz w:val="22"/>
                <w:szCs w:val="22"/>
                <w:lang w:eastAsia="de-DE"/>
              </w:rPr>
              <w:t>die Maßnahme des Zuschlags</w:t>
            </w:r>
            <w:r w:rsidRPr="005A1FCA">
              <w:rPr>
                <w:rFonts w:ascii="Calibri" w:hAnsi="Calibri" w:cs="Calibri"/>
                <w:color w:val="E40000"/>
                <w:sz w:val="22"/>
                <w:szCs w:val="22"/>
              </w:rPr>
              <w:t xml:space="preserve"> den Zuschlagsvorschlag</w:t>
            </w:r>
            <w:r w:rsidRPr="005A1FCA">
              <w:rPr>
                <w:rFonts w:ascii="Calibri" w:hAnsi="Calibri" w:cs="Calibri"/>
                <w:sz w:val="22"/>
                <w:szCs w:val="22"/>
              </w:rPr>
              <w:t>,</w:t>
            </w:r>
            <w:r w:rsidRPr="005A1FCA">
              <w:rPr>
                <w:rFonts w:ascii="Calibri" w:hAnsi="Calibri" w:cs="Calibri"/>
                <w:color w:val="E40000"/>
                <w:sz w:val="22"/>
                <w:szCs w:val="22"/>
                <w:lang w:eastAsia="de-DE"/>
              </w:rPr>
              <w:t xml:space="preserve"> </w:t>
            </w:r>
            <w:r w:rsidRPr="005A1FCA">
              <w:rPr>
                <w:rFonts w:ascii="Calibri" w:hAnsi="Calibri" w:cs="Calibri"/>
                <w:sz w:val="22"/>
                <w:szCs w:val="22"/>
                <w:lang w:eastAsia="de-DE"/>
              </w:rPr>
              <w:t xml:space="preserve">schließt den Teilnehmer aus, behält die vorläufige Sicherheit ein, falls verlangt, meldet diesen Umstand den zuständigen Behörden und geht in der Rangordnung weiter. 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Sicherheit entspricht. In jeder Phase des Ausschreibungsverfahrens kann eine Maßnahme zum Ausschluss des Wirtschaftsteilnehmers mit den oben genannten Folgen getroffen werden, und zwar im Fall von Falscherklärungen oder eines nicht erfolgten Vertragsabschlusses aufgrund von Handlungen oder Tatsachen, die dem Zuschlagsempfänger zuzuschreiben sind. </w:t>
            </w:r>
            <w:r w:rsidRPr="005A1FCA">
              <w:rPr>
                <w:rFonts w:ascii="Calibri" w:hAnsi="Calibri" w:cs="Calibri"/>
                <w:sz w:val="22"/>
                <w:szCs w:val="22"/>
              </w:rPr>
              <w:t xml:space="preserve">Die vorläufige Sicherheit deckt die nicht zustande gekommene Zuschlagserteilung nach dem Zuschlagsvorschlag und die nicht zustande gekommene Vertragsunterzeichnung, wenn diese Umständen geschuldet sind, die auf den Wirtschaftsteilnehmer oder auf den Erlass einer Antimafia-Information mit Verhängung eines Verbots im Sinne der Artikel 84 und 91 des gesetzesvertretenden Dekrets vom 6. September 2011, Nr. 159, in geltender Fassung, zurückzuführen sind. </w:t>
            </w:r>
            <w:r w:rsidRPr="005A1FCA">
              <w:rPr>
                <w:rFonts w:ascii="Calibri" w:hAnsi="Calibri" w:cs="Calibri"/>
                <w:sz w:val="22"/>
                <w:szCs w:val="22"/>
                <w:lang w:eastAsia="de-DE"/>
              </w:rPr>
              <w:t xml:space="preserve">Sofort nach dem </w:t>
            </w:r>
            <w:r w:rsidRPr="005A1FCA">
              <w:rPr>
                <w:rFonts w:ascii="Calibri" w:hAnsi="Calibri" w:cs="Calibri"/>
                <w:color w:val="E40000"/>
                <w:sz w:val="22"/>
                <w:szCs w:val="22"/>
              </w:rPr>
              <w:t>unverzüglich wirksamen</w:t>
            </w:r>
            <w:r w:rsidRPr="005A1FCA">
              <w:rPr>
                <w:rFonts w:ascii="Calibri" w:hAnsi="Calibri" w:cs="Calibri"/>
                <w:color w:val="E40000"/>
                <w:sz w:val="22"/>
                <w:szCs w:val="22"/>
                <w:lang w:eastAsia="de-DE"/>
              </w:rPr>
              <w:t xml:space="preserve"> </w:t>
            </w:r>
            <w:r w:rsidRPr="005A1FCA">
              <w:rPr>
                <w:rFonts w:ascii="Calibri" w:hAnsi="Calibri" w:cs="Calibri"/>
                <w:sz w:val="22"/>
                <w:szCs w:val="22"/>
                <w:lang w:eastAsia="de-DE"/>
              </w:rPr>
              <w:t>Zuschlag veröffentlicht die Vergabestelle, falls von den Bestimmungen vorgesehen, Akten oder Maßnahmen betreffend die Zulassung, den Ausschluss, das Verzeichnis der Niederschriften und die Zusammensetzung der Bewertungskommission.</w:t>
            </w:r>
          </w:p>
          <w:p w14:paraId="34C4EDDF" w14:textId="62CC5ED4" w:rsidR="002E5DCA" w:rsidRPr="005A1FCA" w:rsidRDefault="002E5DCA" w:rsidP="000C19B0">
            <w:pPr>
              <w:shd w:val="clear" w:color="auto" w:fill="FFFFFF"/>
              <w:jc w:val="both"/>
              <w:rPr>
                <w:rFonts w:ascii="Calibri" w:hAnsi="Calibri" w:cs="Calibri"/>
                <w:sz w:val="22"/>
                <w:szCs w:val="22"/>
                <w:lang w:eastAsia="de-DE"/>
              </w:rPr>
            </w:pPr>
          </w:p>
        </w:tc>
        <w:tc>
          <w:tcPr>
            <w:tcW w:w="850" w:type="dxa"/>
          </w:tcPr>
          <w:p w14:paraId="01E65ADC" w14:textId="77777777" w:rsidR="00DF6D83" w:rsidRPr="005A1FCA" w:rsidRDefault="00DF6D83" w:rsidP="000C19B0">
            <w:pPr>
              <w:jc w:val="both"/>
              <w:rPr>
                <w:rFonts w:ascii="Calibri" w:hAnsi="Calibri" w:cs="Calibri"/>
                <w:sz w:val="22"/>
                <w:szCs w:val="22"/>
                <w:highlight w:val="yellow"/>
              </w:rPr>
            </w:pPr>
          </w:p>
        </w:tc>
        <w:tc>
          <w:tcPr>
            <w:tcW w:w="4536" w:type="dxa"/>
          </w:tcPr>
          <w:p w14:paraId="7D384B09" w14:textId="77777777" w:rsidR="00DF6D83" w:rsidRPr="005A1FCA" w:rsidRDefault="00DF6D83" w:rsidP="000C19B0">
            <w:pPr>
              <w:shd w:val="clear" w:color="auto" w:fill="FFFFFF"/>
              <w:jc w:val="both"/>
              <w:rPr>
                <w:rFonts w:ascii="Calibri" w:hAnsi="Calibri" w:cs="Calibri"/>
                <w:sz w:val="22"/>
                <w:szCs w:val="22"/>
                <w:lang w:val="it-IT"/>
              </w:rPr>
            </w:pPr>
            <w:r w:rsidRPr="005A1FCA">
              <w:rPr>
                <w:rFonts w:ascii="Calibri" w:hAnsi="Calibri" w:cs="Calibri"/>
                <w:sz w:val="22"/>
                <w:szCs w:val="22"/>
                <w:lang w:val="it-IT"/>
              </w:rPr>
              <w:t xml:space="preserve">(3) In caso di mancata comprova del possesso dei requisiti di partecipazione, la stazione appaltante revoca </w:t>
            </w:r>
            <w:r w:rsidRPr="005A1FCA">
              <w:rPr>
                <w:rFonts w:ascii="Calibri" w:hAnsi="Calibri" w:cs="Calibri"/>
                <w:strike/>
                <w:color w:val="E40000"/>
                <w:sz w:val="22"/>
                <w:szCs w:val="22"/>
                <w:lang w:val="it-IT"/>
              </w:rPr>
              <w:t>il provvedimento</w:t>
            </w:r>
            <w:r w:rsidRPr="005A1FCA">
              <w:rPr>
                <w:rFonts w:ascii="Calibri" w:hAnsi="Calibri" w:cs="Calibri"/>
                <w:color w:val="E40000"/>
                <w:sz w:val="22"/>
                <w:szCs w:val="22"/>
                <w:lang w:val="it-IT"/>
              </w:rPr>
              <w:t xml:space="preserve"> la proposta</w:t>
            </w:r>
            <w:r w:rsidRPr="005A1FCA">
              <w:rPr>
                <w:rFonts w:ascii="Calibri" w:hAnsi="Calibri" w:cs="Calibri"/>
                <w:sz w:val="22"/>
                <w:szCs w:val="22"/>
                <w:lang w:val="it-IT"/>
              </w:rPr>
              <w:t xml:space="preserve"> di aggiudicazione, esclude il concorrente, escute la garanzia provvisoria, ove richiesta, segnala il fatto alle autorità competenti e scorre la graduatoria. 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 In qualsiasi fase della procedura di gara può essere adottato un provvedimento di esclusione del concorrente, con le conseguenze di cui sopra, a causa di false dichiarazioni o della mancata stipula del contratto per ogni altro atto o fatto imputabile all’aggiudicatario. La garanzia provvisoria copre la mancata aggiudicazione dopo la proposta di aggiudicazione e la mancata sottoscrizione del contratto, imputabili a ogni fatto riconducibile all’operatore economico o conseguenti all’adozione di un’informazione antimafia interdittiva emessa ai sensi degli </w:t>
            </w:r>
            <w:hyperlink r:id="rId7" w:anchor="084" w:history="1">
              <w:r w:rsidRPr="005A1FCA">
                <w:rPr>
                  <w:rFonts w:ascii="Calibri" w:hAnsi="Calibri" w:cs="Calibri"/>
                  <w:sz w:val="22"/>
                  <w:szCs w:val="22"/>
                  <w:lang w:val="it-IT"/>
                </w:rPr>
                <w:t>articoli 84 e 91 del decreto legislativo 6 settembre 2011, n. 159</w:t>
              </w:r>
            </w:hyperlink>
            <w:r w:rsidRPr="005A1FCA">
              <w:rPr>
                <w:rFonts w:ascii="Calibri" w:hAnsi="Calibri" w:cs="Calibri"/>
                <w:sz w:val="22"/>
                <w:szCs w:val="22"/>
                <w:lang w:val="it-IT"/>
              </w:rPr>
              <w:t xml:space="preserve">, e successive modifiche. Subito dopo l’aggiudicazione, </w:t>
            </w:r>
            <w:r w:rsidRPr="005A1FCA">
              <w:rPr>
                <w:rFonts w:ascii="Calibri" w:hAnsi="Calibri" w:cs="Calibri"/>
                <w:color w:val="E40000"/>
                <w:sz w:val="22"/>
                <w:szCs w:val="22"/>
                <w:lang w:val="it-IT"/>
              </w:rPr>
              <w:t>immediamente efficace,</w:t>
            </w:r>
            <w:r w:rsidRPr="005A1FCA">
              <w:rPr>
                <w:rFonts w:ascii="Calibri" w:hAnsi="Calibri" w:cs="Calibri"/>
                <w:sz w:val="22"/>
                <w:szCs w:val="22"/>
                <w:lang w:val="it-IT"/>
              </w:rPr>
              <w:t xml:space="preserve"> la stazione appaltante pubblica, qualora previsto dalla normativa, atti e provvedimenti relativi ad ammissione, esclusione, elenco dei verbali e composizione della commissione di valutazione. </w:t>
            </w:r>
          </w:p>
          <w:p w14:paraId="73A3A369" w14:textId="77777777" w:rsidR="00DF6D83" w:rsidRPr="005A1FCA" w:rsidRDefault="00DF6D83" w:rsidP="000C19B0">
            <w:pPr>
              <w:shd w:val="clear" w:color="auto" w:fill="FFFFFF"/>
              <w:jc w:val="both"/>
              <w:rPr>
                <w:rFonts w:ascii="Calibri" w:hAnsi="Calibri" w:cs="Calibri"/>
                <w:sz w:val="22"/>
                <w:szCs w:val="22"/>
                <w:lang w:val="it-IT"/>
              </w:rPr>
            </w:pPr>
          </w:p>
        </w:tc>
      </w:tr>
      <w:bookmarkEnd w:id="1"/>
      <w:tr w:rsidR="00DF6D83" w:rsidRPr="005A1FCA" w14:paraId="6D31BA0A" w14:textId="77777777" w:rsidTr="000C19B0">
        <w:trPr>
          <w:jc w:val="center"/>
        </w:trPr>
        <w:tc>
          <w:tcPr>
            <w:tcW w:w="4253" w:type="dxa"/>
          </w:tcPr>
          <w:p w14:paraId="6FBA7549" w14:textId="373F0909" w:rsidR="00DF6D83" w:rsidRPr="005A1FCA" w:rsidRDefault="002E5DCA" w:rsidP="000C19B0">
            <w:pPr>
              <w:autoSpaceDE w:val="0"/>
              <w:autoSpaceDN w:val="0"/>
              <w:adjustRightInd w:val="0"/>
              <w:jc w:val="both"/>
              <w:rPr>
                <w:rFonts w:ascii="Calibri" w:hAnsi="Calibri" w:cs="Calibri"/>
                <w:i/>
                <w:iCs/>
                <w:strike/>
                <w:color w:val="FF0000"/>
                <w:sz w:val="22"/>
                <w:szCs w:val="22"/>
                <w:lang w:eastAsia="de-DE"/>
              </w:rPr>
            </w:pPr>
            <w:r w:rsidRPr="005A1FCA">
              <w:rPr>
                <w:rFonts w:ascii="Calibri" w:hAnsi="Calibri" w:cs="Calibri"/>
                <w:i/>
                <w:iCs/>
                <w:strike/>
                <w:color w:val="FF0000"/>
                <w:sz w:val="22"/>
                <w:szCs w:val="22"/>
                <w:lang w:eastAsia="de-DE"/>
              </w:rPr>
              <w:t>[</w:t>
            </w:r>
            <w:r w:rsidR="00DF6D83" w:rsidRPr="005A1FCA">
              <w:rPr>
                <w:rFonts w:ascii="Calibri" w:hAnsi="Calibri" w:cs="Calibri"/>
                <w:i/>
                <w:iCs/>
                <w:strike/>
                <w:color w:val="FF0000"/>
                <w:sz w:val="22"/>
                <w:szCs w:val="22"/>
                <w:lang w:eastAsia="de-DE"/>
              </w:rPr>
              <w:t>4. Während des Vergabeverfahrens verlangt die Vergabestelle nur vom erstplatzierten Teilnehmer in der Rangordnung Angaben zu den Kosten für Arbeitskräfte und Personal sowie zu den Betriebskosten betreffend die Erfüllung der Bestimmungen über die Gesundheit und Sicherheit am Arbeitsplatz. Die Kosten für Arbeitskräfte und Personal sowie die Betriebskosten werden bei Lieferungen ohne Verlegearbeiten und bei intellektuellen Dienstleistungen nicht verlangt. Vor der Zuschlagserteilung überprüft die Vergabestelle die Angemessenheit der angegebenen Kosten. Bei negativem Ergebnis der Überprüfung wird der Teilnehmer ausgeschlossen und die Vergabestelle geht in der Rangordnung weiter. Die Angaben über die Unterauftragnehmer werden nur während der Vertragsausführung verlangt.</w:t>
            </w:r>
            <w:r w:rsidRPr="005A1FCA">
              <w:rPr>
                <w:rFonts w:ascii="Calibri" w:hAnsi="Calibri" w:cs="Calibri"/>
                <w:i/>
                <w:iCs/>
                <w:strike/>
                <w:color w:val="FF0000"/>
                <w:sz w:val="22"/>
                <w:szCs w:val="22"/>
                <w:lang w:eastAsia="de-DE"/>
              </w:rPr>
              <w:t>]</w:t>
            </w:r>
            <w:r w:rsidR="00FE7A4A" w:rsidRPr="00FE7A4A">
              <w:rPr>
                <w:rFonts w:ascii="Calibri" w:hAnsi="Calibri" w:cs="Calibri"/>
                <w:i/>
                <w:iCs/>
                <w:color w:val="0000FF"/>
                <w:sz w:val="22"/>
                <w:szCs w:val="22"/>
                <w:lang w:eastAsia="de-DE"/>
              </w:rPr>
              <w:t xml:space="preserve"> </w:t>
            </w:r>
            <w:r w:rsidR="00FE7A4A" w:rsidRPr="00FE7A4A">
              <w:rPr>
                <w:rFonts w:ascii="Calibri" w:hAnsi="Calibri" w:cs="Calibri"/>
                <w:i/>
                <w:iCs/>
                <w:color w:val="0000FF"/>
                <w:sz w:val="22"/>
                <w:szCs w:val="22"/>
                <w:lang w:val="it-IT" w:eastAsia="de-DE"/>
              </w:rPr>
              <w:t>85) 86)</w:t>
            </w:r>
          </w:p>
          <w:p w14:paraId="5F3257DF" w14:textId="77777777" w:rsidR="00DF6D83" w:rsidRPr="005A1FCA" w:rsidRDefault="00DF6D83" w:rsidP="000C19B0">
            <w:pPr>
              <w:shd w:val="clear" w:color="auto" w:fill="FFFFFF"/>
              <w:jc w:val="both"/>
              <w:rPr>
                <w:rFonts w:ascii="Calibri" w:hAnsi="Calibri" w:cs="Calibri"/>
                <w:i/>
                <w:iCs/>
                <w:strike/>
                <w:color w:val="FF0000"/>
                <w:sz w:val="22"/>
                <w:szCs w:val="22"/>
                <w:lang w:eastAsia="de-DE"/>
              </w:rPr>
            </w:pPr>
          </w:p>
        </w:tc>
        <w:tc>
          <w:tcPr>
            <w:tcW w:w="850" w:type="dxa"/>
          </w:tcPr>
          <w:p w14:paraId="2961E4A6" w14:textId="77777777" w:rsidR="00DF6D83" w:rsidRPr="005A1FCA" w:rsidRDefault="00DF6D83" w:rsidP="000C19B0">
            <w:pPr>
              <w:jc w:val="both"/>
              <w:rPr>
                <w:rFonts w:ascii="Calibri" w:hAnsi="Calibri" w:cs="Calibri"/>
                <w:i/>
                <w:iCs/>
                <w:strike/>
                <w:color w:val="FF0000"/>
                <w:sz w:val="22"/>
                <w:szCs w:val="22"/>
              </w:rPr>
            </w:pPr>
          </w:p>
        </w:tc>
        <w:tc>
          <w:tcPr>
            <w:tcW w:w="4536" w:type="dxa"/>
          </w:tcPr>
          <w:p w14:paraId="6C105185" w14:textId="2C9D73ED" w:rsidR="00FE7A4A" w:rsidRPr="00FE7A4A" w:rsidRDefault="002E5DCA" w:rsidP="00FE7A4A">
            <w:pPr>
              <w:jc w:val="both"/>
              <w:rPr>
                <w:rFonts w:ascii="Calibri" w:hAnsi="Calibri" w:cs="Calibri"/>
                <w:i/>
                <w:iCs/>
                <w:color w:val="0000FF"/>
                <w:sz w:val="22"/>
                <w:szCs w:val="22"/>
                <w:lang w:val="it-IT" w:eastAsia="de-DE"/>
              </w:rPr>
            </w:pPr>
            <w:r w:rsidRPr="005A1FCA">
              <w:rPr>
                <w:rFonts w:ascii="Calibri" w:hAnsi="Calibri" w:cs="Calibri"/>
                <w:i/>
                <w:iCs/>
                <w:strike/>
                <w:color w:val="FF0000"/>
                <w:sz w:val="22"/>
                <w:szCs w:val="22"/>
                <w:lang w:val="it-IT" w:eastAsia="de-DE"/>
              </w:rPr>
              <w:t>[</w:t>
            </w:r>
            <w:r w:rsidR="00DF6D83" w:rsidRPr="005A1FCA">
              <w:rPr>
                <w:rFonts w:ascii="Calibri" w:hAnsi="Calibri" w:cs="Calibri"/>
                <w:i/>
                <w:iCs/>
                <w:strike/>
                <w:color w:val="FF0000"/>
                <w:sz w:val="22"/>
                <w:szCs w:val="22"/>
                <w:lang w:val="it-IT" w:eastAsia="de-DE"/>
              </w:rPr>
              <w:t>4. In fase di procedura di gara la stazione appaltante richiede al solo concorrente collocatosi primo in graduatoria di indicare il costo della manodopera e del personale nonché gli oneri aziendali concernenti l’adempimento delle disposizioni in materia di salute e sicurezza sui luoghi di lavoro. Il costo della manodopera e del personale nonché gli oneri aziendali non sono richiesti nelle forniture senza posa in opera e nei servizi di natura intellettuale. Prima dell’aggiudicazione la stazione appaltante verifica la congruità del costo e degli oneri indicati. In caso di esito negativo della verifica, si procede con l’esclusione del concorrente e lo scorrimento della graduatoria. I nominativi dei subappaltatori vengono richiesti esclusivamente in fase di esecuzione del contratto.</w:t>
            </w:r>
            <w:r w:rsidRPr="005A1FCA">
              <w:rPr>
                <w:rFonts w:ascii="Calibri" w:hAnsi="Calibri" w:cs="Calibri"/>
                <w:i/>
                <w:iCs/>
                <w:strike/>
                <w:color w:val="FF0000"/>
                <w:sz w:val="22"/>
                <w:szCs w:val="22"/>
                <w:lang w:val="it-IT" w:eastAsia="de-DE"/>
              </w:rPr>
              <w:t>]</w:t>
            </w:r>
            <w:r w:rsidR="00FE7A4A" w:rsidRPr="00FE7A4A">
              <w:rPr>
                <w:rFonts w:ascii="Calibri" w:hAnsi="Calibri" w:cs="Calibri"/>
                <w:i/>
                <w:iCs/>
                <w:color w:val="0000FF"/>
                <w:sz w:val="22"/>
                <w:szCs w:val="22"/>
                <w:lang w:val="it-IT" w:eastAsia="de-DE"/>
              </w:rPr>
              <w:t xml:space="preserve"> </w:t>
            </w:r>
            <w:r w:rsidR="00FE7A4A" w:rsidRPr="00FE7A4A">
              <w:rPr>
                <w:rFonts w:ascii="Calibri" w:hAnsi="Calibri" w:cs="Calibri"/>
                <w:i/>
                <w:iCs/>
                <w:color w:val="0000FF"/>
                <w:sz w:val="22"/>
                <w:szCs w:val="22"/>
                <w:lang w:val="it-IT" w:eastAsia="de-DE"/>
              </w:rPr>
              <w:t>85)</w:t>
            </w:r>
            <w:r w:rsidR="00FE7A4A" w:rsidRPr="00FE7A4A">
              <w:rPr>
                <w:rFonts w:ascii="Calibri" w:hAnsi="Calibri" w:cs="Calibri"/>
                <w:i/>
                <w:iCs/>
                <w:color w:val="0000FF"/>
                <w:sz w:val="22"/>
                <w:szCs w:val="22"/>
                <w:lang w:val="it-IT" w:eastAsia="de-DE"/>
              </w:rPr>
              <w:t xml:space="preserve"> </w:t>
            </w:r>
            <w:r w:rsidR="00FE7A4A" w:rsidRPr="00FE7A4A">
              <w:rPr>
                <w:rFonts w:ascii="Calibri" w:hAnsi="Calibri" w:cs="Calibri"/>
                <w:i/>
                <w:iCs/>
                <w:color w:val="0000FF"/>
                <w:sz w:val="22"/>
                <w:szCs w:val="22"/>
                <w:lang w:val="it-IT" w:eastAsia="de-DE"/>
              </w:rPr>
              <w:t>86)</w:t>
            </w:r>
          </w:p>
          <w:p w14:paraId="1C6875C9" w14:textId="491458BF" w:rsidR="00FE7A4A" w:rsidRPr="00FE7A4A" w:rsidRDefault="00FE7A4A" w:rsidP="00FE7A4A">
            <w:pPr>
              <w:jc w:val="both"/>
              <w:rPr>
                <w:rFonts w:ascii="Calibri" w:hAnsi="Calibri" w:cs="Calibri"/>
                <w:i/>
                <w:iCs/>
                <w:color w:val="0000FF"/>
                <w:sz w:val="22"/>
                <w:szCs w:val="22"/>
                <w:lang w:val="it-IT" w:eastAsia="de-DE"/>
              </w:rPr>
            </w:pPr>
          </w:p>
          <w:p w14:paraId="2B8D7798" w14:textId="5C482EF5" w:rsidR="00DF6D83" w:rsidRPr="005A1FCA" w:rsidRDefault="00FE7A4A" w:rsidP="000C19B0">
            <w:pPr>
              <w:autoSpaceDE w:val="0"/>
              <w:autoSpaceDN w:val="0"/>
              <w:adjustRightInd w:val="0"/>
              <w:jc w:val="both"/>
              <w:rPr>
                <w:rFonts w:ascii="Calibri" w:hAnsi="Calibri" w:cs="Calibri"/>
                <w:i/>
                <w:iCs/>
                <w:strike/>
                <w:color w:val="FF0000"/>
                <w:sz w:val="22"/>
                <w:szCs w:val="22"/>
                <w:lang w:val="it-IT"/>
              </w:rPr>
            </w:pPr>
            <w:r>
              <w:rPr>
                <w:rFonts w:ascii="Calibri" w:hAnsi="Calibri" w:cs="Calibri"/>
                <w:i/>
                <w:iCs/>
                <w:strike/>
                <w:color w:val="FF0000"/>
                <w:sz w:val="22"/>
                <w:szCs w:val="22"/>
                <w:lang w:val="it-IT"/>
              </w:rPr>
              <w:t xml:space="preserve"> </w:t>
            </w:r>
          </w:p>
        </w:tc>
      </w:tr>
      <w:tr w:rsidR="00DF6D83" w:rsidRPr="00FE7A4A" w14:paraId="498A49A5" w14:textId="77777777" w:rsidTr="000C19B0">
        <w:trPr>
          <w:jc w:val="center"/>
        </w:trPr>
        <w:tc>
          <w:tcPr>
            <w:tcW w:w="4253" w:type="dxa"/>
          </w:tcPr>
          <w:p w14:paraId="5B6495A9" w14:textId="77777777" w:rsidR="002E5DCA" w:rsidRPr="00FE7A4A" w:rsidRDefault="002E5DCA" w:rsidP="002E5DCA">
            <w:pPr>
              <w:jc w:val="both"/>
              <w:rPr>
                <w:rFonts w:ascii="Calibri" w:hAnsi="Calibri" w:cs="Calibri"/>
                <w:i/>
                <w:iCs/>
                <w:color w:val="0000FF"/>
                <w:sz w:val="22"/>
                <w:szCs w:val="22"/>
                <w:lang w:eastAsia="de-DE"/>
              </w:rPr>
            </w:pPr>
            <w:r w:rsidRPr="00FE7A4A">
              <w:rPr>
                <w:rFonts w:ascii="Calibri" w:hAnsi="Calibri" w:cs="Calibri"/>
                <w:i/>
                <w:iCs/>
                <w:color w:val="0000FF"/>
                <w:sz w:val="22"/>
                <w:szCs w:val="22"/>
                <w:lang w:eastAsia="de-DE"/>
              </w:rPr>
              <w:t>85)</w:t>
            </w:r>
          </w:p>
          <w:p w14:paraId="3CCE4BD6" w14:textId="14DA6845" w:rsidR="002E5DCA" w:rsidRPr="00FE7A4A" w:rsidRDefault="002E5DCA" w:rsidP="002E5DCA">
            <w:pPr>
              <w:jc w:val="both"/>
              <w:rPr>
                <w:rFonts w:ascii="Calibri" w:hAnsi="Calibri" w:cs="Calibri"/>
                <w:i/>
                <w:iCs/>
                <w:color w:val="000000"/>
                <w:sz w:val="22"/>
                <w:szCs w:val="22"/>
                <w:lang w:eastAsia="de-DE"/>
              </w:rPr>
            </w:pPr>
            <w:r w:rsidRPr="00FE7A4A">
              <w:rPr>
                <w:rFonts w:ascii="Calibri" w:hAnsi="Calibri" w:cs="Calibri"/>
                <w:i/>
                <w:iCs/>
                <w:color w:val="000000"/>
                <w:sz w:val="22"/>
                <w:szCs w:val="22"/>
                <w:lang w:eastAsia="de-DE"/>
              </w:rPr>
              <w:t>Art. 27 Absatz 4 wurde durch Art. 12 Absatz 1 des</w:t>
            </w:r>
            <w:r w:rsidR="006456D7" w:rsidRPr="00FE7A4A">
              <w:rPr>
                <w:rFonts w:ascii="Calibri" w:hAnsi="Calibri" w:cs="Calibri"/>
                <w:i/>
                <w:iCs/>
                <w:color w:val="000000"/>
                <w:sz w:val="22"/>
                <w:szCs w:val="22"/>
                <w:lang w:eastAsia="de-DE"/>
              </w:rPr>
              <w:t xml:space="preserve"> </w:t>
            </w:r>
            <w:hyperlink r:id="rId8" w:history="1">
              <w:r w:rsidRPr="00FE7A4A">
                <w:rPr>
                  <w:rFonts w:ascii="Calibri" w:hAnsi="Calibri" w:cs="Calibri"/>
                  <w:i/>
                  <w:iCs/>
                  <w:color w:val="0000FF"/>
                  <w:sz w:val="22"/>
                  <w:szCs w:val="22"/>
                  <w:u w:val="single"/>
                  <w:lang w:eastAsia="de-DE"/>
                </w:rPr>
                <w:t>L.G. vom 9. Juli 2019, Nr. 3</w:t>
              </w:r>
            </w:hyperlink>
            <w:r w:rsidRPr="00FE7A4A">
              <w:rPr>
                <w:rFonts w:ascii="Calibri" w:hAnsi="Calibri" w:cs="Calibri"/>
                <w:i/>
                <w:iCs/>
                <w:color w:val="000000"/>
                <w:sz w:val="22"/>
                <w:szCs w:val="22"/>
                <w:lang w:eastAsia="de-DE"/>
              </w:rPr>
              <w:t>, und durch Art. 22 Absatz 13 des</w:t>
            </w:r>
            <w:r w:rsidR="006456D7" w:rsidRPr="00FE7A4A">
              <w:rPr>
                <w:rFonts w:ascii="Calibri" w:hAnsi="Calibri" w:cs="Calibri"/>
                <w:i/>
                <w:iCs/>
                <w:color w:val="000000"/>
                <w:sz w:val="22"/>
                <w:szCs w:val="22"/>
                <w:lang w:eastAsia="de-DE"/>
              </w:rPr>
              <w:t xml:space="preserve"> </w:t>
            </w:r>
            <w:hyperlink r:id="rId9" w:history="1">
              <w:r w:rsidRPr="00FE7A4A">
                <w:rPr>
                  <w:rFonts w:ascii="Calibri" w:hAnsi="Calibri" w:cs="Calibri"/>
                  <w:i/>
                  <w:iCs/>
                  <w:color w:val="0000FF"/>
                  <w:sz w:val="22"/>
                  <w:szCs w:val="22"/>
                  <w:u w:val="single"/>
                  <w:lang w:eastAsia="de-DE"/>
                </w:rPr>
                <w:t>L.G. vom 16. Juli 2024, Nr. 2</w:t>
              </w:r>
            </w:hyperlink>
            <w:r w:rsidRPr="00FE7A4A">
              <w:rPr>
                <w:rFonts w:ascii="Calibri" w:hAnsi="Calibri" w:cs="Calibri"/>
                <w:i/>
                <w:iCs/>
                <w:color w:val="000000"/>
                <w:sz w:val="22"/>
                <w:szCs w:val="22"/>
                <w:lang w:eastAsia="de-DE"/>
              </w:rPr>
              <w:t>, so ersetzt.</w:t>
            </w:r>
          </w:p>
          <w:p w14:paraId="5140299B" w14:textId="77777777" w:rsidR="002E5DCA" w:rsidRPr="00FE7A4A" w:rsidRDefault="002E5DCA" w:rsidP="002E5DCA">
            <w:pPr>
              <w:jc w:val="both"/>
              <w:rPr>
                <w:rFonts w:ascii="Calibri" w:hAnsi="Calibri" w:cs="Calibri"/>
                <w:i/>
                <w:iCs/>
                <w:color w:val="0000FF"/>
                <w:sz w:val="22"/>
                <w:szCs w:val="22"/>
                <w:lang w:eastAsia="de-DE"/>
              </w:rPr>
            </w:pPr>
            <w:r w:rsidRPr="00FE7A4A">
              <w:rPr>
                <w:rFonts w:ascii="Calibri" w:hAnsi="Calibri" w:cs="Calibri"/>
                <w:i/>
                <w:iCs/>
                <w:color w:val="0000FF"/>
                <w:sz w:val="22"/>
                <w:szCs w:val="22"/>
                <w:lang w:eastAsia="de-DE"/>
              </w:rPr>
              <w:t>86)</w:t>
            </w:r>
          </w:p>
          <w:p w14:paraId="2589097C" w14:textId="628F0BE0" w:rsidR="002E5DCA" w:rsidRPr="00FE7A4A" w:rsidRDefault="002E5DCA" w:rsidP="002E5DCA">
            <w:pPr>
              <w:jc w:val="both"/>
              <w:rPr>
                <w:rFonts w:ascii="Calibri" w:hAnsi="Calibri" w:cs="Calibri"/>
                <w:i/>
                <w:iCs/>
                <w:color w:val="000000"/>
                <w:sz w:val="22"/>
                <w:szCs w:val="22"/>
                <w:lang w:eastAsia="de-DE"/>
              </w:rPr>
            </w:pPr>
            <w:r w:rsidRPr="00FE7A4A">
              <w:rPr>
                <w:rFonts w:ascii="Calibri" w:hAnsi="Calibri" w:cs="Calibri"/>
                <w:i/>
                <w:iCs/>
                <w:color w:val="000000"/>
                <w:sz w:val="22"/>
                <w:szCs w:val="22"/>
                <w:lang w:eastAsia="de-DE"/>
              </w:rPr>
              <w:t>Der Verfassungsgerichtshof hat mit Urteil vom 19. Juni 2025, Nr. 80, den Artikel 22, Absatz 13, des</w:t>
            </w:r>
            <w:r w:rsidR="006456D7" w:rsidRPr="00FE7A4A">
              <w:rPr>
                <w:rFonts w:ascii="Calibri" w:hAnsi="Calibri" w:cs="Calibri"/>
                <w:i/>
                <w:iCs/>
                <w:color w:val="000000"/>
                <w:sz w:val="22"/>
                <w:szCs w:val="22"/>
                <w:lang w:eastAsia="de-DE"/>
              </w:rPr>
              <w:t xml:space="preserve"> </w:t>
            </w:r>
            <w:hyperlink r:id="rId10" w:history="1">
              <w:r w:rsidRPr="00FE7A4A">
                <w:rPr>
                  <w:rFonts w:ascii="Calibri" w:hAnsi="Calibri" w:cs="Calibri"/>
                  <w:i/>
                  <w:iCs/>
                  <w:color w:val="0000FF"/>
                  <w:sz w:val="22"/>
                  <w:szCs w:val="22"/>
                  <w:u w:val="single"/>
                  <w:lang w:eastAsia="de-DE"/>
                </w:rPr>
                <w:t>Landesgesetzes vom 16. Juli 2024, Nr. 2</w:t>
              </w:r>
            </w:hyperlink>
            <w:r w:rsidRPr="00FE7A4A">
              <w:rPr>
                <w:rFonts w:ascii="Calibri" w:hAnsi="Calibri" w:cs="Calibri"/>
                <w:i/>
                <w:iCs/>
                <w:color w:val="000000"/>
                <w:sz w:val="22"/>
                <w:szCs w:val="22"/>
                <w:lang w:eastAsia="de-DE"/>
              </w:rPr>
              <w:t xml:space="preserve"> als verfassungswidrig erklärt.</w:t>
            </w:r>
          </w:p>
          <w:p w14:paraId="27BAF7D6" w14:textId="77777777" w:rsidR="00DF6D83" w:rsidRPr="00FE7A4A" w:rsidRDefault="00DF6D83" w:rsidP="002E5DCA">
            <w:pPr>
              <w:autoSpaceDE w:val="0"/>
              <w:autoSpaceDN w:val="0"/>
              <w:adjustRightInd w:val="0"/>
              <w:jc w:val="both"/>
              <w:rPr>
                <w:rFonts w:ascii="Calibri" w:hAnsi="Calibri" w:cs="Calibri"/>
                <w:i/>
                <w:iCs/>
                <w:strike/>
                <w:color w:val="FF0000"/>
                <w:sz w:val="22"/>
                <w:szCs w:val="22"/>
                <w:highlight w:val="green"/>
                <w:lang w:eastAsia="de-DE"/>
              </w:rPr>
            </w:pPr>
          </w:p>
        </w:tc>
        <w:tc>
          <w:tcPr>
            <w:tcW w:w="850" w:type="dxa"/>
          </w:tcPr>
          <w:p w14:paraId="4AC29D4A" w14:textId="77777777" w:rsidR="00DF6D83" w:rsidRPr="00FE7A4A" w:rsidRDefault="00DF6D83" w:rsidP="002E5DCA">
            <w:pPr>
              <w:jc w:val="both"/>
              <w:rPr>
                <w:rFonts w:ascii="Calibri" w:hAnsi="Calibri" w:cs="Calibri"/>
                <w:i/>
                <w:iCs/>
                <w:strike/>
                <w:color w:val="FF0000"/>
                <w:sz w:val="22"/>
                <w:szCs w:val="22"/>
                <w:highlight w:val="green"/>
              </w:rPr>
            </w:pPr>
          </w:p>
        </w:tc>
        <w:tc>
          <w:tcPr>
            <w:tcW w:w="4536" w:type="dxa"/>
          </w:tcPr>
          <w:p w14:paraId="271903D7" w14:textId="77777777" w:rsidR="00DF6D83" w:rsidRPr="00FE7A4A" w:rsidRDefault="00DF6D83" w:rsidP="002E5DCA">
            <w:pPr>
              <w:jc w:val="both"/>
              <w:rPr>
                <w:rFonts w:ascii="Calibri" w:hAnsi="Calibri" w:cs="Calibri"/>
                <w:i/>
                <w:iCs/>
                <w:color w:val="0000FF"/>
                <w:sz w:val="22"/>
                <w:szCs w:val="22"/>
                <w:lang w:val="it-IT" w:eastAsia="de-DE"/>
              </w:rPr>
            </w:pPr>
            <w:r w:rsidRPr="00FE7A4A">
              <w:rPr>
                <w:rFonts w:ascii="Calibri" w:hAnsi="Calibri" w:cs="Calibri"/>
                <w:i/>
                <w:iCs/>
                <w:color w:val="0000FF"/>
                <w:sz w:val="22"/>
                <w:szCs w:val="22"/>
                <w:lang w:val="it-IT" w:eastAsia="de-DE"/>
              </w:rPr>
              <w:t>85)</w:t>
            </w:r>
          </w:p>
          <w:p w14:paraId="05B50E6C" w14:textId="31203832" w:rsidR="00DF6D83" w:rsidRPr="00FE7A4A" w:rsidRDefault="00DF6D83" w:rsidP="002E5DCA">
            <w:pPr>
              <w:jc w:val="both"/>
              <w:rPr>
                <w:rFonts w:ascii="Calibri" w:hAnsi="Calibri" w:cs="Calibri"/>
                <w:i/>
                <w:iCs/>
                <w:color w:val="000000"/>
                <w:sz w:val="22"/>
                <w:szCs w:val="22"/>
                <w:lang w:val="it-IT" w:eastAsia="de-DE"/>
              </w:rPr>
            </w:pPr>
            <w:r w:rsidRPr="00FE7A4A">
              <w:rPr>
                <w:rFonts w:ascii="Calibri" w:hAnsi="Calibri" w:cs="Calibri"/>
                <w:i/>
                <w:iCs/>
                <w:color w:val="000000"/>
                <w:sz w:val="22"/>
                <w:szCs w:val="22"/>
                <w:lang w:val="it-IT" w:eastAsia="de-DE"/>
              </w:rPr>
              <w:t>L'art. 27, comma 4 è stato</w:t>
            </w:r>
            <w:r w:rsidR="006456D7" w:rsidRPr="00FE7A4A">
              <w:rPr>
                <w:rFonts w:ascii="Calibri" w:hAnsi="Calibri" w:cs="Calibri"/>
                <w:i/>
                <w:iCs/>
                <w:color w:val="000000"/>
                <w:sz w:val="22"/>
                <w:szCs w:val="22"/>
                <w:lang w:val="it-IT" w:eastAsia="de-DE"/>
              </w:rPr>
              <w:t xml:space="preserve"> </w:t>
            </w:r>
            <w:r w:rsidRPr="00FE7A4A">
              <w:rPr>
                <w:rFonts w:ascii="Calibri" w:hAnsi="Calibri" w:cs="Calibri"/>
                <w:i/>
                <w:iCs/>
                <w:color w:val="000000"/>
                <w:sz w:val="22"/>
                <w:szCs w:val="22"/>
                <w:lang w:val="it-IT" w:eastAsia="de-DE"/>
              </w:rPr>
              <w:t>prima</w:t>
            </w:r>
            <w:r w:rsidR="006456D7" w:rsidRPr="00FE7A4A">
              <w:rPr>
                <w:rFonts w:ascii="Calibri" w:hAnsi="Calibri" w:cs="Calibri"/>
                <w:i/>
                <w:iCs/>
                <w:color w:val="000000"/>
                <w:sz w:val="22"/>
                <w:szCs w:val="22"/>
                <w:lang w:val="it-IT" w:eastAsia="de-DE"/>
              </w:rPr>
              <w:t xml:space="preserve"> </w:t>
            </w:r>
            <w:r w:rsidRPr="00FE7A4A">
              <w:rPr>
                <w:rFonts w:ascii="Calibri" w:hAnsi="Calibri" w:cs="Calibri"/>
                <w:i/>
                <w:iCs/>
                <w:color w:val="000000"/>
                <w:sz w:val="22"/>
                <w:szCs w:val="22"/>
                <w:lang w:val="it-IT" w:eastAsia="de-DE"/>
              </w:rPr>
              <w:t>sostituito dall'art. 12, comma 1, della</w:t>
            </w:r>
            <w:r w:rsidR="006456D7" w:rsidRPr="00FE7A4A">
              <w:rPr>
                <w:rFonts w:ascii="Calibri" w:hAnsi="Calibri" w:cs="Calibri"/>
                <w:i/>
                <w:iCs/>
                <w:color w:val="000000"/>
                <w:sz w:val="22"/>
                <w:szCs w:val="22"/>
                <w:lang w:val="it-IT" w:eastAsia="de-DE"/>
              </w:rPr>
              <w:t xml:space="preserve"> </w:t>
            </w:r>
            <w:hyperlink r:id="rId11" w:history="1">
              <w:r w:rsidRPr="00FE7A4A">
                <w:rPr>
                  <w:rFonts w:ascii="Calibri" w:hAnsi="Calibri" w:cs="Calibri"/>
                  <w:i/>
                  <w:iCs/>
                  <w:color w:val="0000FF"/>
                  <w:sz w:val="22"/>
                  <w:szCs w:val="22"/>
                  <w:u w:val="single"/>
                  <w:lang w:val="it-IT" w:eastAsia="de-DE"/>
                </w:rPr>
                <w:t>L.P. 9 luglio 2019, n. 3</w:t>
              </w:r>
            </w:hyperlink>
            <w:r w:rsidRPr="00FE7A4A">
              <w:rPr>
                <w:rFonts w:ascii="Calibri" w:hAnsi="Calibri" w:cs="Calibri"/>
                <w:i/>
                <w:iCs/>
                <w:color w:val="000000"/>
                <w:sz w:val="22"/>
                <w:szCs w:val="22"/>
                <w:lang w:val="it-IT" w:eastAsia="de-DE"/>
              </w:rPr>
              <w:t>,</w:t>
            </w:r>
            <w:r w:rsidR="006456D7" w:rsidRPr="00FE7A4A">
              <w:rPr>
                <w:rFonts w:ascii="Calibri" w:hAnsi="Calibri" w:cs="Calibri"/>
                <w:i/>
                <w:iCs/>
                <w:color w:val="000000"/>
                <w:sz w:val="22"/>
                <w:szCs w:val="22"/>
                <w:lang w:val="it-IT" w:eastAsia="de-DE"/>
              </w:rPr>
              <w:t xml:space="preserve"> </w:t>
            </w:r>
            <w:r w:rsidRPr="00FE7A4A">
              <w:rPr>
                <w:rFonts w:ascii="Calibri" w:hAnsi="Calibri" w:cs="Calibri"/>
                <w:i/>
                <w:iCs/>
                <w:color w:val="000000"/>
                <w:sz w:val="22"/>
                <w:szCs w:val="22"/>
                <w:lang w:val="it-IT" w:eastAsia="de-DE"/>
              </w:rPr>
              <w:t>e successivamente dall’art. 22, comma 13, della</w:t>
            </w:r>
            <w:r w:rsidR="006456D7" w:rsidRPr="00FE7A4A">
              <w:rPr>
                <w:rFonts w:ascii="Calibri" w:hAnsi="Calibri" w:cs="Calibri"/>
                <w:i/>
                <w:iCs/>
                <w:color w:val="000000"/>
                <w:sz w:val="22"/>
                <w:szCs w:val="22"/>
                <w:lang w:val="it-IT" w:eastAsia="de-DE"/>
              </w:rPr>
              <w:t xml:space="preserve"> </w:t>
            </w:r>
            <w:hyperlink r:id="rId12" w:history="1">
              <w:r w:rsidRPr="00FE7A4A">
                <w:rPr>
                  <w:rFonts w:ascii="Calibri" w:hAnsi="Calibri" w:cs="Calibri"/>
                  <w:i/>
                  <w:iCs/>
                  <w:color w:val="0000FF"/>
                  <w:sz w:val="22"/>
                  <w:szCs w:val="22"/>
                  <w:u w:val="single"/>
                  <w:lang w:val="it-IT" w:eastAsia="de-DE"/>
                </w:rPr>
                <w:t>L.P. 16 luglio 2024, n. 2</w:t>
              </w:r>
            </w:hyperlink>
            <w:r w:rsidRPr="00FE7A4A">
              <w:rPr>
                <w:rFonts w:ascii="Calibri" w:hAnsi="Calibri" w:cs="Calibri"/>
                <w:i/>
                <w:iCs/>
                <w:color w:val="000000"/>
                <w:sz w:val="22"/>
                <w:szCs w:val="22"/>
                <w:lang w:val="it-IT" w:eastAsia="de-DE"/>
              </w:rPr>
              <w:t>.</w:t>
            </w:r>
          </w:p>
          <w:p w14:paraId="0DF70B5F" w14:textId="77777777" w:rsidR="00DF6D83" w:rsidRPr="00FE7A4A" w:rsidRDefault="00DF6D83" w:rsidP="002E5DCA">
            <w:pPr>
              <w:jc w:val="both"/>
              <w:rPr>
                <w:rFonts w:ascii="Calibri" w:hAnsi="Calibri" w:cs="Calibri"/>
                <w:i/>
                <w:iCs/>
                <w:color w:val="0000FF"/>
                <w:sz w:val="22"/>
                <w:szCs w:val="22"/>
                <w:lang w:val="it-IT" w:eastAsia="de-DE"/>
              </w:rPr>
            </w:pPr>
            <w:bookmarkStart w:id="2" w:name="nota86"/>
            <w:bookmarkEnd w:id="2"/>
            <w:r w:rsidRPr="00FE7A4A">
              <w:rPr>
                <w:rFonts w:ascii="Calibri" w:hAnsi="Calibri" w:cs="Calibri"/>
                <w:i/>
                <w:iCs/>
                <w:color w:val="0000FF"/>
                <w:sz w:val="22"/>
                <w:szCs w:val="22"/>
                <w:lang w:val="it-IT" w:eastAsia="de-DE"/>
              </w:rPr>
              <w:t>86)</w:t>
            </w:r>
          </w:p>
          <w:p w14:paraId="02A3308D" w14:textId="17F18163" w:rsidR="00DF6D83" w:rsidRPr="00FE7A4A" w:rsidRDefault="00DF6D83" w:rsidP="006456D7">
            <w:pPr>
              <w:jc w:val="both"/>
              <w:rPr>
                <w:rFonts w:ascii="Calibri" w:hAnsi="Calibri" w:cs="Calibri"/>
                <w:i/>
                <w:iCs/>
                <w:color w:val="000000"/>
                <w:sz w:val="22"/>
                <w:szCs w:val="22"/>
                <w:lang w:val="it-IT" w:eastAsia="de-DE"/>
              </w:rPr>
            </w:pPr>
            <w:r w:rsidRPr="00FE7A4A">
              <w:rPr>
                <w:rFonts w:ascii="Calibri" w:hAnsi="Calibri" w:cs="Calibri"/>
                <w:i/>
                <w:iCs/>
                <w:color w:val="000000"/>
                <w:sz w:val="22"/>
                <w:szCs w:val="22"/>
                <w:lang w:val="it-IT" w:eastAsia="de-DE"/>
              </w:rPr>
              <w:t>La Corte Costituzionale con sentenza del 19 giugno 2025, n. 80 ha dichiarato l’illegittimità costituzionale dell’art. 22, comma 13, della</w:t>
            </w:r>
            <w:r w:rsidR="006456D7" w:rsidRPr="00FE7A4A">
              <w:rPr>
                <w:rFonts w:ascii="Calibri" w:hAnsi="Calibri" w:cs="Calibri"/>
                <w:i/>
                <w:iCs/>
                <w:color w:val="000000"/>
                <w:sz w:val="22"/>
                <w:szCs w:val="22"/>
                <w:lang w:val="it-IT" w:eastAsia="de-DE"/>
              </w:rPr>
              <w:t xml:space="preserve"> </w:t>
            </w:r>
            <w:hyperlink r:id="rId13" w:history="1">
              <w:r w:rsidRPr="00FE7A4A">
                <w:rPr>
                  <w:rFonts w:ascii="Calibri" w:hAnsi="Calibri" w:cs="Calibri"/>
                  <w:i/>
                  <w:iCs/>
                  <w:color w:val="0000FF"/>
                  <w:sz w:val="22"/>
                  <w:szCs w:val="22"/>
                  <w:u w:val="single"/>
                  <w:lang w:val="it-IT" w:eastAsia="de-DE"/>
                </w:rPr>
                <w:t>legge provinciale 16 luglio 2024, n. 2</w:t>
              </w:r>
            </w:hyperlink>
            <w:r w:rsidRPr="00FE7A4A">
              <w:rPr>
                <w:rFonts w:ascii="Calibri" w:hAnsi="Calibri" w:cs="Calibri"/>
                <w:i/>
                <w:iCs/>
                <w:color w:val="000000"/>
                <w:sz w:val="22"/>
                <w:szCs w:val="22"/>
                <w:lang w:val="it-IT" w:eastAsia="de-DE"/>
              </w:rPr>
              <w:t>.</w:t>
            </w:r>
          </w:p>
        </w:tc>
      </w:tr>
      <w:tr w:rsidR="00080DE9" w:rsidRPr="005A1FCA" w14:paraId="13C1FE56" w14:textId="77777777" w:rsidTr="000C19B0">
        <w:trPr>
          <w:jc w:val="center"/>
        </w:trPr>
        <w:tc>
          <w:tcPr>
            <w:tcW w:w="9639" w:type="dxa"/>
            <w:gridSpan w:val="3"/>
          </w:tcPr>
          <w:p w14:paraId="1A6BE900" w14:textId="77777777" w:rsidR="00080DE9" w:rsidRPr="005A1FCA" w:rsidRDefault="00080DE9" w:rsidP="000C19B0">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p w14:paraId="38D663DE" w14:textId="77777777" w:rsidR="00080DE9" w:rsidRPr="005A1FCA" w:rsidRDefault="00080DE9" w:rsidP="000C19B0">
            <w:pPr>
              <w:jc w:val="center"/>
              <w:rPr>
                <w:rFonts w:ascii="Calibri" w:hAnsi="Calibri" w:cs="Calibri"/>
                <w:b/>
                <w:bCs/>
                <w:i/>
                <w:iCs/>
                <w:sz w:val="22"/>
                <w:szCs w:val="22"/>
                <w:lang w:val="it-IT"/>
              </w:rPr>
            </w:pPr>
          </w:p>
        </w:tc>
      </w:tr>
      <w:tr w:rsidR="0069695F" w:rsidRPr="005A1FCA" w14:paraId="41D45924" w14:textId="77777777" w:rsidTr="000C19B0">
        <w:trPr>
          <w:jc w:val="center"/>
        </w:trPr>
        <w:tc>
          <w:tcPr>
            <w:tcW w:w="4253" w:type="dxa"/>
          </w:tcPr>
          <w:p w14:paraId="6167459A" w14:textId="345B5B1E" w:rsidR="00DF6D83" w:rsidRPr="005A1FCA" w:rsidRDefault="00DF6D83" w:rsidP="000C19B0">
            <w:pPr>
              <w:shd w:val="clear" w:color="auto" w:fill="FFFFFF"/>
              <w:jc w:val="both"/>
              <w:rPr>
                <w:rFonts w:ascii="Calibri" w:hAnsi="Calibri" w:cs="Calibri"/>
                <w:color w:val="E40000"/>
                <w:sz w:val="22"/>
                <w:szCs w:val="22"/>
              </w:rPr>
            </w:pPr>
            <w:r w:rsidRPr="005A1FCA">
              <w:rPr>
                <w:rFonts w:ascii="Calibri" w:hAnsi="Calibri" w:cs="Calibri"/>
                <w:color w:val="E40000"/>
                <w:sz w:val="22"/>
                <w:szCs w:val="22"/>
              </w:rPr>
              <w:t>12-quater. Die Reduzierungen gemäß den Absätzen 12-bis und 12-ter dieses Artikels werden nicht auf die vorläufige Sicherheit für die in Artikel 26 Absatz 1 Buchstaben c), d) und e) genannten Verfahren angewandt.</w:t>
            </w:r>
          </w:p>
        </w:tc>
        <w:tc>
          <w:tcPr>
            <w:tcW w:w="850" w:type="dxa"/>
          </w:tcPr>
          <w:p w14:paraId="51E5FD23" w14:textId="77777777" w:rsidR="00DF6D83" w:rsidRPr="005A1FCA" w:rsidRDefault="00DF6D83" w:rsidP="000C19B0">
            <w:pPr>
              <w:shd w:val="clear" w:color="auto" w:fill="FFFFFF"/>
              <w:jc w:val="both"/>
              <w:rPr>
                <w:rFonts w:ascii="Calibri" w:hAnsi="Calibri" w:cs="Calibri"/>
                <w:color w:val="E40000"/>
                <w:sz w:val="22"/>
                <w:szCs w:val="22"/>
              </w:rPr>
            </w:pPr>
          </w:p>
        </w:tc>
        <w:tc>
          <w:tcPr>
            <w:tcW w:w="4536" w:type="dxa"/>
          </w:tcPr>
          <w:p w14:paraId="7B6DE418" w14:textId="2FC36B56" w:rsidR="00DF6D83" w:rsidRPr="005A1FCA" w:rsidRDefault="00DF6D83" w:rsidP="000C19B0">
            <w:pPr>
              <w:shd w:val="clear" w:color="auto" w:fill="FFFFFF"/>
              <w:jc w:val="both"/>
              <w:rPr>
                <w:rFonts w:ascii="Calibri" w:hAnsi="Calibri" w:cs="Calibri"/>
                <w:color w:val="E40000"/>
                <w:sz w:val="22"/>
                <w:szCs w:val="22"/>
                <w:lang w:val="it-IT"/>
              </w:rPr>
            </w:pPr>
            <w:r w:rsidRPr="005A1FCA">
              <w:rPr>
                <w:rFonts w:ascii="Calibri" w:hAnsi="Calibri" w:cs="Calibri"/>
                <w:color w:val="E40000"/>
                <w:sz w:val="22"/>
                <w:szCs w:val="22"/>
                <w:lang w:val="it-IT"/>
              </w:rPr>
              <w:t>12-quater. Alla garanzia provvisoria per le procedure di cui alle lettere c), d) ed e) del comma 1 dell’articolo 26 non si applicano le riduzioni previste nei commi 12-bis e 12-ter del presente articolo.</w:t>
            </w:r>
          </w:p>
        </w:tc>
      </w:tr>
      <w:tr w:rsidR="00080DE9" w:rsidRPr="005A1FCA" w14:paraId="6C87E4A4" w14:textId="77777777" w:rsidTr="000C19B0">
        <w:trPr>
          <w:jc w:val="center"/>
        </w:trPr>
        <w:tc>
          <w:tcPr>
            <w:tcW w:w="9639" w:type="dxa"/>
            <w:gridSpan w:val="3"/>
          </w:tcPr>
          <w:p w14:paraId="3E4EB523" w14:textId="75ED3822" w:rsidR="00080DE9" w:rsidRPr="005A1FCA" w:rsidRDefault="00080DE9" w:rsidP="00FE7A4A">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tc>
      </w:tr>
    </w:tbl>
    <w:p w14:paraId="11FFCD99" w14:textId="77777777" w:rsidR="0095145E" w:rsidRPr="005A1FCA" w:rsidRDefault="0095145E" w:rsidP="0095145E">
      <w:pPr>
        <w:rPr>
          <w:rFonts w:ascii="Calibri" w:hAnsi="Calibri" w:cs="Calibri"/>
          <w:sz w:val="22"/>
          <w:szCs w:val="22"/>
          <w:lang w:val="it-IT"/>
        </w:rPr>
      </w:pPr>
    </w:p>
    <w:p w14:paraId="3106C02C" w14:textId="77777777" w:rsidR="001E6D57" w:rsidRPr="005A1FCA" w:rsidRDefault="001E6D57" w:rsidP="00E54B44">
      <w:pPr>
        <w:rPr>
          <w:rFonts w:ascii="Calibri" w:hAnsi="Calibri" w:cs="Calibri"/>
          <w:sz w:val="22"/>
          <w:szCs w:val="22"/>
          <w:lang w:val="it-IT"/>
        </w:rPr>
      </w:pPr>
    </w:p>
    <w:tbl>
      <w:tblPr>
        <w:tblW w:w="9639" w:type="dxa"/>
        <w:jc w:val="center"/>
        <w:tblLayout w:type="fixed"/>
        <w:tblCellMar>
          <w:left w:w="71" w:type="dxa"/>
          <w:right w:w="71" w:type="dxa"/>
        </w:tblCellMar>
        <w:tblLook w:val="0000" w:firstRow="0" w:lastRow="0" w:firstColumn="0" w:lastColumn="0" w:noHBand="0" w:noVBand="0"/>
      </w:tblPr>
      <w:tblGrid>
        <w:gridCol w:w="4253"/>
        <w:gridCol w:w="850"/>
        <w:gridCol w:w="4536"/>
      </w:tblGrid>
      <w:tr w:rsidR="001E6D57" w:rsidRPr="005A1FCA" w14:paraId="692217D5" w14:textId="77777777" w:rsidTr="000C19B0">
        <w:trPr>
          <w:jc w:val="center"/>
        </w:trPr>
        <w:tc>
          <w:tcPr>
            <w:tcW w:w="4253" w:type="dxa"/>
          </w:tcPr>
          <w:p w14:paraId="0089B4B0" w14:textId="6A675C90" w:rsidR="001E6D57" w:rsidRPr="005A1FCA" w:rsidRDefault="001E6D57" w:rsidP="007C322F">
            <w:pPr>
              <w:shd w:val="clear" w:color="auto" w:fill="FFFFFF"/>
              <w:jc w:val="center"/>
              <w:rPr>
                <w:rFonts w:ascii="Calibri" w:hAnsi="Calibri" w:cs="Calibri"/>
                <w:b/>
                <w:bCs/>
                <w:sz w:val="22"/>
                <w:szCs w:val="22"/>
                <w:lang w:val="it-IT"/>
              </w:rPr>
            </w:pPr>
            <w:r w:rsidRPr="005A1FCA">
              <w:rPr>
                <w:rFonts w:ascii="Calibri" w:hAnsi="Calibri" w:cs="Calibri"/>
                <w:b/>
                <w:bCs/>
                <w:sz w:val="22"/>
                <w:szCs w:val="22"/>
                <w:lang w:val="it-IT"/>
              </w:rPr>
              <w:t xml:space="preserve">Art. 33 </w:t>
            </w:r>
          </w:p>
        </w:tc>
        <w:tc>
          <w:tcPr>
            <w:tcW w:w="850" w:type="dxa"/>
          </w:tcPr>
          <w:p w14:paraId="3DE57B76" w14:textId="77777777" w:rsidR="001E6D57" w:rsidRPr="005A1FCA" w:rsidRDefault="001E6D57" w:rsidP="000C19B0">
            <w:pPr>
              <w:jc w:val="both"/>
              <w:rPr>
                <w:rFonts w:ascii="Calibri" w:hAnsi="Calibri" w:cs="Calibri"/>
                <w:b/>
                <w:bCs/>
                <w:sz w:val="22"/>
                <w:szCs w:val="22"/>
                <w:lang w:val="it-IT"/>
              </w:rPr>
            </w:pPr>
          </w:p>
        </w:tc>
        <w:tc>
          <w:tcPr>
            <w:tcW w:w="4536" w:type="dxa"/>
          </w:tcPr>
          <w:p w14:paraId="4518F2A9" w14:textId="236EBD78" w:rsidR="001E6D57" w:rsidRPr="005A1FCA" w:rsidRDefault="001E6D57" w:rsidP="007C322F">
            <w:pPr>
              <w:shd w:val="clear" w:color="auto" w:fill="FFFFFF"/>
              <w:jc w:val="center"/>
              <w:rPr>
                <w:rFonts w:ascii="Calibri" w:hAnsi="Calibri" w:cs="Calibri"/>
                <w:b/>
                <w:bCs/>
                <w:sz w:val="22"/>
                <w:szCs w:val="22"/>
                <w:lang w:val="it-IT"/>
              </w:rPr>
            </w:pPr>
            <w:r w:rsidRPr="005A1FCA">
              <w:rPr>
                <w:rFonts w:ascii="Calibri" w:hAnsi="Calibri" w:cs="Calibri"/>
                <w:b/>
                <w:bCs/>
                <w:sz w:val="22"/>
                <w:szCs w:val="22"/>
                <w:lang w:val="it-IT"/>
              </w:rPr>
              <w:t>Art. 33</w:t>
            </w:r>
          </w:p>
        </w:tc>
      </w:tr>
      <w:tr w:rsidR="001E6D57" w:rsidRPr="005A1FCA" w14:paraId="070925A4" w14:textId="77777777" w:rsidTr="000C19B0">
        <w:trPr>
          <w:jc w:val="center"/>
        </w:trPr>
        <w:tc>
          <w:tcPr>
            <w:tcW w:w="4253" w:type="dxa"/>
          </w:tcPr>
          <w:p w14:paraId="5BF9296F" w14:textId="2D8005E4" w:rsidR="001E6D57" w:rsidRPr="005A1FCA" w:rsidRDefault="007C322F" w:rsidP="007C322F">
            <w:pPr>
              <w:shd w:val="clear" w:color="auto" w:fill="FFFFFF"/>
              <w:jc w:val="center"/>
              <w:rPr>
                <w:rFonts w:ascii="Calibri" w:hAnsi="Calibri" w:cs="Calibri"/>
                <w:sz w:val="22"/>
                <w:szCs w:val="22"/>
                <w:lang w:val="it-IT" w:eastAsia="de-DE"/>
              </w:rPr>
            </w:pPr>
            <w:r w:rsidRPr="005A1FCA">
              <w:rPr>
                <w:rFonts w:ascii="Calibri" w:hAnsi="Calibri" w:cs="Calibri"/>
                <w:sz w:val="22"/>
                <w:szCs w:val="22"/>
                <w:lang w:val="it-IT"/>
              </w:rPr>
              <w:t>(Zuschlagskriterien)</w:t>
            </w:r>
          </w:p>
        </w:tc>
        <w:tc>
          <w:tcPr>
            <w:tcW w:w="850" w:type="dxa"/>
          </w:tcPr>
          <w:p w14:paraId="00B7661D" w14:textId="77777777" w:rsidR="001E6D57" w:rsidRPr="005A1FCA" w:rsidRDefault="001E6D57" w:rsidP="007C322F">
            <w:pPr>
              <w:jc w:val="center"/>
              <w:rPr>
                <w:rFonts w:ascii="Calibri" w:hAnsi="Calibri" w:cs="Calibri"/>
                <w:sz w:val="22"/>
                <w:szCs w:val="22"/>
                <w:lang w:val="it-IT"/>
              </w:rPr>
            </w:pPr>
          </w:p>
        </w:tc>
        <w:tc>
          <w:tcPr>
            <w:tcW w:w="4536" w:type="dxa"/>
          </w:tcPr>
          <w:p w14:paraId="14ECCE73" w14:textId="77777777" w:rsidR="001E6D57" w:rsidRPr="005A1FCA" w:rsidRDefault="007C322F" w:rsidP="007C322F">
            <w:pPr>
              <w:shd w:val="clear" w:color="auto" w:fill="FFFFFF"/>
              <w:jc w:val="center"/>
              <w:rPr>
                <w:rFonts w:ascii="Calibri" w:hAnsi="Calibri" w:cs="Calibri"/>
                <w:sz w:val="22"/>
                <w:szCs w:val="22"/>
                <w:lang w:val="it-IT"/>
              </w:rPr>
            </w:pPr>
            <w:r w:rsidRPr="005A1FCA">
              <w:rPr>
                <w:rFonts w:ascii="Calibri" w:hAnsi="Calibri" w:cs="Calibri"/>
                <w:sz w:val="22"/>
                <w:szCs w:val="22"/>
                <w:lang w:val="it-IT"/>
              </w:rPr>
              <w:t>(Criteri di aggiudicazione dell’appalto)</w:t>
            </w:r>
          </w:p>
          <w:p w14:paraId="16D51166" w14:textId="70A44B2E" w:rsidR="007C322F" w:rsidRPr="005A1FCA" w:rsidRDefault="007C322F" w:rsidP="007C322F">
            <w:pPr>
              <w:shd w:val="clear" w:color="auto" w:fill="FFFFFF"/>
              <w:jc w:val="center"/>
              <w:rPr>
                <w:rFonts w:ascii="Calibri" w:hAnsi="Calibri" w:cs="Calibri"/>
                <w:sz w:val="22"/>
                <w:szCs w:val="22"/>
                <w:lang w:val="it-IT"/>
              </w:rPr>
            </w:pPr>
          </w:p>
        </w:tc>
      </w:tr>
      <w:tr w:rsidR="00F634AF" w:rsidRPr="005A1FCA" w14:paraId="2A4843FD" w14:textId="77777777" w:rsidTr="000C19B0">
        <w:trPr>
          <w:jc w:val="center"/>
        </w:trPr>
        <w:tc>
          <w:tcPr>
            <w:tcW w:w="9639" w:type="dxa"/>
            <w:gridSpan w:val="3"/>
          </w:tcPr>
          <w:p w14:paraId="151D9C2D" w14:textId="77777777" w:rsidR="00F634AF" w:rsidRPr="005A1FCA" w:rsidRDefault="00F634AF" w:rsidP="000C19B0">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p w14:paraId="2BFD2A30" w14:textId="77777777" w:rsidR="00F634AF" w:rsidRPr="005A1FCA" w:rsidRDefault="00F634AF" w:rsidP="000C19B0">
            <w:pPr>
              <w:jc w:val="center"/>
              <w:rPr>
                <w:rFonts w:ascii="Calibri" w:hAnsi="Calibri" w:cs="Calibri"/>
                <w:b/>
                <w:bCs/>
                <w:i/>
                <w:iCs/>
                <w:sz w:val="22"/>
                <w:szCs w:val="22"/>
                <w:lang w:val="it-IT"/>
              </w:rPr>
            </w:pPr>
          </w:p>
        </w:tc>
      </w:tr>
      <w:tr w:rsidR="001E6D57" w:rsidRPr="005A1FCA" w14:paraId="3260825D" w14:textId="77777777" w:rsidTr="000C19B0">
        <w:trPr>
          <w:jc w:val="center"/>
        </w:trPr>
        <w:tc>
          <w:tcPr>
            <w:tcW w:w="4253" w:type="dxa"/>
          </w:tcPr>
          <w:p w14:paraId="4863E253" w14:textId="0F40D623" w:rsidR="001E6D57" w:rsidRPr="005A1FCA" w:rsidRDefault="002F261B" w:rsidP="002F261B">
            <w:pPr>
              <w:autoSpaceDE w:val="0"/>
              <w:autoSpaceDN w:val="0"/>
              <w:adjustRightInd w:val="0"/>
              <w:jc w:val="both"/>
              <w:rPr>
                <w:rFonts w:ascii="Calibri" w:eastAsiaTheme="minorEastAsia" w:hAnsi="Calibri" w:cs="Calibri"/>
                <w:sz w:val="22"/>
                <w:szCs w:val="22"/>
                <w:lang w:eastAsia="de-DE"/>
              </w:rPr>
            </w:pPr>
            <w:bookmarkStart w:id="3" w:name="_Hlk190878531"/>
            <w:r w:rsidRPr="005A1FCA">
              <w:rPr>
                <w:rFonts w:ascii="Calibri" w:eastAsiaTheme="minorEastAsia" w:hAnsi="Calibri" w:cs="Calibri"/>
                <w:sz w:val="22"/>
                <w:szCs w:val="22"/>
                <w:lang w:eastAsia="de-DE"/>
              </w:rPr>
              <w:t xml:space="preserve">c) </w:t>
            </w:r>
            <w:r w:rsidR="001E6D57" w:rsidRPr="005A1FCA">
              <w:rPr>
                <w:rFonts w:ascii="Calibri" w:eastAsiaTheme="minorEastAsia" w:hAnsi="Calibri" w:cs="Calibri"/>
                <w:sz w:val="22"/>
                <w:szCs w:val="22"/>
                <w:lang w:eastAsia="de-DE"/>
              </w:rPr>
              <w:t>Verträge in Bezug auf die Vergabe von Architektur- und Ingenieurdienstleistungen</w:t>
            </w:r>
            <w:r w:rsidR="001E6D57" w:rsidRPr="005A1FCA">
              <w:rPr>
                <w:rFonts w:ascii="Calibri" w:hAnsi="Calibri" w:cs="Calibri"/>
                <w:sz w:val="22"/>
                <w:szCs w:val="22"/>
              </w:rPr>
              <w:t xml:space="preserve">, </w:t>
            </w:r>
            <w:r w:rsidR="001E6D57" w:rsidRPr="005A1FCA">
              <w:rPr>
                <w:rFonts w:ascii="Calibri" w:hAnsi="Calibri" w:cs="Calibri"/>
                <w:color w:val="E40000"/>
                <w:sz w:val="22"/>
                <w:szCs w:val="22"/>
              </w:rPr>
              <w:t>für welche die Vergabestelle eine Obergrenze für die wirtschaftliche Punktezahl von höchstens 30 Prozent festlegt,</w:t>
            </w:r>
            <w:r w:rsidR="001E6D57" w:rsidRPr="005A1FCA">
              <w:rPr>
                <w:rFonts w:ascii="Calibri" w:eastAsiaTheme="minorEastAsia" w:hAnsi="Calibri" w:cs="Calibri"/>
                <w:sz w:val="22"/>
                <w:szCs w:val="22"/>
                <w:lang w:eastAsia="de-DE"/>
              </w:rPr>
              <w:t xml:space="preserve"> und anderen technischen und intellektuellen Dienstleistungen ab 140.000 Euro</w:t>
            </w:r>
            <w:bookmarkEnd w:id="3"/>
            <w:r w:rsidR="001E6D57" w:rsidRPr="005A1FCA">
              <w:rPr>
                <w:rFonts w:ascii="Calibri" w:eastAsiaTheme="minorEastAsia" w:hAnsi="Calibri" w:cs="Calibri"/>
                <w:sz w:val="22"/>
                <w:szCs w:val="22"/>
                <w:lang w:eastAsia="de-DE"/>
              </w:rPr>
              <w:t>;</w:t>
            </w:r>
          </w:p>
          <w:p w14:paraId="3AEE5934" w14:textId="77777777" w:rsidR="001E6D57" w:rsidRPr="005A1FCA" w:rsidRDefault="001E6D57" w:rsidP="000C19B0">
            <w:pPr>
              <w:pStyle w:val="Listenabsatz"/>
              <w:autoSpaceDE w:val="0"/>
              <w:autoSpaceDN w:val="0"/>
              <w:adjustRightInd w:val="0"/>
              <w:ind w:left="494"/>
              <w:jc w:val="both"/>
              <w:rPr>
                <w:rFonts w:ascii="Calibri" w:eastAsiaTheme="minorEastAsia" w:hAnsi="Calibri" w:cs="Calibri"/>
                <w:sz w:val="22"/>
                <w:szCs w:val="22"/>
                <w:lang w:eastAsia="de-DE"/>
              </w:rPr>
            </w:pPr>
          </w:p>
        </w:tc>
        <w:tc>
          <w:tcPr>
            <w:tcW w:w="850" w:type="dxa"/>
          </w:tcPr>
          <w:p w14:paraId="64E0EB91" w14:textId="77777777" w:rsidR="001E6D57" w:rsidRPr="005A1FCA" w:rsidRDefault="001E6D57" w:rsidP="000C19B0">
            <w:pPr>
              <w:jc w:val="both"/>
              <w:rPr>
                <w:rFonts w:ascii="Calibri" w:hAnsi="Calibri" w:cs="Calibri"/>
                <w:sz w:val="22"/>
                <w:szCs w:val="22"/>
              </w:rPr>
            </w:pPr>
          </w:p>
        </w:tc>
        <w:tc>
          <w:tcPr>
            <w:tcW w:w="4536" w:type="dxa"/>
          </w:tcPr>
          <w:p w14:paraId="23BA050D" w14:textId="1239A4BC" w:rsidR="001E6D57" w:rsidRPr="005A1FCA" w:rsidRDefault="002F261B" w:rsidP="002F261B">
            <w:pPr>
              <w:autoSpaceDE w:val="0"/>
              <w:autoSpaceDN w:val="0"/>
              <w:adjustRightInd w:val="0"/>
              <w:jc w:val="both"/>
              <w:rPr>
                <w:rFonts w:ascii="Calibri" w:eastAsiaTheme="minorEastAsia" w:hAnsi="Calibri" w:cs="Calibri"/>
                <w:sz w:val="22"/>
                <w:szCs w:val="22"/>
                <w:lang w:val="it-IT" w:eastAsia="de-DE"/>
              </w:rPr>
            </w:pPr>
            <w:bookmarkStart w:id="4" w:name="_Hlk190877973"/>
            <w:r w:rsidRPr="005A1FCA">
              <w:rPr>
                <w:rFonts w:ascii="Calibri" w:eastAsiaTheme="minorEastAsia" w:hAnsi="Calibri" w:cs="Calibri"/>
                <w:sz w:val="22"/>
                <w:szCs w:val="22"/>
                <w:lang w:val="it-IT" w:eastAsia="de-DE"/>
              </w:rPr>
              <w:t xml:space="preserve">c) </w:t>
            </w:r>
            <w:r w:rsidR="001E6D57" w:rsidRPr="005A1FCA">
              <w:rPr>
                <w:rFonts w:ascii="Calibri" w:eastAsiaTheme="minorEastAsia" w:hAnsi="Calibri" w:cs="Calibri"/>
                <w:sz w:val="22"/>
                <w:szCs w:val="22"/>
                <w:lang w:val="it-IT" w:eastAsia="de-DE"/>
              </w:rPr>
              <w:t>i contratti relativi all’affidamento dei servizi di ingegneria e architettura</w:t>
            </w:r>
            <w:r w:rsidR="001E6D57" w:rsidRPr="005A1FCA">
              <w:rPr>
                <w:rFonts w:ascii="Calibri" w:hAnsi="Calibri" w:cs="Calibri"/>
                <w:sz w:val="22"/>
                <w:szCs w:val="22"/>
                <w:lang w:val="it-IT"/>
              </w:rPr>
              <w:t xml:space="preserve">, </w:t>
            </w:r>
            <w:r w:rsidR="001E6D57" w:rsidRPr="005A1FCA">
              <w:rPr>
                <w:rFonts w:ascii="Calibri" w:hAnsi="Calibri" w:cs="Calibri"/>
                <w:color w:val="E40000"/>
                <w:sz w:val="22"/>
                <w:szCs w:val="22"/>
                <w:lang w:val="it-IT"/>
              </w:rPr>
              <w:t xml:space="preserve">per i quali la stazione appaltante stabilisce un tetto massimo per il punteggio economico entro il limite del 30 per cento, </w:t>
            </w:r>
            <w:r w:rsidR="001E6D57" w:rsidRPr="005A1FCA">
              <w:rPr>
                <w:rFonts w:ascii="Calibri" w:eastAsiaTheme="minorEastAsia" w:hAnsi="Calibri" w:cs="Calibri"/>
                <w:sz w:val="22"/>
                <w:szCs w:val="22"/>
                <w:lang w:val="it-IT" w:eastAsia="de-DE"/>
              </w:rPr>
              <w:t>e degli altri servizi di natura tecnica e intellettuale di importo pari o superiore a 140.000 euro;</w:t>
            </w:r>
            <w:bookmarkEnd w:id="4"/>
          </w:p>
        </w:tc>
      </w:tr>
      <w:tr w:rsidR="00F634AF" w:rsidRPr="005A1FCA" w14:paraId="57E7F506" w14:textId="77777777" w:rsidTr="000C19B0">
        <w:trPr>
          <w:jc w:val="center"/>
        </w:trPr>
        <w:tc>
          <w:tcPr>
            <w:tcW w:w="9639" w:type="dxa"/>
            <w:gridSpan w:val="3"/>
          </w:tcPr>
          <w:p w14:paraId="07429A22" w14:textId="77777777" w:rsidR="00F634AF" w:rsidRPr="005A1FCA" w:rsidRDefault="00F634AF" w:rsidP="000C19B0">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p w14:paraId="211FB177" w14:textId="77777777" w:rsidR="00F634AF" w:rsidRPr="005A1FCA" w:rsidRDefault="00F634AF" w:rsidP="000C19B0">
            <w:pPr>
              <w:jc w:val="center"/>
              <w:rPr>
                <w:rFonts w:ascii="Calibri" w:hAnsi="Calibri" w:cs="Calibri"/>
                <w:b/>
                <w:bCs/>
                <w:i/>
                <w:iCs/>
                <w:sz w:val="22"/>
                <w:szCs w:val="22"/>
                <w:lang w:val="it-IT"/>
              </w:rPr>
            </w:pPr>
          </w:p>
        </w:tc>
      </w:tr>
      <w:tr w:rsidR="001E6D57" w:rsidRPr="005A1FCA" w14:paraId="25CB95C6" w14:textId="77777777" w:rsidTr="000C19B0">
        <w:trPr>
          <w:jc w:val="center"/>
        </w:trPr>
        <w:tc>
          <w:tcPr>
            <w:tcW w:w="4253" w:type="dxa"/>
          </w:tcPr>
          <w:p w14:paraId="3F055326" w14:textId="4A47B1F8" w:rsidR="001E6D57" w:rsidRPr="005A1FCA" w:rsidRDefault="001E6D57" w:rsidP="000C19B0">
            <w:pPr>
              <w:autoSpaceDE w:val="0"/>
              <w:autoSpaceDN w:val="0"/>
              <w:adjustRightInd w:val="0"/>
              <w:jc w:val="both"/>
              <w:rPr>
                <w:rFonts w:ascii="Calibri" w:eastAsiaTheme="minorEastAsia" w:hAnsi="Calibri" w:cs="Calibri"/>
                <w:i/>
                <w:iCs/>
                <w:color w:val="0070C0"/>
                <w:sz w:val="22"/>
                <w:szCs w:val="22"/>
                <w:lang w:eastAsia="de-DE"/>
              </w:rPr>
            </w:pPr>
            <w:r w:rsidRPr="005A1FCA">
              <w:rPr>
                <w:rFonts w:ascii="Calibri" w:hAnsi="Calibri" w:cs="Calibri"/>
                <w:sz w:val="22"/>
                <w:szCs w:val="22"/>
                <w:lang w:eastAsia="de-DE"/>
              </w:rPr>
              <w:t>(12) In den Bekanntmachungen und Aufforderungen kann die Vergabestelle zum Schutz des freien Wettbewerbs und zur Förderung der Vielfalt an Marktteilnehmern Kriterien für zusätzliche Punkte vorsehen, um bei der Angebotsbewertung die Teilnahme kleiner und mittlerer Unternehmen zu begünstigen und bei Leistungen, deren effiziente Erbringung vom Grundsatz der Ortsnähe abhängt, die Vergabe an Wirtschaftsteilnehmer mit operativem Sitz im Bezugsgebiet zu fördern.</w:t>
            </w:r>
            <w:r w:rsidRPr="005A1FCA">
              <w:rPr>
                <w:rFonts w:ascii="Calibri" w:hAnsi="Calibri" w:cs="Calibri"/>
                <w:sz w:val="22"/>
                <w:szCs w:val="22"/>
              </w:rPr>
              <w:t xml:space="preserve"> </w:t>
            </w:r>
            <w:r w:rsidRPr="005A1FCA">
              <w:rPr>
                <w:rFonts w:ascii="Calibri" w:hAnsi="Calibri" w:cs="Calibri"/>
                <w:color w:val="E40000"/>
                <w:sz w:val="22"/>
                <w:szCs w:val="22"/>
              </w:rPr>
              <w:t>Bei Lieferaufträgen oder bei gemischten Aufträgen, die Elemente eines Lieferauftrags beinhalten, können die Bekanntmachungen oder Aufforderungen Kriterien für zusätzliche Punkte vorsehen, um die Lieferung von Bauprodukten zu fördern, welche Teil eines Emissionshandelssystems zur Reduzierung von Treibhausgasemissionen sind.</w:t>
            </w:r>
            <w:r w:rsidRPr="005A1FCA">
              <w:rPr>
                <w:rFonts w:ascii="Calibri" w:hAnsi="Calibri" w:cs="Calibri"/>
                <w:i/>
                <w:iCs/>
                <w:color w:val="E40000"/>
                <w:sz w:val="22"/>
                <w:szCs w:val="22"/>
                <w:lang w:eastAsia="de-DE"/>
              </w:rPr>
              <w:t xml:space="preserve"> </w:t>
            </w:r>
            <w:r w:rsidRPr="005A1FCA">
              <w:rPr>
                <w:rFonts w:ascii="Calibri" w:hAnsi="Calibri" w:cs="Calibri"/>
                <w:sz w:val="22"/>
                <w:szCs w:val="22"/>
                <w:lang w:eastAsia="de-DE"/>
              </w:rPr>
              <w:t xml:space="preserve">Diese Bestimmungen gelten, soweit sie mit dem EU-Recht und den Grundsätzen der Gleichbehandlung, Nichtdiskriminierung, Transparenz und Verhältnismäßigkeit vereinbar sind. Zur Förderung der Gleichstellung der Geschlechter sieht die Vergabestelle in den Bekanntmachungen und Aufforderungen die höchste Punktzahl vor, die Unternehmen für das Ergreifen von Maßnahmen zur Verwirklichung der Gleichstellung der Geschlechter erhalten können. Dies wird durch den Besitz der Zertifizierung der Geschlechtergleichstellung laut Artikel 46-bis des gesetzesvertretenden Dekrets vom 11. April 2006, Nr. 198, in geltender Fassung, nachgewiesen. </w:t>
            </w:r>
          </w:p>
        </w:tc>
        <w:tc>
          <w:tcPr>
            <w:tcW w:w="850" w:type="dxa"/>
          </w:tcPr>
          <w:p w14:paraId="4A53B7E3" w14:textId="77777777" w:rsidR="001E6D57" w:rsidRPr="005A1FCA" w:rsidRDefault="001E6D57" w:rsidP="000C19B0">
            <w:pPr>
              <w:jc w:val="both"/>
              <w:rPr>
                <w:rFonts w:ascii="Calibri" w:hAnsi="Calibri" w:cs="Calibri"/>
                <w:i/>
                <w:iCs/>
                <w:color w:val="0070C0"/>
                <w:sz w:val="22"/>
                <w:szCs w:val="22"/>
              </w:rPr>
            </w:pPr>
          </w:p>
        </w:tc>
        <w:tc>
          <w:tcPr>
            <w:tcW w:w="4536" w:type="dxa"/>
          </w:tcPr>
          <w:p w14:paraId="08C26C90" w14:textId="3B83591A" w:rsidR="001E6D57" w:rsidRPr="005A1FCA" w:rsidRDefault="001E6D57" w:rsidP="000C19B0">
            <w:pPr>
              <w:autoSpaceDE w:val="0"/>
              <w:autoSpaceDN w:val="0"/>
              <w:adjustRightInd w:val="0"/>
              <w:jc w:val="both"/>
              <w:rPr>
                <w:rFonts w:ascii="Calibri" w:eastAsiaTheme="minorEastAsia" w:hAnsi="Calibri" w:cs="Calibri"/>
                <w:i/>
                <w:iCs/>
                <w:color w:val="0070C0"/>
                <w:sz w:val="22"/>
                <w:szCs w:val="22"/>
                <w:lang w:val="it-IT" w:eastAsia="de-DE"/>
              </w:rPr>
            </w:pPr>
            <w:r w:rsidRPr="005A1FCA">
              <w:rPr>
                <w:rFonts w:ascii="Calibri" w:hAnsi="Calibri" w:cs="Calibri"/>
                <w:sz w:val="22"/>
                <w:szCs w:val="22"/>
                <w:lang w:val="it-IT" w:eastAsia="de-DE"/>
              </w:rPr>
              <w:t>(12) Nei bandi e negli inviti la stazione appaltante può prevedere, ai fini della tutela della libera concorrenza e della promozione del pluralismo degli operatori nel mercato, criteri premiali atti a favorire la partecipazione delle piccole e medie imprese nella valutazione dell’offerta e a promuovere, per le prestazioni dipendenti dal principio di prossimità per la loro efficiente gestione, l’affidamento a operatori economici con sede operativa nell’ambito territoriale di riferimento.</w:t>
            </w:r>
            <w:r w:rsidRPr="005A1FCA">
              <w:rPr>
                <w:rFonts w:ascii="Calibri" w:hAnsi="Calibri" w:cs="Calibri"/>
                <w:i/>
                <w:iCs/>
                <w:sz w:val="22"/>
                <w:szCs w:val="22"/>
                <w:lang w:val="it-IT" w:eastAsia="de-DE"/>
              </w:rPr>
              <w:t xml:space="preserve"> </w:t>
            </w:r>
            <w:r w:rsidRPr="005A1FCA">
              <w:rPr>
                <w:rFonts w:ascii="Calibri" w:hAnsi="Calibri" w:cs="Calibri"/>
                <w:color w:val="E40000"/>
                <w:sz w:val="22"/>
                <w:szCs w:val="22"/>
                <w:lang w:val="it-IT"/>
              </w:rPr>
              <w:t>Negli appalti di forniture o negli appalti misti che contengano elementi di un appalto di fornitura, i bandi e gli inviti possono prevedere criteri premiali atti a favorire la fornitura di prodotti da costruzione che rientrano in un sistema di scambio delle emissioni per la riduzione delle emissioni di gas a effetto serra.</w:t>
            </w:r>
            <w:r w:rsidRPr="005A1FCA">
              <w:rPr>
                <w:rFonts w:ascii="Calibri" w:hAnsi="Calibri" w:cs="Calibri"/>
                <w:i/>
                <w:iCs/>
                <w:color w:val="C00000"/>
                <w:sz w:val="22"/>
                <w:szCs w:val="22"/>
                <w:lang w:val="it-IT" w:eastAsia="de-DE"/>
              </w:rPr>
              <w:t xml:space="preserve"> </w:t>
            </w:r>
            <w:r w:rsidRPr="005A1FCA">
              <w:rPr>
                <w:rFonts w:ascii="Calibri" w:hAnsi="Calibri" w:cs="Calibri"/>
                <w:sz w:val="22"/>
                <w:szCs w:val="22"/>
                <w:lang w:val="it-IT" w:eastAsia="de-DE"/>
              </w:rPr>
              <w:t xml:space="preserve">Dette disposizioni si applicano compatibilmente con il diritto dell’Unione europea e con i principi di parità di trattamento, non discriminazione, trasparenza e proporzionalità. Al fine di promuovere la parità di genere, la stazione appaltante prevede, nei bandi e negli inviti, il maggior punteggio da attribuire alle imprese per l’adozione di politiche tese al raggiungimento della parità di genere. Tale elemento viene comprovato dal possesso della certificazione della parità di genere di cui all’articolo 46-bis del decreto legislativo 11 aprile 2006, n.198, e successive modifiche. </w:t>
            </w:r>
          </w:p>
        </w:tc>
      </w:tr>
    </w:tbl>
    <w:p w14:paraId="2D99A22E" w14:textId="77777777" w:rsidR="0095145E" w:rsidRPr="005A1FCA" w:rsidRDefault="0095145E" w:rsidP="0095145E">
      <w:pPr>
        <w:jc w:val="center"/>
        <w:rPr>
          <w:rFonts w:ascii="Calibri" w:hAnsi="Calibri" w:cs="Calibri"/>
          <w:b/>
          <w:bCs/>
          <w:i/>
          <w:iCs/>
          <w:sz w:val="22"/>
          <w:szCs w:val="22"/>
          <w:lang w:val="it-IT"/>
        </w:rPr>
      </w:pPr>
    </w:p>
    <w:p w14:paraId="13DF4007" w14:textId="77777777" w:rsidR="007C322F" w:rsidRPr="005A1FCA" w:rsidRDefault="007C322F" w:rsidP="0095145E">
      <w:pPr>
        <w:jc w:val="center"/>
        <w:rPr>
          <w:rFonts w:ascii="Calibri" w:hAnsi="Calibri" w:cs="Calibri"/>
          <w:b/>
          <w:bCs/>
          <w:i/>
          <w:iCs/>
          <w:sz w:val="22"/>
          <w:szCs w:val="22"/>
          <w:lang w:val="it-IT"/>
        </w:rPr>
      </w:pPr>
    </w:p>
    <w:tbl>
      <w:tblPr>
        <w:tblW w:w="9639" w:type="dxa"/>
        <w:jc w:val="center"/>
        <w:tblLayout w:type="fixed"/>
        <w:tblCellMar>
          <w:left w:w="71" w:type="dxa"/>
          <w:right w:w="71" w:type="dxa"/>
        </w:tblCellMar>
        <w:tblLook w:val="0000" w:firstRow="0" w:lastRow="0" w:firstColumn="0" w:lastColumn="0" w:noHBand="0" w:noVBand="0"/>
      </w:tblPr>
      <w:tblGrid>
        <w:gridCol w:w="4253"/>
        <w:gridCol w:w="850"/>
        <w:gridCol w:w="4536"/>
      </w:tblGrid>
      <w:tr w:rsidR="00344942" w:rsidRPr="005A1FCA" w14:paraId="45FDF8E7" w14:textId="77777777" w:rsidTr="000C19B0">
        <w:trPr>
          <w:jc w:val="center"/>
        </w:trPr>
        <w:tc>
          <w:tcPr>
            <w:tcW w:w="4253" w:type="dxa"/>
          </w:tcPr>
          <w:p w14:paraId="04662F78" w14:textId="4F3305F8" w:rsidR="00344942" w:rsidRPr="005A1FCA" w:rsidRDefault="00344942" w:rsidP="007C322F">
            <w:pPr>
              <w:shd w:val="clear" w:color="auto" w:fill="FFFFFF"/>
              <w:jc w:val="center"/>
              <w:rPr>
                <w:rFonts w:ascii="Calibri" w:hAnsi="Calibri" w:cs="Calibri"/>
                <w:b/>
                <w:bCs/>
                <w:sz w:val="22"/>
                <w:szCs w:val="22"/>
              </w:rPr>
            </w:pPr>
            <w:r w:rsidRPr="005A1FCA">
              <w:rPr>
                <w:rFonts w:ascii="Calibri" w:hAnsi="Calibri" w:cs="Calibri"/>
                <w:b/>
                <w:bCs/>
                <w:sz w:val="22"/>
                <w:szCs w:val="22"/>
              </w:rPr>
              <w:t xml:space="preserve">Art. 39 </w:t>
            </w:r>
          </w:p>
        </w:tc>
        <w:tc>
          <w:tcPr>
            <w:tcW w:w="850" w:type="dxa"/>
          </w:tcPr>
          <w:p w14:paraId="5F37CEF5" w14:textId="77777777" w:rsidR="00344942" w:rsidRPr="005A1FCA" w:rsidRDefault="00344942" w:rsidP="000C19B0">
            <w:pPr>
              <w:jc w:val="center"/>
              <w:rPr>
                <w:rFonts w:ascii="Calibri" w:hAnsi="Calibri" w:cs="Calibri"/>
                <w:b/>
                <w:bCs/>
                <w:sz w:val="22"/>
                <w:szCs w:val="22"/>
                <w:highlight w:val="yellow"/>
              </w:rPr>
            </w:pPr>
          </w:p>
        </w:tc>
        <w:tc>
          <w:tcPr>
            <w:tcW w:w="4536" w:type="dxa"/>
          </w:tcPr>
          <w:p w14:paraId="7FA05C32" w14:textId="7378CEC9" w:rsidR="00344942" w:rsidRPr="005A1FCA" w:rsidRDefault="00344942" w:rsidP="007C322F">
            <w:pPr>
              <w:shd w:val="clear" w:color="auto" w:fill="FFFFFF"/>
              <w:jc w:val="center"/>
              <w:rPr>
                <w:rFonts w:ascii="Calibri" w:hAnsi="Calibri" w:cs="Calibri"/>
                <w:b/>
                <w:bCs/>
                <w:sz w:val="22"/>
                <w:szCs w:val="22"/>
              </w:rPr>
            </w:pPr>
            <w:r w:rsidRPr="005A1FCA">
              <w:rPr>
                <w:rFonts w:ascii="Calibri" w:hAnsi="Calibri" w:cs="Calibri"/>
                <w:b/>
                <w:bCs/>
                <w:sz w:val="22"/>
                <w:szCs w:val="22"/>
              </w:rPr>
              <w:t xml:space="preserve">Art. 39 </w:t>
            </w:r>
          </w:p>
        </w:tc>
      </w:tr>
      <w:tr w:rsidR="007C322F" w:rsidRPr="005A1FCA" w14:paraId="2EFA06A1" w14:textId="77777777" w:rsidTr="000C19B0">
        <w:trPr>
          <w:jc w:val="center"/>
        </w:trPr>
        <w:tc>
          <w:tcPr>
            <w:tcW w:w="4253" w:type="dxa"/>
          </w:tcPr>
          <w:p w14:paraId="725B3C75" w14:textId="6AE430DA" w:rsidR="007C322F" w:rsidRPr="005A1FCA" w:rsidRDefault="007C322F" w:rsidP="000C19B0">
            <w:pPr>
              <w:shd w:val="clear" w:color="auto" w:fill="FFFFFF"/>
              <w:jc w:val="center"/>
              <w:rPr>
                <w:rFonts w:ascii="Calibri" w:hAnsi="Calibri" w:cs="Calibri"/>
                <w:sz w:val="22"/>
                <w:szCs w:val="22"/>
              </w:rPr>
            </w:pPr>
            <w:r w:rsidRPr="005A1FCA">
              <w:rPr>
                <w:rFonts w:ascii="Calibri" w:hAnsi="Calibri" w:cs="Calibri"/>
                <w:sz w:val="22"/>
                <w:szCs w:val="22"/>
              </w:rPr>
              <w:t>(Stillhaltefrist)</w:t>
            </w:r>
          </w:p>
        </w:tc>
        <w:tc>
          <w:tcPr>
            <w:tcW w:w="850" w:type="dxa"/>
          </w:tcPr>
          <w:p w14:paraId="312B3CE1" w14:textId="77777777" w:rsidR="007C322F" w:rsidRPr="005A1FCA" w:rsidRDefault="007C322F" w:rsidP="000C19B0">
            <w:pPr>
              <w:jc w:val="center"/>
              <w:rPr>
                <w:rFonts w:ascii="Calibri" w:hAnsi="Calibri" w:cs="Calibri"/>
                <w:sz w:val="22"/>
                <w:szCs w:val="22"/>
                <w:highlight w:val="yellow"/>
              </w:rPr>
            </w:pPr>
          </w:p>
        </w:tc>
        <w:tc>
          <w:tcPr>
            <w:tcW w:w="4536" w:type="dxa"/>
          </w:tcPr>
          <w:p w14:paraId="62CB5EA0" w14:textId="2E7A144B" w:rsidR="007C322F" w:rsidRPr="005A1FCA" w:rsidRDefault="007C322F" w:rsidP="000C19B0">
            <w:pPr>
              <w:shd w:val="clear" w:color="auto" w:fill="FFFFFF"/>
              <w:jc w:val="center"/>
              <w:rPr>
                <w:rFonts w:ascii="Calibri" w:hAnsi="Calibri" w:cs="Calibri"/>
                <w:sz w:val="22"/>
                <w:szCs w:val="22"/>
              </w:rPr>
            </w:pPr>
            <w:r w:rsidRPr="005A1FCA">
              <w:rPr>
                <w:rFonts w:ascii="Calibri" w:hAnsi="Calibri" w:cs="Calibri"/>
                <w:sz w:val="22"/>
                <w:szCs w:val="22"/>
              </w:rPr>
              <w:t>(Termine dilatorio)</w:t>
            </w:r>
          </w:p>
        </w:tc>
      </w:tr>
      <w:tr w:rsidR="00344942" w:rsidRPr="005A1FCA" w14:paraId="41DBFD3A" w14:textId="77777777" w:rsidTr="000C19B0">
        <w:trPr>
          <w:jc w:val="center"/>
        </w:trPr>
        <w:tc>
          <w:tcPr>
            <w:tcW w:w="4253" w:type="dxa"/>
          </w:tcPr>
          <w:p w14:paraId="3B4290CE" w14:textId="77777777" w:rsidR="00344942" w:rsidRPr="005A1FCA" w:rsidRDefault="00344942" w:rsidP="007C322F">
            <w:pPr>
              <w:spacing w:line="240" w:lineRule="exact"/>
              <w:jc w:val="center"/>
              <w:rPr>
                <w:rFonts w:ascii="Calibri" w:hAnsi="Calibri" w:cs="Calibri"/>
                <w:sz w:val="22"/>
                <w:szCs w:val="22"/>
                <w:lang w:eastAsia="de-DE"/>
              </w:rPr>
            </w:pPr>
          </w:p>
        </w:tc>
        <w:tc>
          <w:tcPr>
            <w:tcW w:w="850" w:type="dxa"/>
          </w:tcPr>
          <w:p w14:paraId="03BA1558" w14:textId="77777777" w:rsidR="00344942" w:rsidRPr="005A1FCA" w:rsidRDefault="00344942" w:rsidP="007C322F">
            <w:pPr>
              <w:spacing w:line="240" w:lineRule="exact"/>
              <w:jc w:val="center"/>
              <w:rPr>
                <w:rFonts w:ascii="Calibri" w:hAnsi="Calibri" w:cs="Calibri"/>
                <w:sz w:val="22"/>
                <w:szCs w:val="22"/>
                <w:lang w:eastAsia="de-DE"/>
              </w:rPr>
            </w:pPr>
          </w:p>
        </w:tc>
        <w:tc>
          <w:tcPr>
            <w:tcW w:w="4536" w:type="dxa"/>
          </w:tcPr>
          <w:p w14:paraId="14D170AB" w14:textId="175B8E98" w:rsidR="00344942" w:rsidRPr="005A1FCA" w:rsidRDefault="00344942" w:rsidP="007C322F">
            <w:pPr>
              <w:spacing w:line="240" w:lineRule="exact"/>
              <w:jc w:val="center"/>
              <w:rPr>
                <w:rFonts w:ascii="Calibri" w:hAnsi="Calibri" w:cs="Calibri"/>
                <w:sz w:val="22"/>
                <w:szCs w:val="22"/>
                <w:lang w:eastAsia="de-DE"/>
              </w:rPr>
            </w:pPr>
          </w:p>
        </w:tc>
      </w:tr>
      <w:tr w:rsidR="00344942" w:rsidRPr="005A1FCA" w14:paraId="4E9E4B3E" w14:textId="77777777" w:rsidTr="000C19B0">
        <w:trPr>
          <w:jc w:val="center"/>
        </w:trPr>
        <w:tc>
          <w:tcPr>
            <w:tcW w:w="4253" w:type="dxa"/>
          </w:tcPr>
          <w:p w14:paraId="2F8E813F" w14:textId="77777777" w:rsidR="00344942" w:rsidRPr="005A1FCA" w:rsidRDefault="00344942" w:rsidP="000C19B0">
            <w:pPr>
              <w:shd w:val="clear" w:color="auto" w:fill="FFFFFF"/>
              <w:jc w:val="both"/>
              <w:rPr>
                <w:rFonts w:ascii="Calibri" w:hAnsi="Calibri" w:cs="Calibri"/>
                <w:sz w:val="22"/>
                <w:szCs w:val="22"/>
                <w:lang w:eastAsia="de-DE"/>
              </w:rPr>
            </w:pPr>
            <w:r w:rsidRPr="005A1FCA">
              <w:rPr>
                <w:rFonts w:ascii="Calibri" w:hAnsi="Calibri" w:cs="Calibri"/>
                <w:sz w:val="22"/>
                <w:szCs w:val="22"/>
                <w:lang w:eastAsia="de-DE"/>
              </w:rPr>
              <w:t xml:space="preserve">(1) Der öffentliche Auftraggeber darf den Vertrag nicht vor </w:t>
            </w:r>
            <w:r w:rsidRPr="005A1FCA">
              <w:rPr>
                <w:rFonts w:ascii="Calibri" w:hAnsi="Calibri" w:cs="Calibri"/>
                <w:strike/>
                <w:color w:val="E40000"/>
                <w:sz w:val="22"/>
                <w:szCs w:val="22"/>
                <w:lang w:eastAsia="de-DE"/>
              </w:rPr>
              <w:t xml:space="preserve">35 </w:t>
            </w:r>
            <w:r w:rsidRPr="005A1FCA">
              <w:rPr>
                <w:rFonts w:ascii="Calibri" w:hAnsi="Calibri" w:cs="Calibri"/>
                <w:color w:val="E40000"/>
                <w:sz w:val="22"/>
                <w:szCs w:val="22"/>
                <w:lang w:eastAsia="de-DE"/>
              </w:rPr>
              <w:t xml:space="preserve">32 </w:t>
            </w:r>
            <w:r w:rsidRPr="005A1FCA">
              <w:rPr>
                <w:rFonts w:ascii="Calibri" w:hAnsi="Calibri" w:cs="Calibri"/>
                <w:sz w:val="22"/>
                <w:szCs w:val="22"/>
                <w:lang w:eastAsia="de-DE"/>
              </w:rPr>
              <w:t>Tagen ab dem Datum der Mitteilung der Zuschlagserteilung abschließen, außer es liegen triftige Gründe von besonderer Dringlichkeit vor, die es dem öffentlichen Auftraggeber nicht erlauben, den Ablauf der vorgenannten Frist abzuwarten.</w:t>
            </w:r>
          </w:p>
        </w:tc>
        <w:tc>
          <w:tcPr>
            <w:tcW w:w="850" w:type="dxa"/>
          </w:tcPr>
          <w:p w14:paraId="09012C4D" w14:textId="77777777" w:rsidR="00344942" w:rsidRPr="005A1FCA" w:rsidRDefault="00344942" w:rsidP="000C19B0">
            <w:pPr>
              <w:jc w:val="both"/>
              <w:rPr>
                <w:rFonts w:ascii="Calibri" w:hAnsi="Calibri" w:cs="Calibri"/>
                <w:sz w:val="22"/>
                <w:szCs w:val="22"/>
                <w:highlight w:val="yellow"/>
              </w:rPr>
            </w:pPr>
          </w:p>
        </w:tc>
        <w:tc>
          <w:tcPr>
            <w:tcW w:w="4536" w:type="dxa"/>
          </w:tcPr>
          <w:p w14:paraId="0D0D345B" w14:textId="77777777" w:rsidR="00344942" w:rsidRPr="005A1FCA" w:rsidRDefault="00344942" w:rsidP="000C19B0">
            <w:pPr>
              <w:shd w:val="clear" w:color="auto" w:fill="FFFFFF"/>
              <w:jc w:val="both"/>
              <w:rPr>
                <w:rFonts w:ascii="Calibri" w:hAnsi="Calibri" w:cs="Calibri"/>
                <w:sz w:val="22"/>
                <w:szCs w:val="22"/>
                <w:lang w:val="it-IT"/>
              </w:rPr>
            </w:pPr>
            <w:r w:rsidRPr="005A1FCA">
              <w:rPr>
                <w:rFonts w:ascii="Calibri" w:hAnsi="Calibri" w:cs="Calibri"/>
                <w:sz w:val="22"/>
                <w:szCs w:val="22"/>
                <w:lang w:val="it-IT"/>
              </w:rPr>
              <w:t xml:space="preserve">(1) L’amministrazione aggiudicatrice non può stipulare il contratto prima di </w:t>
            </w:r>
            <w:r w:rsidRPr="005A1FCA">
              <w:rPr>
                <w:rFonts w:ascii="Calibri" w:hAnsi="Calibri" w:cs="Calibri"/>
                <w:strike/>
                <w:color w:val="E40000"/>
                <w:sz w:val="22"/>
                <w:szCs w:val="22"/>
                <w:lang w:val="it-IT"/>
              </w:rPr>
              <w:t>35</w:t>
            </w:r>
            <w:r w:rsidRPr="005A1FCA">
              <w:rPr>
                <w:rFonts w:ascii="Calibri" w:hAnsi="Calibri" w:cs="Calibri"/>
                <w:color w:val="E40000"/>
                <w:sz w:val="22"/>
                <w:szCs w:val="22"/>
                <w:lang w:val="it-IT"/>
              </w:rPr>
              <w:t xml:space="preserve"> 32 </w:t>
            </w:r>
            <w:r w:rsidRPr="005A1FCA">
              <w:rPr>
                <w:rFonts w:ascii="Calibri" w:hAnsi="Calibri" w:cs="Calibri"/>
                <w:sz w:val="22"/>
                <w:szCs w:val="22"/>
                <w:lang w:val="it-IT"/>
              </w:rPr>
              <w:t>giorni dalla data di comunicazione dell’aggiudicazione, salvo motivate ragioni di particolare urgenza che non consentono all’amministrazione aggiudicatrice di attendere il decorso del predetto termine.</w:t>
            </w:r>
          </w:p>
        </w:tc>
      </w:tr>
      <w:tr w:rsidR="00F634AF" w:rsidRPr="005A1FCA" w14:paraId="3F62C55A" w14:textId="77777777" w:rsidTr="000C19B0">
        <w:trPr>
          <w:jc w:val="center"/>
        </w:trPr>
        <w:tc>
          <w:tcPr>
            <w:tcW w:w="9639" w:type="dxa"/>
            <w:gridSpan w:val="3"/>
          </w:tcPr>
          <w:p w14:paraId="5B7C01ED" w14:textId="288F66AA" w:rsidR="00F634AF" w:rsidRPr="005A1FCA" w:rsidRDefault="00F634AF" w:rsidP="00FE7A4A">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tc>
      </w:tr>
    </w:tbl>
    <w:p w14:paraId="4AB78C3E" w14:textId="77777777" w:rsidR="002B032A" w:rsidRPr="005A1FCA" w:rsidRDefault="002B032A" w:rsidP="007C322F">
      <w:pPr>
        <w:jc w:val="center"/>
        <w:rPr>
          <w:rFonts w:ascii="Calibri" w:hAnsi="Calibri" w:cs="Calibri"/>
          <w:sz w:val="22"/>
          <w:szCs w:val="22"/>
          <w:lang w:val="it-IT"/>
        </w:rPr>
      </w:pPr>
    </w:p>
    <w:p w14:paraId="5C781BA3" w14:textId="77777777" w:rsidR="002B032A" w:rsidRPr="005A1FCA" w:rsidRDefault="002B032A" w:rsidP="002B032A">
      <w:pPr>
        <w:jc w:val="center"/>
        <w:rPr>
          <w:rFonts w:ascii="Calibri" w:hAnsi="Calibri" w:cs="Calibri"/>
          <w:b/>
          <w:bCs/>
          <w:i/>
          <w:iCs/>
          <w:sz w:val="22"/>
          <w:szCs w:val="22"/>
          <w:lang w:val="it-IT"/>
        </w:rPr>
      </w:pPr>
    </w:p>
    <w:tbl>
      <w:tblPr>
        <w:tblW w:w="9639" w:type="dxa"/>
        <w:jc w:val="center"/>
        <w:tblLayout w:type="fixed"/>
        <w:tblCellMar>
          <w:left w:w="71" w:type="dxa"/>
          <w:right w:w="71" w:type="dxa"/>
        </w:tblCellMar>
        <w:tblLook w:val="0000" w:firstRow="0" w:lastRow="0" w:firstColumn="0" w:lastColumn="0" w:noHBand="0" w:noVBand="0"/>
      </w:tblPr>
      <w:tblGrid>
        <w:gridCol w:w="4253"/>
        <w:gridCol w:w="850"/>
        <w:gridCol w:w="4536"/>
      </w:tblGrid>
      <w:tr w:rsidR="002B032A" w:rsidRPr="005A1FCA" w14:paraId="30646DFA" w14:textId="77777777" w:rsidTr="000C19B0">
        <w:trPr>
          <w:jc w:val="center"/>
        </w:trPr>
        <w:tc>
          <w:tcPr>
            <w:tcW w:w="4253" w:type="dxa"/>
          </w:tcPr>
          <w:p w14:paraId="0B99C077" w14:textId="6CA8E9D4" w:rsidR="002B032A" w:rsidRPr="005A1FCA" w:rsidRDefault="002B032A" w:rsidP="007C322F">
            <w:pPr>
              <w:jc w:val="center"/>
              <w:rPr>
                <w:rFonts w:ascii="Calibri" w:hAnsi="Calibri" w:cs="Calibri"/>
                <w:b/>
                <w:bCs/>
                <w:sz w:val="22"/>
                <w:szCs w:val="22"/>
                <w:lang w:eastAsia="de-DE"/>
              </w:rPr>
            </w:pPr>
            <w:r w:rsidRPr="005A1FCA">
              <w:rPr>
                <w:rFonts w:ascii="Calibri" w:hAnsi="Calibri" w:cs="Calibri"/>
                <w:b/>
                <w:bCs/>
                <w:sz w:val="22"/>
                <w:szCs w:val="22"/>
                <w:lang w:eastAsia="de-DE"/>
              </w:rPr>
              <w:t>Art. 47</w:t>
            </w:r>
          </w:p>
        </w:tc>
        <w:tc>
          <w:tcPr>
            <w:tcW w:w="850" w:type="dxa"/>
          </w:tcPr>
          <w:p w14:paraId="24795A04" w14:textId="77777777" w:rsidR="002B032A" w:rsidRPr="005A1FCA" w:rsidRDefault="002B032A" w:rsidP="000C19B0">
            <w:pPr>
              <w:jc w:val="center"/>
              <w:rPr>
                <w:rFonts w:ascii="Calibri" w:hAnsi="Calibri" w:cs="Calibri"/>
                <w:b/>
                <w:bCs/>
                <w:sz w:val="22"/>
                <w:szCs w:val="22"/>
                <w:highlight w:val="yellow"/>
                <w:lang w:val="it-IT"/>
              </w:rPr>
            </w:pPr>
          </w:p>
        </w:tc>
        <w:tc>
          <w:tcPr>
            <w:tcW w:w="4536" w:type="dxa"/>
          </w:tcPr>
          <w:p w14:paraId="4D50D0BB" w14:textId="271F485A" w:rsidR="002B032A" w:rsidRPr="005A1FCA" w:rsidRDefault="002B032A" w:rsidP="007C322F">
            <w:pPr>
              <w:shd w:val="clear" w:color="auto" w:fill="FFFFFF"/>
              <w:jc w:val="center"/>
              <w:rPr>
                <w:rFonts w:ascii="Calibri" w:hAnsi="Calibri" w:cs="Calibri"/>
                <w:b/>
                <w:bCs/>
                <w:sz w:val="22"/>
                <w:szCs w:val="22"/>
              </w:rPr>
            </w:pPr>
            <w:r w:rsidRPr="005A1FCA">
              <w:rPr>
                <w:rFonts w:ascii="Calibri" w:hAnsi="Calibri" w:cs="Calibri"/>
                <w:b/>
                <w:bCs/>
                <w:sz w:val="22"/>
                <w:szCs w:val="22"/>
              </w:rPr>
              <w:t xml:space="preserve">Art. 47 </w:t>
            </w:r>
          </w:p>
        </w:tc>
      </w:tr>
      <w:tr w:rsidR="007C322F" w:rsidRPr="005A1FCA" w14:paraId="07D93E2A" w14:textId="77777777" w:rsidTr="000C19B0">
        <w:trPr>
          <w:jc w:val="center"/>
        </w:trPr>
        <w:tc>
          <w:tcPr>
            <w:tcW w:w="4253" w:type="dxa"/>
          </w:tcPr>
          <w:p w14:paraId="53BB8605" w14:textId="1F35C3E5" w:rsidR="007C322F" w:rsidRPr="005A1FCA" w:rsidRDefault="007C322F" w:rsidP="000C19B0">
            <w:pPr>
              <w:jc w:val="center"/>
              <w:rPr>
                <w:rFonts w:ascii="Calibri" w:hAnsi="Calibri" w:cs="Calibri"/>
                <w:sz w:val="22"/>
                <w:szCs w:val="22"/>
                <w:lang w:eastAsia="de-DE"/>
              </w:rPr>
            </w:pPr>
            <w:r w:rsidRPr="005A1FCA">
              <w:rPr>
                <w:rFonts w:ascii="Calibri" w:hAnsi="Calibri" w:cs="Calibri"/>
                <w:sz w:val="22"/>
                <w:szCs w:val="22"/>
                <w:lang w:eastAsia="de-DE"/>
              </w:rPr>
              <w:t>(Bauaufträge)</w:t>
            </w:r>
          </w:p>
        </w:tc>
        <w:tc>
          <w:tcPr>
            <w:tcW w:w="850" w:type="dxa"/>
          </w:tcPr>
          <w:p w14:paraId="5C114E3F" w14:textId="77777777" w:rsidR="007C322F" w:rsidRPr="005A1FCA" w:rsidRDefault="007C322F" w:rsidP="000C19B0">
            <w:pPr>
              <w:jc w:val="center"/>
              <w:rPr>
                <w:rFonts w:ascii="Calibri" w:hAnsi="Calibri" w:cs="Calibri"/>
                <w:sz w:val="22"/>
                <w:szCs w:val="22"/>
                <w:highlight w:val="yellow"/>
                <w:lang w:val="it-IT"/>
              </w:rPr>
            </w:pPr>
          </w:p>
        </w:tc>
        <w:tc>
          <w:tcPr>
            <w:tcW w:w="4536" w:type="dxa"/>
          </w:tcPr>
          <w:p w14:paraId="1EF3BE53" w14:textId="29B5969C" w:rsidR="007C322F" w:rsidRPr="005A1FCA" w:rsidRDefault="007C322F" w:rsidP="000C19B0">
            <w:pPr>
              <w:shd w:val="clear" w:color="auto" w:fill="FFFFFF"/>
              <w:jc w:val="center"/>
              <w:rPr>
                <w:rFonts w:ascii="Calibri" w:hAnsi="Calibri" w:cs="Calibri"/>
                <w:sz w:val="22"/>
                <w:szCs w:val="22"/>
              </w:rPr>
            </w:pPr>
            <w:r w:rsidRPr="005A1FCA">
              <w:rPr>
                <w:rFonts w:ascii="Calibri" w:hAnsi="Calibri" w:cs="Calibri"/>
                <w:sz w:val="22"/>
                <w:szCs w:val="22"/>
              </w:rPr>
              <w:t>(Appalti di lavori)</w:t>
            </w:r>
          </w:p>
        </w:tc>
      </w:tr>
      <w:tr w:rsidR="002B032A" w:rsidRPr="005A1FCA" w14:paraId="57F8087D" w14:textId="77777777" w:rsidTr="000C19B0">
        <w:trPr>
          <w:jc w:val="center"/>
        </w:trPr>
        <w:tc>
          <w:tcPr>
            <w:tcW w:w="4253" w:type="dxa"/>
          </w:tcPr>
          <w:p w14:paraId="17DBD3B5" w14:textId="77777777" w:rsidR="002B032A" w:rsidRPr="005A1FCA" w:rsidRDefault="002B032A" w:rsidP="000C19B0">
            <w:pPr>
              <w:spacing w:line="240" w:lineRule="exact"/>
              <w:jc w:val="center"/>
              <w:rPr>
                <w:rFonts w:ascii="Calibri" w:hAnsi="Calibri" w:cs="Calibri"/>
                <w:sz w:val="22"/>
                <w:szCs w:val="22"/>
                <w:lang w:eastAsia="de-DE"/>
              </w:rPr>
            </w:pPr>
          </w:p>
        </w:tc>
        <w:tc>
          <w:tcPr>
            <w:tcW w:w="850" w:type="dxa"/>
          </w:tcPr>
          <w:p w14:paraId="67558FF5" w14:textId="77777777" w:rsidR="002B032A" w:rsidRPr="005A1FCA" w:rsidRDefault="002B032A" w:rsidP="000C19B0">
            <w:pPr>
              <w:spacing w:line="240" w:lineRule="exact"/>
              <w:jc w:val="center"/>
              <w:rPr>
                <w:rFonts w:ascii="Calibri" w:hAnsi="Calibri" w:cs="Calibri"/>
                <w:sz w:val="22"/>
                <w:szCs w:val="22"/>
                <w:lang w:eastAsia="de-DE"/>
              </w:rPr>
            </w:pPr>
          </w:p>
        </w:tc>
        <w:tc>
          <w:tcPr>
            <w:tcW w:w="4536" w:type="dxa"/>
          </w:tcPr>
          <w:p w14:paraId="5880959A" w14:textId="77777777" w:rsidR="002B032A" w:rsidRPr="005A1FCA" w:rsidRDefault="002B032A" w:rsidP="000C19B0">
            <w:pPr>
              <w:spacing w:line="240" w:lineRule="exact"/>
              <w:jc w:val="center"/>
              <w:rPr>
                <w:rFonts w:ascii="Calibri" w:hAnsi="Calibri" w:cs="Calibri"/>
                <w:sz w:val="22"/>
                <w:szCs w:val="22"/>
                <w:lang w:eastAsia="de-DE"/>
              </w:rPr>
            </w:pPr>
          </w:p>
        </w:tc>
      </w:tr>
      <w:tr w:rsidR="002B032A" w:rsidRPr="005A1FCA" w14:paraId="28A494CD" w14:textId="77777777" w:rsidTr="000C19B0">
        <w:trPr>
          <w:jc w:val="center"/>
        </w:trPr>
        <w:tc>
          <w:tcPr>
            <w:tcW w:w="4253" w:type="dxa"/>
          </w:tcPr>
          <w:p w14:paraId="616A918E" w14:textId="77777777" w:rsidR="002B032A" w:rsidRPr="005A1FCA" w:rsidRDefault="002B032A" w:rsidP="000C19B0">
            <w:pPr>
              <w:shd w:val="clear" w:color="auto" w:fill="FFFFFF"/>
              <w:jc w:val="both"/>
              <w:rPr>
                <w:rFonts w:ascii="Calibri" w:hAnsi="Calibri" w:cs="Calibri"/>
                <w:sz w:val="22"/>
                <w:szCs w:val="22"/>
                <w:lang w:eastAsia="de-DE"/>
              </w:rPr>
            </w:pPr>
            <w:r w:rsidRPr="005A1FCA">
              <w:rPr>
                <w:rFonts w:ascii="Calibri" w:hAnsi="Calibri" w:cs="Calibri"/>
                <w:sz w:val="22"/>
                <w:szCs w:val="22"/>
                <w:lang w:eastAsia="de-DE"/>
              </w:rPr>
              <w:t xml:space="preserve">(1) Die Verträge für öffentliche Bauaufträge können pauschal oder auf Maß oder zum Teil pauschal und zum Teil auf Maß abgeschlossen werden. </w:t>
            </w:r>
            <w:r w:rsidRPr="005A1FCA">
              <w:rPr>
                <w:rFonts w:ascii="Calibri" w:hAnsi="Calibri" w:cs="Calibri"/>
                <w:strike/>
                <w:color w:val="E40000"/>
                <w:sz w:val="22"/>
                <w:szCs w:val="22"/>
                <w:lang w:eastAsia="de-DE"/>
              </w:rPr>
              <w:t>Die entsprechende Entscheidung trifft der/die einzige Projektverantwortliche</w:t>
            </w:r>
            <w:r w:rsidRPr="005A1FCA">
              <w:rPr>
                <w:rFonts w:ascii="Calibri" w:hAnsi="Calibri" w:cs="Calibri"/>
                <w:color w:val="E40000"/>
                <w:sz w:val="22"/>
                <w:szCs w:val="22"/>
                <w:lang w:eastAsia="de-DE"/>
              </w:rPr>
              <w:t>.</w:t>
            </w:r>
            <w:r w:rsidRPr="005A1FCA">
              <w:rPr>
                <w:rFonts w:ascii="Calibri" w:hAnsi="Calibri" w:cs="Calibri"/>
                <w:color w:val="E40000"/>
                <w:sz w:val="22"/>
                <w:szCs w:val="22"/>
              </w:rPr>
              <w:t xml:space="preserve"> Der/Die EPV kann auf einen Pauschalauftrag zurückgreifen, wobei diese Entscheidung ausdrücklich aufgrund der spezifischen Merkmale des Bauwerks oder der Arbeiten zu begründen ist.</w:t>
            </w:r>
          </w:p>
        </w:tc>
        <w:tc>
          <w:tcPr>
            <w:tcW w:w="850" w:type="dxa"/>
          </w:tcPr>
          <w:p w14:paraId="505ECEE0" w14:textId="77777777" w:rsidR="002B032A" w:rsidRPr="005A1FCA" w:rsidRDefault="002B032A" w:rsidP="000C19B0">
            <w:pPr>
              <w:jc w:val="both"/>
              <w:rPr>
                <w:rFonts w:ascii="Calibri" w:hAnsi="Calibri" w:cs="Calibri"/>
                <w:sz w:val="22"/>
                <w:szCs w:val="22"/>
                <w:highlight w:val="yellow"/>
              </w:rPr>
            </w:pPr>
          </w:p>
        </w:tc>
        <w:tc>
          <w:tcPr>
            <w:tcW w:w="4536" w:type="dxa"/>
          </w:tcPr>
          <w:p w14:paraId="60333C7E" w14:textId="77777777" w:rsidR="002B032A" w:rsidRPr="005A1FCA" w:rsidRDefault="002B032A" w:rsidP="000C19B0">
            <w:pPr>
              <w:jc w:val="both"/>
              <w:rPr>
                <w:rFonts w:ascii="Calibri" w:hAnsi="Calibri" w:cs="Calibri"/>
                <w:color w:val="E40000"/>
                <w:sz w:val="22"/>
                <w:szCs w:val="22"/>
                <w:lang w:val="it-IT"/>
              </w:rPr>
            </w:pPr>
            <w:r w:rsidRPr="005A1FCA">
              <w:rPr>
                <w:rFonts w:ascii="Calibri" w:hAnsi="Calibri" w:cs="Calibri"/>
                <w:sz w:val="22"/>
                <w:szCs w:val="22"/>
                <w:lang w:val="it-IT"/>
              </w:rPr>
              <w:t xml:space="preserve">(1) </w:t>
            </w:r>
            <w:r w:rsidRPr="005A1FCA">
              <w:rPr>
                <w:rFonts w:ascii="Calibri" w:hAnsi="Calibri" w:cs="Calibri"/>
                <w:color w:val="000000"/>
                <w:sz w:val="22"/>
                <w:szCs w:val="22"/>
                <w:lang w:val="it-IT"/>
              </w:rPr>
              <w:t xml:space="preserve">I contratti per lavori pubblici possono essere stipulati a corpo o a misura ovvero parte a corpo e parte a misura. </w:t>
            </w:r>
            <w:r w:rsidRPr="005A1FCA">
              <w:rPr>
                <w:rFonts w:ascii="Calibri" w:hAnsi="Calibri" w:cs="Calibri"/>
                <w:strike/>
                <w:color w:val="E40000"/>
                <w:sz w:val="22"/>
                <w:szCs w:val="22"/>
                <w:lang w:val="it-IT"/>
              </w:rPr>
              <w:t xml:space="preserve">La relativa decisione spetta al/alla RUP. </w:t>
            </w:r>
            <w:r w:rsidRPr="005A1FCA">
              <w:rPr>
                <w:rFonts w:ascii="Calibri" w:hAnsi="Calibri" w:cs="Calibri"/>
                <w:color w:val="E40000"/>
                <w:sz w:val="22"/>
                <w:szCs w:val="22"/>
                <w:lang w:val="it-IT"/>
              </w:rPr>
              <w:t>Il/la RUP può ricorrere all’appalto a corpo, motivando espressamente tale scelta in base alle caratteristiche specifiche dell’opera o del lavoro.</w:t>
            </w:r>
          </w:p>
        </w:tc>
      </w:tr>
    </w:tbl>
    <w:p w14:paraId="14277F24" w14:textId="77777777" w:rsidR="00C27B1C" w:rsidRPr="005A1FCA" w:rsidRDefault="00C27B1C" w:rsidP="007C322F">
      <w:pPr>
        <w:jc w:val="center"/>
        <w:rPr>
          <w:rFonts w:ascii="Calibri" w:hAnsi="Calibri" w:cs="Calibri"/>
          <w:sz w:val="22"/>
          <w:szCs w:val="22"/>
          <w:lang w:val="it-IT"/>
        </w:rPr>
      </w:pPr>
    </w:p>
    <w:p w14:paraId="5C35D1D4" w14:textId="77777777" w:rsidR="00C27B1C" w:rsidRPr="005A1FCA" w:rsidRDefault="00C27B1C" w:rsidP="00C27B1C">
      <w:pPr>
        <w:jc w:val="center"/>
        <w:rPr>
          <w:rFonts w:ascii="Calibri" w:hAnsi="Calibri" w:cs="Calibri"/>
          <w:b/>
          <w:bCs/>
          <w:i/>
          <w:iCs/>
          <w:sz w:val="22"/>
          <w:szCs w:val="22"/>
          <w:lang w:val="it-IT"/>
        </w:rPr>
      </w:pPr>
    </w:p>
    <w:tbl>
      <w:tblPr>
        <w:tblW w:w="9673" w:type="dxa"/>
        <w:jc w:val="center"/>
        <w:tblLayout w:type="fixed"/>
        <w:tblCellMar>
          <w:left w:w="71" w:type="dxa"/>
          <w:right w:w="71" w:type="dxa"/>
        </w:tblCellMar>
        <w:tblLook w:val="0000" w:firstRow="0" w:lastRow="0" w:firstColumn="0" w:lastColumn="0" w:noHBand="0" w:noVBand="0"/>
      </w:tblPr>
      <w:tblGrid>
        <w:gridCol w:w="4395"/>
        <w:gridCol w:w="708"/>
        <w:gridCol w:w="28"/>
        <w:gridCol w:w="4508"/>
        <w:gridCol w:w="34"/>
      </w:tblGrid>
      <w:tr w:rsidR="002431BF" w:rsidRPr="005A1FCA" w14:paraId="6C5B18A0" w14:textId="77777777" w:rsidTr="00FB0217">
        <w:trPr>
          <w:gridAfter w:val="1"/>
          <w:wAfter w:w="34" w:type="dxa"/>
          <w:jc w:val="center"/>
        </w:trPr>
        <w:tc>
          <w:tcPr>
            <w:tcW w:w="4395" w:type="dxa"/>
          </w:tcPr>
          <w:p w14:paraId="07D40A81" w14:textId="7D416796" w:rsidR="002431BF" w:rsidRPr="005A1FCA" w:rsidRDefault="002431BF" w:rsidP="007C322F">
            <w:pPr>
              <w:spacing w:line="240" w:lineRule="exact"/>
              <w:jc w:val="center"/>
              <w:rPr>
                <w:rFonts w:ascii="Calibri" w:hAnsi="Calibri" w:cs="Calibri"/>
                <w:b/>
                <w:bCs/>
                <w:sz w:val="22"/>
                <w:szCs w:val="22"/>
                <w:lang w:eastAsia="de-DE"/>
              </w:rPr>
            </w:pPr>
            <w:r w:rsidRPr="005A1FCA">
              <w:rPr>
                <w:rFonts w:ascii="Calibri" w:hAnsi="Calibri" w:cs="Calibri"/>
                <w:b/>
                <w:bCs/>
                <w:sz w:val="22"/>
                <w:szCs w:val="22"/>
                <w:lang w:eastAsia="de-DE"/>
              </w:rPr>
              <w:t>Art. 48</w:t>
            </w:r>
          </w:p>
        </w:tc>
        <w:tc>
          <w:tcPr>
            <w:tcW w:w="708" w:type="dxa"/>
          </w:tcPr>
          <w:p w14:paraId="6CA3B6B3" w14:textId="77777777" w:rsidR="002431BF" w:rsidRPr="005A1FCA" w:rsidRDefault="002431BF" w:rsidP="000C19B0">
            <w:pPr>
              <w:jc w:val="both"/>
              <w:rPr>
                <w:rFonts w:ascii="Calibri" w:hAnsi="Calibri" w:cs="Calibri"/>
                <w:b/>
                <w:bCs/>
                <w:sz w:val="22"/>
                <w:szCs w:val="22"/>
              </w:rPr>
            </w:pPr>
          </w:p>
        </w:tc>
        <w:tc>
          <w:tcPr>
            <w:tcW w:w="4536" w:type="dxa"/>
            <w:gridSpan w:val="2"/>
          </w:tcPr>
          <w:p w14:paraId="5462C637" w14:textId="512FDBBA" w:rsidR="002431BF" w:rsidRPr="005A1FCA" w:rsidRDefault="002431BF" w:rsidP="007C322F">
            <w:pPr>
              <w:pStyle w:val="western"/>
              <w:spacing w:before="0" w:beforeAutospacing="0" w:after="0" w:line="240" w:lineRule="exact"/>
              <w:jc w:val="center"/>
              <w:rPr>
                <w:rFonts w:ascii="Calibri" w:hAnsi="Calibri" w:cs="Calibri"/>
                <w:b/>
                <w:bCs/>
                <w:color w:val="auto"/>
                <w:sz w:val="22"/>
                <w:szCs w:val="22"/>
                <w:lang w:val="it-IT"/>
              </w:rPr>
            </w:pPr>
            <w:r w:rsidRPr="005A1FCA">
              <w:rPr>
                <w:rFonts w:ascii="Calibri" w:hAnsi="Calibri" w:cs="Calibri"/>
                <w:b/>
                <w:bCs/>
                <w:color w:val="auto"/>
                <w:sz w:val="22"/>
                <w:szCs w:val="22"/>
                <w:lang w:val="it-IT"/>
              </w:rPr>
              <w:t>Art. 48</w:t>
            </w:r>
          </w:p>
        </w:tc>
      </w:tr>
      <w:tr w:rsidR="007C322F" w:rsidRPr="005A1FCA" w14:paraId="18DCDFA8" w14:textId="77777777" w:rsidTr="00FB0217">
        <w:trPr>
          <w:gridAfter w:val="1"/>
          <w:wAfter w:w="34" w:type="dxa"/>
          <w:jc w:val="center"/>
        </w:trPr>
        <w:tc>
          <w:tcPr>
            <w:tcW w:w="4395" w:type="dxa"/>
          </w:tcPr>
          <w:p w14:paraId="7E8443DF" w14:textId="647BD258" w:rsidR="007C322F" w:rsidRPr="005A1FCA" w:rsidRDefault="007C322F" w:rsidP="000C19B0">
            <w:pPr>
              <w:spacing w:line="240" w:lineRule="exact"/>
              <w:jc w:val="center"/>
              <w:rPr>
                <w:rFonts w:ascii="Calibri" w:hAnsi="Calibri" w:cs="Calibri"/>
                <w:sz w:val="22"/>
                <w:szCs w:val="22"/>
                <w:lang w:eastAsia="de-DE"/>
              </w:rPr>
            </w:pPr>
            <w:r w:rsidRPr="005A1FCA">
              <w:rPr>
                <w:rFonts w:ascii="Calibri" w:hAnsi="Calibri" w:cs="Calibri"/>
                <w:sz w:val="22"/>
                <w:szCs w:val="22"/>
                <w:lang w:eastAsia="de-DE"/>
              </w:rPr>
              <w:t>(Änderung von laufenden Verträgen)</w:t>
            </w:r>
          </w:p>
        </w:tc>
        <w:tc>
          <w:tcPr>
            <w:tcW w:w="708" w:type="dxa"/>
          </w:tcPr>
          <w:p w14:paraId="332CCE0E" w14:textId="77777777" w:rsidR="007C322F" w:rsidRPr="005A1FCA" w:rsidRDefault="007C322F" w:rsidP="000C19B0">
            <w:pPr>
              <w:jc w:val="both"/>
              <w:rPr>
                <w:rFonts w:ascii="Calibri" w:hAnsi="Calibri" w:cs="Calibri"/>
                <w:sz w:val="22"/>
                <w:szCs w:val="22"/>
              </w:rPr>
            </w:pPr>
          </w:p>
        </w:tc>
        <w:tc>
          <w:tcPr>
            <w:tcW w:w="4536" w:type="dxa"/>
            <w:gridSpan w:val="2"/>
          </w:tcPr>
          <w:p w14:paraId="58E9B54B" w14:textId="2E93FAA3" w:rsidR="007C322F" w:rsidRPr="005A1FCA" w:rsidRDefault="007C322F" w:rsidP="000C19B0">
            <w:pPr>
              <w:pStyle w:val="western"/>
              <w:spacing w:before="0" w:beforeAutospacing="0" w:after="0" w:line="240" w:lineRule="exact"/>
              <w:jc w:val="center"/>
              <w:rPr>
                <w:rFonts w:ascii="Calibri" w:hAnsi="Calibri" w:cs="Calibri"/>
                <w:color w:val="auto"/>
                <w:sz w:val="22"/>
                <w:szCs w:val="22"/>
                <w:lang w:val="it-IT"/>
              </w:rPr>
            </w:pPr>
            <w:r w:rsidRPr="005A1FCA">
              <w:rPr>
                <w:rFonts w:ascii="Calibri" w:hAnsi="Calibri" w:cs="Calibri"/>
                <w:color w:val="auto"/>
                <w:sz w:val="22"/>
                <w:szCs w:val="22"/>
                <w:lang w:val="it-IT"/>
              </w:rPr>
              <w:t>(Modifica dei contratti in corso di esecuzione)</w:t>
            </w:r>
          </w:p>
        </w:tc>
      </w:tr>
      <w:tr w:rsidR="002431BF" w:rsidRPr="005A1FCA" w14:paraId="77380085" w14:textId="77777777" w:rsidTr="00FB0217">
        <w:trPr>
          <w:gridAfter w:val="1"/>
          <w:wAfter w:w="34" w:type="dxa"/>
          <w:jc w:val="center"/>
        </w:trPr>
        <w:tc>
          <w:tcPr>
            <w:tcW w:w="4395" w:type="dxa"/>
          </w:tcPr>
          <w:p w14:paraId="7DCC9A7F" w14:textId="77777777" w:rsidR="002431BF" w:rsidRPr="005A1FCA" w:rsidRDefault="002431BF" w:rsidP="000C19B0">
            <w:pPr>
              <w:spacing w:line="240" w:lineRule="exact"/>
              <w:jc w:val="center"/>
              <w:rPr>
                <w:rFonts w:ascii="Calibri" w:hAnsi="Calibri" w:cs="Calibri"/>
                <w:sz w:val="22"/>
                <w:szCs w:val="22"/>
                <w:lang w:val="it-IT" w:eastAsia="de-DE"/>
              </w:rPr>
            </w:pPr>
          </w:p>
        </w:tc>
        <w:tc>
          <w:tcPr>
            <w:tcW w:w="708" w:type="dxa"/>
          </w:tcPr>
          <w:p w14:paraId="2D4FFB64" w14:textId="77777777" w:rsidR="002431BF" w:rsidRPr="005A1FCA" w:rsidRDefault="002431BF" w:rsidP="000C19B0">
            <w:pPr>
              <w:jc w:val="both"/>
              <w:rPr>
                <w:rFonts w:ascii="Calibri" w:hAnsi="Calibri" w:cs="Calibri"/>
                <w:sz w:val="22"/>
                <w:szCs w:val="22"/>
                <w:highlight w:val="yellow"/>
                <w:lang w:val="it-IT"/>
              </w:rPr>
            </w:pPr>
          </w:p>
        </w:tc>
        <w:tc>
          <w:tcPr>
            <w:tcW w:w="4536" w:type="dxa"/>
            <w:gridSpan w:val="2"/>
          </w:tcPr>
          <w:p w14:paraId="706BEB8A" w14:textId="77777777" w:rsidR="002431BF" w:rsidRPr="005A1FCA" w:rsidRDefault="002431BF" w:rsidP="000C19B0">
            <w:pPr>
              <w:pStyle w:val="western"/>
              <w:spacing w:before="0" w:beforeAutospacing="0" w:after="0" w:line="240" w:lineRule="exact"/>
              <w:jc w:val="center"/>
              <w:rPr>
                <w:rFonts w:ascii="Calibri" w:hAnsi="Calibri" w:cs="Calibri"/>
                <w:color w:val="auto"/>
                <w:sz w:val="22"/>
                <w:szCs w:val="22"/>
                <w:lang w:val="it-IT"/>
              </w:rPr>
            </w:pPr>
          </w:p>
        </w:tc>
      </w:tr>
      <w:tr w:rsidR="00F634AF" w:rsidRPr="005A1FCA" w14:paraId="4D52FDEE" w14:textId="77777777" w:rsidTr="00FB0217">
        <w:trPr>
          <w:gridAfter w:val="1"/>
          <w:wAfter w:w="34" w:type="dxa"/>
          <w:jc w:val="center"/>
        </w:trPr>
        <w:tc>
          <w:tcPr>
            <w:tcW w:w="9639" w:type="dxa"/>
            <w:gridSpan w:val="4"/>
          </w:tcPr>
          <w:p w14:paraId="4A4BC2DD" w14:textId="77777777" w:rsidR="00F634AF" w:rsidRPr="005A1FCA" w:rsidRDefault="00F634AF" w:rsidP="000C19B0">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p w14:paraId="577F6503" w14:textId="77777777" w:rsidR="00F634AF" w:rsidRPr="005A1FCA" w:rsidRDefault="00F634AF" w:rsidP="000C19B0">
            <w:pPr>
              <w:jc w:val="center"/>
              <w:rPr>
                <w:rFonts w:ascii="Calibri" w:hAnsi="Calibri" w:cs="Calibri"/>
                <w:b/>
                <w:bCs/>
                <w:i/>
                <w:iCs/>
                <w:sz w:val="22"/>
                <w:szCs w:val="22"/>
                <w:lang w:val="it-IT"/>
              </w:rPr>
            </w:pPr>
          </w:p>
        </w:tc>
      </w:tr>
      <w:tr w:rsidR="002431BF" w:rsidRPr="005A1FCA" w14:paraId="3F223200" w14:textId="77777777" w:rsidTr="00FB0217">
        <w:trPr>
          <w:gridAfter w:val="1"/>
          <w:wAfter w:w="34" w:type="dxa"/>
          <w:jc w:val="center"/>
        </w:trPr>
        <w:tc>
          <w:tcPr>
            <w:tcW w:w="4395" w:type="dxa"/>
          </w:tcPr>
          <w:p w14:paraId="4A79D005" w14:textId="1A26B7BB" w:rsidR="002431BF" w:rsidRPr="005A1FCA" w:rsidRDefault="002431BF" w:rsidP="00F634AF">
            <w:pPr>
              <w:pStyle w:val="Listenabsatz"/>
              <w:autoSpaceDE w:val="0"/>
              <w:autoSpaceDN w:val="0"/>
              <w:adjustRightInd w:val="0"/>
              <w:ind w:left="77"/>
              <w:jc w:val="both"/>
              <w:rPr>
                <w:rFonts w:ascii="Calibri" w:eastAsiaTheme="minorEastAsia" w:hAnsi="Calibri" w:cs="Calibri"/>
                <w:strike/>
                <w:color w:val="E40000"/>
                <w:sz w:val="22"/>
                <w:szCs w:val="22"/>
                <w:lang w:eastAsia="de-DE"/>
              </w:rPr>
            </w:pPr>
            <w:r w:rsidRPr="005A1FCA">
              <w:rPr>
                <w:rFonts w:ascii="Calibri" w:eastAsiaTheme="minorEastAsia" w:hAnsi="Calibri" w:cs="Calibri"/>
                <w:strike/>
                <w:color w:val="E40000"/>
                <w:sz w:val="22"/>
                <w:szCs w:val="22"/>
                <w:lang w:eastAsia="de-DE"/>
              </w:rPr>
              <w:t>c) bei Varianten während der Ausführung, bei denen es sich um Änderungen handelt, die im Zuge der Vertragsausführung, aufgrund von für die Vergabestelle unvorhersehbaren Umständen, erforderlich geworden sind. Unter diese Umstände fallen neue Gesetzes- oder Verordnungsbestimmungen oder Verwaltungsmaßnahmen von Behörden oder Einrichtungen, die für den Schutz von wesentlichen Interessen verantwortlich sind,</w:t>
            </w:r>
          </w:p>
          <w:p w14:paraId="3E2E37BE" w14:textId="77777777" w:rsidR="002431BF" w:rsidRPr="005A1FCA" w:rsidRDefault="002431BF" w:rsidP="000C19B0">
            <w:pPr>
              <w:pStyle w:val="Listenabsatz"/>
              <w:autoSpaceDE w:val="0"/>
              <w:autoSpaceDN w:val="0"/>
              <w:adjustRightInd w:val="0"/>
              <w:ind w:left="493"/>
              <w:jc w:val="both"/>
              <w:rPr>
                <w:rFonts w:ascii="Calibri" w:eastAsiaTheme="minorEastAsia" w:hAnsi="Calibri" w:cs="Calibri"/>
                <w:strike/>
                <w:color w:val="E40000"/>
                <w:sz w:val="22"/>
                <w:szCs w:val="22"/>
                <w:lang w:eastAsia="de-DE"/>
              </w:rPr>
            </w:pPr>
          </w:p>
        </w:tc>
        <w:tc>
          <w:tcPr>
            <w:tcW w:w="708" w:type="dxa"/>
          </w:tcPr>
          <w:p w14:paraId="0E1D4B65" w14:textId="77777777" w:rsidR="002431BF" w:rsidRPr="005A1FCA" w:rsidRDefault="002431BF" w:rsidP="000C19B0">
            <w:pPr>
              <w:jc w:val="both"/>
              <w:rPr>
                <w:rFonts w:ascii="Calibri" w:hAnsi="Calibri" w:cs="Calibri"/>
                <w:color w:val="E40000"/>
                <w:sz w:val="22"/>
                <w:szCs w:val="22"/>
              </w:rPr>
            </w:pPr>
          </w:p>
        </w:tc>
        <w:tc>
          <w:tcPr>
            <w:tcW w:w="4536" w:type="dxa"/>
            <w:gridSpan w:val="2"/>
          </w:tcPr>
          <w:p w14:paraId="14E20D3A" w14:textId="536C7DAF" w:rsidR="002431BF" w:rsidRPr="005A1FCA" w:rsidRDefault="002431BF" w:rsidP="00F634AF">
            <w:pPr>
              <w:pStyle w:val="Listenabsatz"/>
              <w:autoSpaceDE w:val="0"/>
              <w:autoSpaceDN w:val="0"/>
              <w:adjustRightInd w:val="0"/>
              <w:ind w:left="69" w:hanging="69"/>
              <w:jc w:val="both"/>
              <w:rPr>
                <w:rFonts w:ascii="Calibri" w:hAnsi="Calibri" w:cs="Calibri"/>
                <w:color w:val="E40000"/>
                <w:sz w:val="22"/>
                <w:szCs w:val="22"/>
                <w:lang w:val="it-IT"/>
              </w:rPr>
            </w:pPr>
            <w:r w:rsidRPr="005A1FCA">
              <w:rPr>
                <w:rFonts w:ascii="Calibri" w:eastAsiaTheme="minorEastAsia" w:hAnsi="Calibri" w:cs="Calibri"/>
                <w:strike/>
                <w:color w:val="E40000"/>
                <w:sz w:val="22"/>
                <w:szCs w:val="22"/>
                <w:lang w:val="it-IT" w:eastAsia="de-DE"/>
              </w:rPr>
              <w:t>c) per le varianti in corso d’opera, da intendersi come modifiche resesi necessarie in corso di esecuzione dell’appalto per effetto di circostanze imprevedibili da parte della stazione appaltante.</w:t>
            </w:r>
            <w:r w:rsidRPr="005A1FCA">
              <w:rPr>
                <w:rFonts w:ascii="Calibri" w:eastAsiaTheme="minorEastAsia" w:hAnsi="Calibri" w:cs="Calibri"/>
                <w:color w:val="E40000"/>
                <w:sz w:val="22"/>
                <w:szCs w:val="22"/>
                <w:lang w:val="it-IT" w:eastAsia="de-DE"/>
              </w:rPr>
              <w:t xml:space="preserve"> </w:t>
            </w:r>
            <w:r w:rsidRPr="005A1FCA">
              <w:rPr>
                <w:rFonts w:ascii="Calibri" w:eastAsiaTheme="minorEastAsia" w:hAnsi="Calibri" w:cs="Calibri"/>
                <w:strike/>
                <w:color w:val="E40000"/>
                <w:sz w:val="22"/>
                <w:szCs w:val="22"/>
                <w:lang w:val="it-IT" w:eastAsia="de-DE"/>
              </w:rPr>
              <w:t>Rientrano in tali circostanze nuove disposizioni legislative o regolamentari o provvedimenti sopravvenuti di autorità o enti preposti alla tutela di interessi rilevanti;</w:t>
            </w:r>
          </w:p>
        </w:tc>
      </w:tr>
      <w:tr w:rsidR="00FB0217" w:rsidRPr="005A1FCA" w14:paraId="35EEB7B3" w14:textId="77777777" w:rsidTr="00FB0217">
        <w:tblPrEx>
          <w:tblCellMar>
            <w:left w:w="0" w:type="dxa"/>
            <w:right w:w="0" w:type="dxa"/>
          </w:tblCellMar>
        </w:tblPrEx>
        <w:trPr>
          <w:jc w:val="center"/>
        </w:trPr>
        <w:tc>
          <w:tcPr>
            <w:tcW w:w="4395" w:type="dxa"/>
            <w:tcBorders>
              <w:top w:val="nil"/>
              <w:left w:val="nil"/>
              <w:bottom w:val="nil"/>
              <w:right w:val="nil"/>
            </w:tcBorders>
            <w:tcMar>
              <w:left w:w="28" w:type="dxa"/>
              <w:right w:w="28" w:type="dxa"/>
            </w:tcMar>
          </w:tcPr>
          <w:p w14:paraId="2D568C13" w14:textId="40C1D5D7" w:rsidR="00FB0217" w:rsidRPr="005A1FCA" w:rsidRDefault="00FB0217" w:rsidP="00281D62">
            <w:pPr>
              <w:pStyle w:val="Textkrper"/>
              <w:widowControl w:val="0"/>
              <w:ind w:firstLine="394"/>
              <w:rPr>
                <w:rFonts w:ascii="Calibri" w:hAnsi="Calibri" w:cs="Calibri"/>
                <w:color w:val="ED0000"/>
                <w:sz w:val="22"/>
                <w:szCs w:val="22"/>
              </w:rPr>
            </w:pPr>
            <w:r w:rsidRPr="005A1FCA">
              <w:rPr>
                <w:rFonts w:ascii="Calibri" w:hAnsi="Calibri" w:cs="Calibri"/>
                <w:color w:val="ED0000"/>
                <w:sz w:val="22"/>
                <w:szCs w:val="22"/>
              </w:rPr>
              <w:t>c) bei Varianten während der Ausführung im Sinne von Änderungen, die im Zuge der Vertragsausführung aufgrund der folgenden, für die Vergabestelle unvorhersehbaren Umstände erforderlich geworden sind, unbeschadet der weiteren Fälle gemäß einschlägiger Gesetzgebung:</w:t>
            </w:r>
          </w:p>
        </w:tc>
        <w:tc>
          <w:tcPr>
            <w:tcW w:w="736" w:type="dxa"/>
            <w:gridSpan w:val="2"/>
            <w:tcBorders>
              <w:top w:val="nil"/>
              <w:left w:val="nil"/>
              <w:bottom w:val="nil"/>
              <w:right w:val="nil"/>
            </w:tcBorders>
            <w:tcMar>
              <w:left w:w="28" w:type="dxa"/>
              <w:right w:w="28" w:type="dxa"/>
            </w:tcMar>
          </w:tcPr>
          <w:p w14:paraId="6C4882C0" w14:textId="77777777" w:rsidR="00FB0217" w:rsidRPr="005A1FCA" w:rsidRDefault="00FB0217" w:rsidP="00281D62">
            <w:pPr>
              <w:pStyle w:val="Textkrper"/>
              <w:widowControl w:val="0"/>
              <w:ind w:firstLine="394"/>
              <w:rPr>
                <w:rFonts w:ascii="Calibri" w:hAnsi="Calibri" w:cs="Calibri"/>
                <w:color w:val="ED0000"/>
                <w:sz w:val="22"/>
                <w:szCs w:val="22"/>
              </w:rPr>
            </w:pPr>
          </w:p>
        </w:tc>
        <w:tc>
          <w:tcPr>
            <w:tcW w:w="4542" w:type="dxa"/>
            <w:gridSpan w:val="2"/>
            <w:tcBorders>
              <w:top w:val="nil"/>
              <w:left w:val="nil"/>
              <w:bottom w:val="nil"/>
              <w:right w:val="nil"/>
            </w:tcBorders>
            <w:tcMar>
              <w:left w:w="28" w:type="dxa"/>
              <w:right w:w="28" w:type="dxa"/>
            </w:tcMar>
          </w:tcPr>
          <w:p w14:paraId="34CCF563" w14:textId="67356F45" w:rsidR="00FB0217" w:rsidRPr="005A1FCA" w:rsidRDefault="00FB0217" w:rsidP="00281D62">
            <w:pPr>
              <w:pStyle w:val="Textkrper"/>
              <w:widowControl w:val="0"/>
              <w:ind w:firstLine="394"/>
              <w:rPr>
                <w:rFonts w:ascii="Calibri" w:hAnsi="Calibri" w:cs="Calibri"/>
                <w:color w:val="ED0000"/>
                <w:sz w:val="22"/>
                <w:szCs w:val="22"/>
                <w:lang w:val="it-IT"/>
              </w:rPr>
            </w:pPr>
            <w:r w:rsidRPr="005A1FCA">
              <w:rPr>
                <w:rFonts w:ascii="Calibri" w:hAnsi="Calibri" w:cs="Calibri"/>
                <w:color w:val="ED0000"/>
                <w:sz w:val="22"/>
                <w:szCs w:val="22"/>
                <w:lang w:val="it-IT"/>
              </w:rPr>
              <w:t>c) per le varianti in corso d’opera, da intendersi come modifiche resesi necessarie in corso di esecuzione dell’appalto per effetto delle seguenti circostanze imprevedibili da parte della stazione appaltante, fatti salvi gli ulteriori casi previsti nella legislazione di settore:</w:t>
            </w:r>
          </w:p>
        </w:tc>
      </w:tr>
      <w:tr w:rsidR="00FB0217" w:rsidRPr="005A1FCA" w14:paraId="63E2EED3" w14:textId="77777777" w:rsidTr="00FB0217">
        <w:tblPrEx>
          <w:tblCellMar>
            <w:left w:w="0" w:type="dxa"/>
            <w:right w:w="0" w:type="dxa"/>
          </w:tblCellMar>
        </w:tblPrEx>
        <w:trPr>
          <w:jc w:val="center"/>
        </w:trPr>
        <w:tc>
          <w:tcPr>
            <w:tcW w:w="4395" w:type="dxa"/>
            <w:tcBorders>
              <w:top w:val="nil"/>
              <w:left w:val="nil"/>
              <w:bottom w:val="nil"/>
              <w:right w:val="nil"/>
            </w:tcBorders>
            <w:tcMar>
              <w:left w:w="28" w:type="dxa"/>
              <w:right w:w="28" w:type="dxa"/>
            </w:tcMar>
          </w:tcPr>
          <w:p w14:paraId="220A149D" w14:textId="77777777" w:rsidR="00FB0217" w:rsidRPr="005A1FCA" w:rsidRDefault="00FB0217" w:rsidP="00281D62">
            <w:pPr>
              <w:pStyle w:val="Textkrper"/>
              <w:widowControl w:val="0"/>
              <w:ind w:left="394"/>
              <w:rPr>
                <w:rFonts w:ascii="Calibri" w:hAnsi="Calibri" w:cs="Calibri"/>
                <w:color w:val="ED0000"/>
                <w:sz w:val="22"/>
                <w:szCs w:val="22"/>
              </w:rPr>
            </w:pPr>
            <w:r w:rsidRPr="005A1FCA">
              <w:rPr>
                <w:rFonts w:ascii="Calibri" w:hAnsi="Calibri" w:cs="Calibri"/>
                <w:color w:val="ED0000"/>
                <w:sz w:val="22"/>
                <w:szCs w:val="22"/>
              </w:rPr>
              <w:t>1) Erfordernisse aufgrund neuer Gesetzes- oder Verordnungsbestimmungen oder Verwaltungsmaßnahmen von Behörden oder Körperschaften, die für den Schutz von wesentlichen Interessen verantwortlich sind,</w:t>
            </w:r>
          </w:p>
        </w:tc>
        <w:tc>
          <w:tcPr>
            <w:tcW w:w="736" w:type="dxa"/>
            <w:gridSpan w:val="2"/>
            <w:tcBorders>
              <w:top w:val="nil"/>
              <w:left w:val="nil"/>
              <w:bottom w:val="nil"/>
              <w:right w:val="nil"/>
            </w:tcBorders>
            <w:tcMar>
              <w:left w:w="28" w:type="dxa"/>
              <w:right w:w="28" w:type="dxa"/>
            </w:tcMar>
          </w:tcPr>
          <w:p w14:paraId="77C5828E" w14:textId="77777777" w:rsidR="00FB0217" w:rsidRPr="005A1FCA" w:rsidRDefault="00FB0217" w:rsidP="00281D62">
            <w:pPr>
              <w:pStyle w:val="Textkrper"/>
              <w:widowControl w:val="0"/>
              <w:ind w:left="394"/>
              <w:rPr>
                <w:rFonts w:ascii="Calibri" w:hAnsi="Calibri" w:cs="Calibri"/>
                <w:color w:val="ED0000"/>
                <w:sz w:val="22"/>
                <w:szCs w:val="22"/>
              </w:rPr>
            </w:pPr>
          </w:p>
        </w:tc>
        <w:tc>
          <w:tcPr>
            <w:tcW w:w="4542" w:type="dxa"/>
            <w:gridSpan w:val="2"/>
            <w:tcBorders>
              <w:top w:val="nil"/>
              <w:left w:val="nil"/>
              <w:bottom w:val="nil"/>
              <w:right w:val="nil"/>
            </w:tcBorders>
            <w:tcMar>
              <w:left w:w="28" w:type="dxa"/>
              <w:right w:w="28" w:type="dxa"/>
            </w:tcMar>
          </w:tcPr>
          <w:p w14:paraId="6F2E7247" w14:textId="77777777" w:rsidR="00FB0217" w:rsidRPr="005A1FCA" w:rsidRDefault="00FB0217" w:rsidP="00281D62">
            <w:pPr>
              <w:pStyle w:val="Textkrper"/>
              <w:widowControl w:val="0"/>
              <w:ind w:left="394"/>
              <w:rPr>
                <w:rFonts w:ascii="Calibri" w:hAnsi="Calibri" w:cs="Calibri"/>
                <w:color w:val="ED0000"/>
                <w:sz w:val="22"/>
                <w:szCs w:val="22"/>
                <w:lang w:val="it-IT"/>
              </w:rPr>
            </w:pPr>
            <w:r w:rsidRPr="005A1FCA">
              <w:rPr>
                <w:rFonts w:ascii="Calibri" w:hAnsi="Calibri" w:cs="Calibri"/>
                <w:color w:val="ED0000"/>
                <w:sz w:val="22"/>
                <w:szCs w:val="22"/>
                <w:lang w:val="it-IT"/>
              </w:rPr>
              <w:t>1) le esigenze derivanti da nuove disposizioni legislative o regolamentari o da provvedimenti sopravvenuti di autorità o enti preposti alla tutela di interessi rilevanti;</w:t>
            </w:r>
          </w:p>
        </w:tc>
      </w:tr>
      <w:tr w:rsidR="00FB0217" w:rsidRPr="005A1FCA" w14:paraId="6CA2AB94" w14:textId="77777777" w:rsidTr="00FB0217">
        <w:tblPrEx>
          <w:tblCellMar>
            <w:left w:w="0" w:type="dxa"/>
            <w:right w:w="0" w:type="dxa"/>
          </w:tblCellMar>
        </w:tblPrEx>
        <w:trPr>
          <w:jc w:val="center"/>
        </w:trPr>
        <w:tc>
          <w:tcPr>
            <w:tcW w:w="4395" w:type="dxa"/>
            <w:tcBorders>
              <w:top w:val="nil"/>
              <w:left w:val="nil"/>
              <w:bottom w:val="nil"/>
              <w:right w:val="nil"/>
            </w:tcBorders>
            <w:tcMar>
              <w:left w:w="28" w:type="dxa"/>
              <w:right w:w="28" w:type="dxa"/>
            </w:tcMar>
          </w:tcPr>
          <w:p w14:paraId="13F0F730" w14:textId="77777777" w:rsidR="00FB0217" w:rsidRPr="005A1FCA" w:rsidRDefault="00FB0217" w:rsidP="00281D62">
            <w:pPr>
              <w:pStyle w:val="Textkrper"/>
              <w:widowControl w:val="0"/>
              <w:ind w:left="394"/>
              <w:rPr>
                <w:rFonts w:ascii="Calibri" w:hAnsi="Calibri" w:cs="Calibri"/>
                <w:color w:val="ED0000"/>
                <w:sz w:val="22"/>
                <w:szCs w:val="22"/>
              </w:rPr>
            </w:pPr>
            <w:r w:rsidRPr="005A1FCA">
              <w:rPr>
                <w:rFonts w:ascii="Calibri" w:hAnsi="Calibri" w:cs="Calibri"/>
                <w:color w:val="ED0000"/>
                <w:sz w:val="22"/>
                <w:szCs w:val="22"/>
              </w:rPr>
              <w:t>2) außergewöhnliche und unvorhersehbare Naturereignisse und Fälle höherer Gewalt, die sich auf die Sachen, die Gegenstand der Vorhaben sind, auswirken,</w:t>
            </w:r>
          </w:p>
        </w:tc>
        <w:tc>
          <w:tcPr>
            <w:tcW w:w="736" w:type="dxa"/>
            <w:gridSpan w:val="2"/>
            <w:tcBorders>
              <w:top w:val="nil"/>
              <w:left w:val="nil"/>
              <w:bottom w:val="nil"/>
              <w:right w:val="nil"/>
            </w:tcBorders>
            <w:tcMar>
              <w:left w:w="28" w:type="dxa"/>
              <w:right w:w="28" w:type="dxa"/>
            </w:tcMar>
          </w:tcPr>
          <w:p w14:paraId="1E479A72" w14:textId="77777777" w:rsidR="00FB0217" w:rsidRPr="005A1FCA" w:rsidRDefault="00FB0217" w:rsidP="00281D62">
            <w:pPr>
              <w:pStyle w:val="Textkrper"/>
              <w:widowControl w:val="0"/>
              <w:ind w:left="394"/>
              <w:rPr>
                <w:rFonts w:ascii="Calibri" w:hAnsi="Calibri" w:cs="Calibri"/>
                <w:color w:val="ED0000"/>
                <w:sz w:val="22"/>
                <w:szCs w:val="22"/>
              </w:rPr>
            </w:pPr>
          </w:p>
        </w:tc>
        <w:tc>
          <w:tcPr>
            <w:tcW w:w="4542" w:type="dxa"/>
            <w:gridSpan w:val="2"/>
            <w:tcBorders>
              <w:top w:val="nil"/>
              <w:left w:val="nil"/>
              <w:bottom w:val="nil"/>
              <w:right w:val="nil"/>
            </w:tcBorders>
            <w:tcMar>
              <w:left w:w="28" w:type="dxa"/>
              <w:right w:w="28" w:type="dxa"/>
            </w:tcMar>
          </w:tcPr>
          <w:p w14:paraId="3BFCCF1F" w14:textId="77777777" w:rsidR="00FB0217" w:rsidRPr="005A1FCA" w:rsidRDefault="00FB0217" w:rsidP="00281D62">
            <w:pPr>
              <w:pStyle w:val="Textkrper"/>
              <w:widowControl w:val="0"/>
              <w:ind w:left="394"/>
              <w:rPr>
                <w:rFonts w:ascii="Calibri" w:hAnsi="Calibri" w:cs="Calibri"/>
                <w:color w:val="ED0000"/>
                <w:sz w:val="22"/>
                <w:szCs w:val="22"/>
                <w:lang w:val="it-IT"/>
              </w:rPr>
            </w:pPr>
            <w:r w:rsidRPr="005A1FCA">
              <w:rPr>
                <w:rFonts w:ascii="Calibri" w:hAnsi="Calibri" w:cs="Calibri"/>
                <w:color w:val="ED0000"/>
                <w:sz w:val="22"/>
                <w:szCs w:val="22"/>
                <w:lang w:val="it-IT"/>
              </w:rPr>
              <w:t>2) gli eventi naturali straordinari e imprevedibili e i casi di forza maggiore che incidono sui beni oggetto dell’intervento;</w:t>
            </w:r>
          </w:p>
        </w:tc>
      </w:tr>
      <w:tr w:rsidR="00FB0217" w:rsidRPr="005A1FCA" w14:paraId="34AD64B7" w14:textId="77777777" w:rsidTr="00FB0217">
        <w:tblPrEx>
          <w:tblCellMar>
            <w:left w:w="0" w:type="dxa"/>
            <w:right w:w="0" w:type="dxa"/>
          </w:tblCellMar>
        </w:tblPrEx>
        <w:trPr>
          <w:jc w:val="center"/>
        </w:trPr>
        <w:tc>
          <w:tcPr>
            <w:tcW w:w="4395" w:type="dxa"/>
            <w:tcBorders>
              <w:top w:val="nil"/>
              <w:left w:val="nil"/>
              <w:bottom w:val="nil"/>
              <w:right w:val="nil"/>
            </w:tcBorders>
            <w:tcMar>
              <w:left w:w="28" w:type="dxa"/>
              <w:right w:w="28" w:type="dxa"/>
            </w:tcMar>
          </w:tcPr>
          <w:p w14:paraId="379D4C5F" w14:textId="77777777" w:rsidR="00FB0217" w:rsidRPr="005A1FCA" w:rsidRDefault="00FB0217" w:rsidP="00281D62">
            <w:pPr>
              <w:pStyle w:val="Textkrper"/>
              <w:widowControl w:val="0"/>
              <w:ind w:left="394"/>
              <w:rPr>
                <w:rFonts w:ascii="Calibri" w:hAnsi="Calibri" w:cs="Calibri"/>
                <w:color w:val="ED0000"/>
                <w:sz w:val="22"/>
                <w:szCs w:val="22"/>
              </w:rPr>
            </w:pPr>
            <w:r w:rsidRPr="005A1FCA">
              <w:rPr>
                <w:rFonts w:ascii="Calibri" w:hAnsi="Calibri" w:cs="Calibri"/>
                <w:color w:val="ED0000"/>
                <w:sz w:val="22"/>
                <w:szCs w:val="22"/>
              </w:rPr>
              <w:t>3) Funde, die in der Planungsphase mit der gebotenen Sorgfalt nicht vorhersehbar waren,</w:t>
            </w:r>
          </w:p>
        </w:tc>
        <w:tc>
          <w:tcPr>
            <w:tcW w:w="736" w:type="dxa"/>
            <w:gridSpan w:val="2"/>
            <w:tcBorders>
              <w:top w:val="nil"/>
              <w:left w:val="nil"/>
              <w:bottom w:val="nil"/>
              <w:right w:val="nil"/>
            </w:tcBorders>
            <w:tcMar>
              <w:left w:w="28" w:type="dxa"/>
              <w:right w:w="28" w:type="dxa"/>
            </w:tcMar>
          </w:tcPr>
          <w:p w14:paraId="288798E0" w14:textId="77777777" w:rsidR="00FB0217" w:rsidRPr="005A1FCA" w:rsidRDefault="00FB0217" w:rsidP="00281D62">
            <w:pPr>
              <w:pStyle w:val="Textkrper"/>
              <w:widowControl w:val="0"/>
              <w:ind w:left="394"/>
              <w:rPr>
                <w:rFonts w:ascii="Calibri" w:hAnsi="Calibri" w:cs="Calibri"/>
                <w:color w:val="ED0000"/>
                <w:sz w:val="22"/>
                <w:szCs w:val="22"/>
              </w:rPr>
            </w:pPr>
          </w:p>
        </w:tc>
        <w:tc>
          <w:tcPr>
            <w:tcW w:w="4542" w:type="dxa"/>
            <w:gridSpan w:val="2"/>
            <w:tcBorders>
              <w:top w:val="nil"/>
              <w:left w:val="nil"/>
              <w:bottom w:val="nil"/>
              <w:right w:val="nil"/>
            </w:tcBorders>
            <w:tcMar>
              <w:left w:w="28" w:type="dxa"/>
              <w:right w:w="28" w:type="dxa"/>
            </w:tcMar>
          </w:tcPr>
          <w:p w14:paraId="7500A456" w14:textId="77777777" w:rsidR="00FB0217" w:rsidRPr="005A1FCA" w:rsidRDefault="00FB0217" w:rsidP="00281D62">
            <w:pPr>
              <w:pStyle w:val="Textkrper"/>
              <w:widowControl w:val="0"/>
              <w:ind w:left="394"/>
              <w:rPr>
                <w:rFonts w:ascii="Calibri" w:hAnsi="Calibri" w:cs="Calibri"/>
                <w:color w:val="ED0000"/>
                <w:spacing w:val="-2"/>
                <w:sz w:val="22"/>
                <w:szCs w:val="22"/>
                <w:lang w:val="it-IT"/>
              </w:rPr>
            </w:pPr>
            <w:r w:rsidRPr="005A1FCA">
              <w:rPr>
                <w:rFonts w:ascii="Calibri" w:hAnsi="Calibri" w:cs="Calibri"/>
                <w:color w:val="ED0000"/>
                <w:spacing w:val="-2"/>
                <w:sz w:val="22"/>
                <w:szCs w:val="22"/>
                <w:lang w:val="it-IT"/>
              </w:rPr>
              <w:t>3) i rinvenimenti, imprevisti o non prevedibili con la dovuta diligenza nella fase di progettazione;</w:t>
            </w:r>
          </w:p>
        </w:tc>
      </w:tr>
      <w:tr w:rsidR="00FB0217" w:rsidRPr="005A1FCA" w14:paraId="4E7BAEB9" w14:textId="77777777" w:rsidTr="00FB0217">
        <w:tblPrEx>
          <w:tblCellMar>
            <w:left w:w="0" w:type="dxa"/>
            <w:right w:w="0" w:type="dxa"/>
          </w:tblCellMar>
        </w:tblPrEx>
        <w:trPr>
          <w:jc w:val="center"/>
        </w:trPr>
        <w:tc>
          <w:tcPr>
            <w:tcW w:w="4395" w:type="dxa"/>
            <w:tcBorders>
              <w:top w:val="nil"/>
              <w:left w:val="nil"/>
              <w:bottom w:val="nil"/>
              <w:right w:val="nil"/>
            </w:tcBorders>
            <w:tcMar>
              <w:left w:w="28" w:type="dxa"/>
              <w:right w:w="28" w:type="dxa"/>
            </w:tcMar>
          </w:tcPr>
          <w:p w14:paraId="7AFD827D" w14:textId="26AD4B30" w:rsidR="00FB0217" w:rsidRPr="005A1FCA" w:rsidRDefault="00FB0217" w:rsidP="00281D62">
            <w:pPr>
              <w:pStyle w:val="Textkrper"/>
              <w:widowControl w:val="0"/>
              <w:ind w:left="394"/>
              <w:rPr>
                <w:rFonts w:ascii="Calibri" w:hAnsi="Calibri" w:cs="Calibri"/>
                <w:color w:val="ED0000"/>
                <w:sz w:val="22"/>
                <w:szCs w:val="22"/>
              </w:rPr>
            </w:pPr>
            <w:r w:rsidRPr="005A1FCA">
              <w:rPr>
                <w:rFonts w:ascii="Calibri" w:hAnsi="Calibri" w:cs="Calibri"/>
                <w:color w:val="ED0000"/>
                <w:sz w:val="22"/>
                <w:szCs w:val="22"/>
              </w:rPr>
              <w:t>4) Schwierigkeiten bei der Ausführung aus geologischen, hydrologischen oder ähnlichen Ursachen, die die Parteien aufgrund der zum Planungszeitpunkt konsolidierten technischen und wissenschaftlichen Kenntnisse nicht vorhersehen konnten,</w:t>
            </w:r>
          </w:p>
        </w:tc>
        <w:tc>
          <w:tcPr>
            <w:tcW w:w="736" w:type="dxa"/>
            <w:gridSpan w:val="2"/>
            <w:tcBorders>
              <w:top w:val="nil"/>
              <w:left w:val="nil"/>
              <w:bottom w:val="nil"/>
              <w:right w:val="nil"/>
            </w:tcBorders>
            <w:tcMar>
              <w:left w:w="28" w:type="dxa"/>
              <w:right w:w="28" w:type="dxa"/>
            </w:tcMar>
          </w:tcPr>
          <w:p w14:paraId="6A83F696" w14:textId="77777777" w:rsidR="00FB0217" w:rsidRPr="005A1FCA" w:rsidRDefault="00FB0217" w:rsidP="00281D62">
            <w:pPr>
              <w:pStyle w:val="Textkrper"/>
              <w:widowControl w:val="0"/>
              <w:ind w:left="394"/>
              <w:rPr>
                <w:rFonts w:ascii="Calibri" w:hAnsi="Calibri" w:cs="Calibri"/>
                <w:color w:val="ED0000"/>
                <w:sz w:val="22"/>
                <w:szCs w:val="22"/>
              </w:rPr>
            </w:pPr>
          </w:p>
        </w:tc>
        <w:tc>
          <w:tcPr>
            <w:tcW w:w="4542" w:type="dxa"/>
            <w:gridSpan w:val="2"/>
            <w:tcBorders>
              <w:top w:val="nil"/>
              <w:left w:val="nil"/>
              <w:bottom w:val="nil"/>
              <w:right w:val="nil"/>
            </w:tcBorders>
            <w:tcMar>
              <w:left w:w="28" w:type="dxa"/>
              <w:right w:w="28" w:type="dxa"/>
            </w:tcMar>
          </w:tcPr>
          <w:p w14:paraId="6397B806" w14:textId="35BC323D" w:rsidR="00FB0217" w:rsidRPr="005A1FCA" w:rsidRDefault="00FB0217" w:rsidP="00281D62">
            <w:pPr>
              <w:pStyle w:val="Textkrper"/>
              <w:widowControl w:val="0"/>
              <w:ind w:left="394"/>
              <w:rPr>
                <w:rFonts w:ascii="Calibri" w:hAnsi="Calibri" w:cs="Calibri"/>
                <w:color w:val="ED0000"/>
                <w:sz w:val="22"/>
                <w:szCs w:val="22"/>
                <w:lang w:val="it-IT"/>
              </w:rPr>
            </w:pPr>
            <w:r w:rsidRPr="005A1FCA">
              <w:rPr>
                <w:rFonts w:ascii="Calibri" w:hAnsi="Calibri" w:cs="Calibri"/>
                <w:color w:val="ED0000"/>
                <w:sz w:val="22"/>
                <w:szCs w:val="22"/>
                <w:lang w:val="it-IT"/>
              </w:rPr>
              <w:t>4) le difficoltà di esecuzione derivanti da cause geologiche, idriche e simili, non prevedibili dalle parti in base alle conoscenze tecnico-scientifiche consolidate al momento della progettazione;</w:t>
            </w:r>
          </w:p>
        </w:tc>
      </w:tr>
      <w:tr w:rsidR="00F634AF" w:rsidRPr="005A1FCA" w14:paraId="0311B9F5" w14:textId="77777777" w:rsidTr="00FB0217">
        <w:trPr>
          <w:gridAfter w:val="1"/>
          <w:wAfter w:w="34" w:type="dxa"/>
          <w:jc w:val="center"/>
        </w:trPr>
        <w:tc>
          <w:tcPr>
            <w:tcW w:w="9639" w:type="dxa"/>
            <w:gridSpan w:val="4"/>
          </w:tcPr>
          <w:p w14:paraId="5DB8BADB" w14:textId="47C13887" w:rsidR="00F634AF" w:rsidRPr="005A1FCA" w:rsidRDefault="00F634AF" w:rsidP="000C19B0">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p w14:paraId="12E5559A" w14:textId="77777777" w:rsidR="00F634AF" w:rsidRPr="005A1FCA" w:rsidRDefault="00F634AF" w:rsidP="000C19B0">
            <w:pPr>
              <w:jc w:val="center"/>
              <w:rPr>
                <w:rFonts w:ascii="Calibri" w:hAnsi="Calibri" w:cs="Calibri"/>
                <w:b/>
                <w:bCs/>
                <w:i/>
                <w:iCs/>
                <w:sz w:val="22"/>
                <w:szCs w:val="22"/>
                <w:lang w:val="it-IT"/>
              </w:rPr>
            </w:pPr>
          </w:p>
        </w:tc>
      </w:tr>
      <w:tr w:rsidR="002431BF" w:rsidRPr="005A1FCA" w14:paraId="3287243F" w14:textId="77777777" w:rsidTr="00FB0217">
        <w:trPr>
          <w:gridAfter w:val="1"/>
          <w:wAfter w:w="34" w:type="dxa"/>
          <w:jc w:val="center"/>
        </w:trPr>
        <w:tc>
          <w:tcPr>
            <w:tcW w:w="4395" w:type="dxa"/>
          </w:tcPr>
          <w:p w14:paraId="19C343D6" w14:textId="77777777" w:rsidR="002431BF" w:rsidRPr="005A1FCA" w:rsidRDefault="002431BF" w:rsidP="000C19B0">
            <w:pPr>
              <w:autoSpaceDE w:val="0"/>
              <w:autoSpaceDN w:val="0"/>
              <w:adjustRightInd w:val="0"/>
              <w:jc w:val="both"/>
              <w:rPr>
                <w:rFonts w:ascii="Calibri" w:eastAsiaTheme="minorEastAsia" w:hAnsi="Calibri" w:cs="Calibri"/>
                <w:strike/>
                <w:color w:val="E40000"/>
                <w:sz w:val="22"/>
                <w:szCs w:val="22"/>
                <w:lang w:eastAsia="de-DE"/>
              </w:rPr>
            </w:pPr>
            <w:r w:rsidRPr="005A1FCA">
              <w:rPr>
                <w:rFonts w:ascii="Calibri" w:eastAsiaTheme="minorEastAsia" w:hAnsi="Calibri" w:cs="Calibri"/>
                <w:strike/>
                <w:color w:val="E40000"/>
                <w:sz w:val="22"/>
                <w:szCs w:val="22"/>
                <w:lang w:eastAsia="de-DE"/>
              </w:rPr>
              <w:t>(7) Unbeschadet der Beschränkungen aufgrund der in der Kostenübersicht verfügbaren Beträge und aufgrund der Bestimmungen laut Absatz 6 Buchstaben a), b) und c) gelten Änderungen des Projekts, die von der Vergabestelle oder vom Auftragnehmer vorgeschlagen werden, unter Berücksichtigung der Funktionalität des Bauwerks, nicht als wesentlich, wenn damit:</w:t>
            </w:r>
          </w:p>
        </w:tc>
        <w:tc>
          <w:tcPr>
            <w:tcW w:w="708" w:type="dxa"/>
          </w:tcPr>
          <w:p w14:paraId="730E2236" w14:textId="77777777" w:rsidR="002431BF" w:rsidRPr="005A1FCA" w:rsidRDefault="002431BF" w:rsidP="000C19B0">
            <w:pPr>
              <w:jc w:val="both"/>
              <w:rPr>
                <w:rFonts w:ascii="Calibri" w:hAnsi="Calibri" w:cs="Calibri"/>
                <w:strike/>
                <w:color w:val="E40000"/>
                <w:sz w:val="22"/>
                <w:szCs w:val="22"/>
              </w:rPr>
            </w:pPr>
          </w:p>
        </w:tc>
        <w:tc>
          <w:tcPr>
            <w:tcW w:w="4536" w:type="dxa"/>
            <w:gridSpan w:val="2"/>
          </w:tcPr>
          <w:p w14:paraId="004357AC" w14:textId="77777777" w:rsidR="002431BF" w:rsidRPr="005A1FCA" w:rsidRDefault="002431BF" w:rsidP="000C19B0">
            <w:pPr>
              <w:autoSpaceDE w:val="0"/>
              <w:autoSpaceDN w:val="0"/>
              <w:adjustRightInd w:val="0"/>
              <w:jc w:val="both"/>
              <w:rPr>
                <w:rFonts w:ascii="Calibri" w:hAnsi="Calibri" w:cs="Calibri"/>
                <w:strike/>
                <w:color w:val="E40000"/>
                <w:sz w:val="22"/>
                <w:szCs w:val="22"/>
                <w:lang w:val="it-IT"/>
              </w:rPr>
            </w:pPr>
            <w:r w:rsidRPr="005A1FCA">
              <w:rPr>
                <w:rFonts w:ascii="Calibri" w:eastAsiaTheme="minorEastAsia" w:hAnsi="Calibri" w:cs="Calibri"/>
                <w:strike/>
                <w:color w:val="E40000"/>
                <w:sz w:val="22"/>
                <w:szCs w:val="22"/>
                <w:lang w:val="it-IT" w:eastAsia="de-DE"/>
              </w:rPr>
              <w:t>(7) Non sono considerate sostanziali, fermi restando i limiti derivanti dalle somme a disposizione del quadro economico e dalle previsioni di cui al comma 6, lettere a), b) e c), le modifiche al progetto proposte dalla stazione appaltante ovvero dall’appaltatore, con le quali, nel rispetto della funzionalità dell’opera:</w:t>
            </w:r>
          </w:p>
        </w:tc>
      </w:tr>
      <w:tr w:rsidR="002431BF" w:rsidRPr="005A1FCA" w14:paraId="37BC7C98" w14:textId="77777777" w:rsidTr="00FB0217">
        <w:trPr>
          <w:gridAfter w:val="1"/>
          <w:wAfter w:w="34" w:type="dxa"/>
          <w:jc w:val="center"/>
        </w:trPr>
        <w:tc>
          <w:tcPr>
            <w:tcW w:w="4395" w:type="dxa"/>
          </w:tcPr>
          <w:p w14:paraId="058658A9" w14:textId="77777777" w:rsidR="002431BF" w:rsidRPr="005A1FCA" w:rsidRDefault="002431BF" w:rsidP="002431BF">
            <w:pPr>
              <w:pStyle w:val="Listenabsatz"/>
              <w:numPr>
                <w:ilvl w:val="0"/>
                <w:numId w:val="37"/>
              </w:numPr>
              <w:autoSpaceDE w:val="0"/>
              <w:autoSpaceDN w:val="0"/>
              <w:adjustRightInd w:val="0"/>
              <w:ind w:left="493" w:hanging="493"/>
              <w:jc w:val="both"/>
              <w:rPr>
                <w:rFonts w:ascii="Calibri" w:eastAsiaTheme="minorEastAsia" w:hAnsi="Calibri" w:cs="Calibri"/>
                <w:strike/>
                <w:color w:val="E40000"/>
                <w:sz w:val="22"/>
                <w:szCs w:val="22"/>
                <w:lang w:eastAsia="de-DE"/>
              </w:rPr>
            </w:pPr>
            <w:r w:rsidRPr="005A1FCA">
              <w:rPr>
                <w:rFonts w:ascii="Calibri" w:eastAsiaTheme="minorEastAsia" w:hAnsi="Calibri" w:cs="Calibri"/>
                <w:strike/>
                <w:color w:val="E40000"/>
                <w:sz w:val="22"/>
                <w:szCs w:val="22"/>
                <w:lang w:eastAsia="de-DE"/>
              </w:rPr>
              <w:t>im Vergleich zu den ursprünglichen Prognosen Einsparungen gewährleistet werden, die als Ausgleich für die steigenden Verarbeitungskosten verwendet werden sollen,</w:t>
            </w:r>
          </w:p>
        </w:tc>
        <w:tc>
          <w:tcPr>
            <w:tcW w:w="708" w:type="dxa"/>
          </w:tcPr>
          <w:p w14:paraId="0E04101B" w14:textId="77777777" w:rsidR="002431BF" w:rsidRPr="005A1FCA" w:rsidRDefault="002431BF" w:rsidP="000C19B0">
            <w:pPr>
              <w:jc w:val="both"/>
              <w:rPr>
                <w:rFonts w:ascii="Calibri" w:hAnsi="Calibri" w:cs="Calibri"/>
                <w:strike/>
                <w:color w:val="E40000"/>
                <w:sz w:val="22"/>
                <w:szCs w:val="22"/>
              </w:rPr>
            </w:pPr>
          </w:p>
        </w:tc>
        <w:tc>
          <w:tcPr>
            <w:tcW w:w="4536" w:type="dxa"/>
            <w:gridSpan w:val="2"/>
          </w:tcPr>
          <w:p w14:paraId="4CEAA4F0" w14:textId="77777777" w:rsidR="002431BF" w:rsidRPr="005A1FCA" w:rsidRDefault="002431BF" w:rsidP="002431BF">
            <w:pPr>
              <w:pStyle w:val="Listenabsatz"/>
              <w:numPr>
                <w:ilvl w:val="0"/>
                <w:numId w:val="38"/>
              </w:numPr>
              <w:autoSpaceDE w:val="0"/>
              <w:autoSpaceDN w:val="0"/>
              <w:adjustRightInd w:val="0"/>
              <w:ind w:left="496" w:hanging="496"/>
              <w:jc w:val="both"/>
              <w:rPr>
                <w:rFonts w:ascii="Calibri" w:eastAsiaTheme="minorEastAsia" w:hAnsi="Calibri" w:cs="Calibri"/>
                <w:strike/>
                <w:color w:val="E40000"/>
                <w:sz w:val="22"/>
                <w:szCs w:val="22"/>
                <w:lang w:val="it-IT" w:eastAsia="de-DE"/>
              </w:rPr>
            </w:pPr>
            <w:r w:rsidRPr="005A1FCA">
              <w:rPr>
                <w:rFonts w:ascii="Calibri" w:eastAsiaTheme="minorEastAsia" w:hAnsi="Calibri" w:cs="Calibri"/>
                <w:strike/>
                <w:color w:val="E40000"/>
                <w:sz w:val="22"/>
                <w:szCs w:val="22"/>
                <w:lang w:val="it-IT" w:eastAsia="de-DE"/>
              </w:rPr>
              <w:t>si assicurino risparmi, rispetto alle previsioni iniziali, da utilizzare in compensazione per far fronte alle variazioni in aumento dei costi delle lavorazioni;</w:t>
            </w:r>
          </w:p>
          <w:p w14:paraId="60C66FD1" w14:textId="77777777" w:rsidR="002431BF" w:rsidRPr="005A1FCA" w:rsidRDefault="002431BF" w:rsidP="000C19B0">
            <w:pPr>
              <w:pStyle w:val="Listenabsatz"/>
              <w:autoSpaceDE w:val="0"/>
              <w:autoSpaceDN w:val="0"/>
              <w:adjustRightInd w:val="0"/>
              <w:ind w:left="496"/>
              <w:jc w:val="both"/>
              <w:rPr>
                <w:rFonts w:ascii="Calibri" w:hAnsi="Calibri" w:cs="Calibri"/>
                <w:strike/>
                <w:color w:val="E40000"/>
                <w:sz w:val="22"/>
                <w:szCs w:val="22"/>
                <w:lang w:val="it-IT"/>
              </w:rPr>
            </w:pPr>
          </w:p>
        </w:tc>
      </w:tr>
      <w:tr w:rsidR="002431BF" w:rsidRPr="005A1FCA" w14:paraId="52804303" w14:textId="77777777" w:rsidTr="00FB0217">
        <w:trPr>
          <w:gridAfter w:val="1"/>
          <w:wAfter w:w="34" w:type="dxa"/>
          <w:jc w:val="center"/>
        </w:trPr>
        <w:tc>
          <w:tcPr>
            <w:tcW w:w="4395" w:type="dxa"/>
          </w:tcPr>
          <w:p w14:paraId="1CC22B1B" w14:textId="77777777" w:rsidR="002431BF" w:rsidRPr="005A1FCA" w:rsidRDefault="002431BF" w:rsidP="002431BF">
            <w:pPr>
              <w:pStyle w:val="Listenabsatz"/>
              <w:numPr>
                <w:ilvl w:val="0"/>
                <w:numId w:val="37"/>
              </w:numPr>
              <w:autoSpaceDE w:val="0"/>
              <w:autoSpaceDN w:val="0"/>
              <w:adjustRightInd w:val="0"/>
              <w:ind w:left="493" w:hanging="493"/>
              <w:jc w:val="both"/>
              <w:rPr>
                <w:rFonts w:ascii="Calibri" w:eastAsiaTheme="minorEastAsia" w:hAnsi="Calibri" w:cs="Calibri"/>
                <w:strike/>
                <w:color w:val="E40000"/>
                <w:sz w:val="22"/>
                <w:szCs w:val="22"/>
                <w:lang w:eastAsia="de-DE"/>
              </w:rPr>
            </w:pPr>
            <w:r w:rsidRPr="005A1FCA">
              <w:rPr>
                <w:rFonts w:ascii="Calibri" w:eastAsiaTheme="minorEastAsia" w:hAnsi="Calibri" w:cs="Calibri"/>
                <w:strike/>
                <w:color w:val="E40000"/>
                <w:sz w:val="22"/>
                <w:szCs w:val="22"/>
                <w:lang w:eastAsia="de-DE"/>
              </w:rPr>
              <w:t>gleichwertige oder bessere Lösungen in wirtschaftlicher, technischer oder, in Bezug auf die Fertigstellung des Bauwerks, zeitlicher Hinsicht umgesetzt werden.</w:t>
            </w:r>
          </w:p>
          <w:p w14:paraId="55049AA0" w14:textId="77777777" w:rsidR="00FB0217" w:rsidRPr="005A1FCA" w:rsidRDefault="00FB0217" w:rsidP="00FB0217">
            <w:pPr>
              <w:pStyle w:val="Listenabsatz"/>
              <w:autoSpaceDE w:val="0"/>
              <w:autoSpaceDN w:val="0"/>
              <w:adjustRightInd w:val="0"/>
              <w:ind w:left="493"/>
              <w:jc w:val="both"/>
              <w:rPr>
                <w:rFonts w:ascii="Calibri" w:eastAsiaTheme="minorEastAsia" w:hAnsi="Calibri" w:cs="Calibri"/>
                <w:strike/>
                <w:color w:val="E40000"/>
                <w:sz w:val="22"/>
                <w:szCs w:val="22"/>
                <w:lang w:eastAsia="de-DE"/>
              </w:rPr>
            </w:pPr>
          </w:p>
        </w:tc>
        <w:tc>
          <w:tcPr>
            <w:tcW w:w="708" w:type="dxa"/>
          </w:tcPr>
          <w:p w14:paraId="2CACC9F0" w14:textId="77777777" w:rsidR="002431BF" w:rsidRPr="005A1FCA" w:rsidRDefault="002431BF" w:rsidP="000C19B0">
            <w:pPr>
              <w:jc w:val="both"/>
              <w:rPr>
                <w:rFonts w:ascii="Calibri" w:hAnsi="Calibri" w:cs="Calibri"/>
                <w:strike/>
                <w:color w:val="E40000"/>
                <w:sz w:val="22"/>
                <w:szCs w:val="22"/>
              </w:rPr>
            </w:pPr>
          </w:p>
        </w:tc>
        <w:tc>
          <w:tcPr>
            <w:tcW w:w="4536" w:type="dxa"/>
            <w:gridSpan w:val="2"/>
          </w:tcPr>
          <w:p w14:paraId="7BCBBF8B" w14:textId="77777777" w:rsidR="002431BF" w:rsidRPr="005A1FCA" w:rsidRDefault="002431BF" w:rsidP="002431BF">
            <w:pPr>
              <w:pStyle w:val="Listenabsatz"/>
              <w:numPr>
                <w:ilvl w:val="0"/>
                <w:numId w:val="38"/>
              </w:numPr>
              <w:autoSpaceDE w:val="0"/>
              <w:autoSpaceDN w:val="0"/>
              <w:adjustRightInd w:val="0"/>
              <w:ind w:left="496" w:hanging="496"/>
              <w:jc w:val="both"/>
              <w:rPr>
                <w:rFonts w:ascii="Calibri" w:eastAsiaTheme="minorEastAsia" w:hAnsi="Calibri" w:cs="Calibri"/>
                <w:strike/>
                <w:color w:val="E40000"/>
                <w:sz w:val="22"/>
                <w:szCs w:val="22"/>
                <w:lang w:val="it-IT" w:eastAsia="de-DE"/>
              </w:rPr>
            </w:pPr>
            <w:r w:rsidRPr="005A1FCA">
              <w:rPr>
                <w:rFonts w:ascii="Calibri" w:eastAsiaTheme="minorEastAsia" w:hAnsi="Calibri" w:cs="Calibri"/>
                <w:strike/>
                <w:color w:val="E40000"/>
                <w:sz w:val="22"/>
                <w:szCs w:val="22"/>
                <w:lang w:val="it-IT" w:eastAsia="de-DE"/>
              </w:rPr>
              <w:t>si realizzino soluzioni equivalenti o migliorative in termini economici, tecnici o di tempi di ultimazione dell’opera.</w:t>
            </w:r>
            <w:r w:rsidRPr="005A1FCA">
              <w:rPr>
                <w:rFonts w:ascii="Calibri" w:hAnsi="Calibri" w:cs="Calibri"/>
                <w:strike/>
                <w:color w:val="E40000"/>
                <w:sz w:val="22"/>
                <w:szCs w:val="22"/>
                <w:lang w:val="it-IT"/>
              </w:rPr>
              <w:t xml:space="preserve"> </w:t>
            </w:r>
          </w:p>
        </w:tc>
      </w:tr>
      <w:tr w:rsidR="00FB0217" w:rsidRPr="005A1FCA" w14:paraId="7878991E" w14:textId="77777777" w:rsidTr="00FB0217">
        <w:tblPrEx>
          <w:tblCellMar>
            <w:left w:w="0" w:type="dxa"/>
            <w:right w:w="0" w:type="dxa"/>
          </w:tblCellMar>
        </w:tblPrEx>
        <w:trPr>
          <w:jc w:val="center"/>
        </w:trPr>
        <w:tc>
          <w:tcPr>
            <w:tcW w:w="4395" w:type="dxa"/>
            <w:tcBorders>
              <w:top w:val="nil"/>
              <w:left w:val="nil"/>
              <w:bottom w:val="nil"/>
              <w:right w:val="nil"/>
            </w:tcBorders>
            <w:tcMar>
              <w:left w:w="28" w:type="dxa"/>
              <w:right w:w="28" w:type="dxa"/>
            </w:tcMar>
          </w:tcPr>
          <w:p w14:paraId="27C97FE2" w14:textId="5885F9FE" w:rsidR="00FB0217" w:rsidRPr="005A1FCA" w:rsidRDefault="00FB0217" w:rsidP="00281D62">
            <w:pPr>
              <w:pStyle w:val="Textkrper"/>
              <w:widowControl w:val="0"/>
              <w:ind w:firstLine="394"/>
              <w:rPr>
                <w:rFonts w:ascii="Calibri" w:hAnsi="Calibri" w:cs="Calibri"/>
                <w:color w:val="ED0000"/>
                <w:spacing w:val="-2"/>
                <w:sz w:val="22"/>
                <w:szCs w:val="22"/>
              </w:rPr>
            </w:pPr>
            <w:r w:rsidRPr="005A1FCA">
              <w:rPr>
                <w:rFonts w:ascii="Calibri" w:hAnsi="Calibri" w:cs="Calibri"/>
                <w:color w:val="ED0000"/>
                <w:spacing w:val="-2"/>
                <w:sz w:val="22"/>
                <w:szCs w:val="22"/>
              </w:rPr>
              <w:t>7. Unbeschadet der Beschränkungen aufgrund der verfügbaren Beträge laut Kostenübersicht und aufgrund der Bestimmungen laut Absatz 6 Buchstaben a), b) und c) gelten jene Änderungen des Projekts oder des Vertrags als nicht wesentlich, die von der Vergabestelle oder vom Auftragnehmer vorgeschlagen wurden, wenn damit unter Berücksichtigung der Funktionalität des Bauwerks:</w:t>
            </w:r>
          </w:p>
        </w:tc>
        <w:tc>
          <w:tcPr>
            <w:tcW w:w="708" w:type="dxa"/>
            <w:tcBorders>
              <w:top w:val="nil"/>
              <w:left w:val="nil"/>
              <w:bottom w:val="nil"/>
              <w:right w:val="nil"/>
            </w:tcBorders>
            <w:tcMar>
              <w:left w:w="28" w:type="dxa"/>
              <w:right w:w="28" w:type="dxa"/>
            </w:tcMar>
          </w:tcPr>
          <w:p w14:paraId="783BD58B" w14:textId="77777777" w:rsidR="00FB0217" w:rsidRPr="005A1FCA" w:rsidRDefault="00FB0217" w:rsidP="00281D62">
            <w:pPr>
              <w:pStyle w:val="Textkrper"/>
              <w:widowControl w:val="0"/>
              <w:ind w:firstLine="394"/>
              <w:rPr>
                <w:rFonts w:ascii="Calibri" w:hAnsi="Calibri" w:cs="Calibri"/>
                <w:color w:val="ED0000"/>
                <w:sz w:val="22"/>
                <w:szCs w:val="22"/>
              </w:rPr>
            </w:pPr>
          </w:p>
        </w:tc>
        <w:tc>
          <w:tcPr>
            <w:tcW w:w="4570" w:type="dxa"/>
            <w:gridSpan w:val="3"/>
            <w:tcBorders>
              <w:top w:val="nil"/>
              <w:left w:val="nil"/>
              <w:bottom w:val="nil"/>
              <w:right w:val="nil"/>
            </w:tcBorders>
            <w:tcMar>
              <w:left w:w="28" w:type="dxa"/>
              <w:right w:w="28" w:type="dxa"/>
            </w:tcMar>
          </w:tcPr>
          <w:p w14:paraId="2A7C2A89" w14:textId="26D4591F" w:rsidR="00FB0217" w:rsidRPr="005A1FCA" w:rsidRDefault="00FB0217" w:rsidP="00281D62">
            <w:pPr>
              <w:pStyle w:val="Textkrper"/>
              <w:widowControl w:val="0"/>
              <w:ind w:firstLine="394"/>
              <w:rPr>
                <w:rFonts w:ascii="Calibri" w:hAnsi="Calibri" w:cs="Calibri"/>
                <w:color w:val="ED0000"/>
                <w:sz w:val="22"/>
                <w:szCs w:val="22"/>
                <w:lang w:val="it-IT"/>
              </w:rPr>
            </w:pPr>
            <w:r w:rsidRPr="005A1FCA">
              <w:rPr>
                <w:rFonts w:ascii="Calibri" w:hAnsi="Calibri" w:cs="Calibri"/>
                <w:color w:val="ED0000"/>
                <w:sz w:val="22"/>
                <w:szCs w:val="22"/>
                <w:lang w:val="it-IT"/>
              </w:rPr>
              <w:t>7. Non sono considerate sostanziali, fermi restando i limiti derivanti dalle somme a disposizione del quadro economico e dalle previsioni di cui al comma 6, lettere a), b) e c), le modifiche al progetto o le modifiche contrattuali proposte dalla stazione appaltante oppure dall’appaltatore, con le quali, nel rispetto della funzionalità dell’opera:</w:t>
            </w:r>
          </w:p>
        </w:tc>
      </w:tr>
      <w:tr w:rsidR="00FB0217" w:rsidRPr="005A1FCA" w14:paraId="22BCB12E" w14:textId="77777777" w:rsidTr="00FB0217">
        <w:tblPrEx>
          <w:tblCellMar>
            <w:left w:w="0" w:type="dxa"/>
            <w:right w:w="0" w:type="dxa"/>
          </w:tblCellMar>
        </w:tblPrEx>
        <w:trPr>
          <w:jc w:val="center"/>
        </w:trPr>
        <w:tc>
          <w:tcPr>
            <w:tcW w:w="4395" w:type="dxa"/>
            <w:tcBorders>
              <w:top w:val="nil"/>
              <w:left w:val="nil"/>
              <w:bottom w:val="nil"/>
              <w:right w:val="nil"/>
            </w:tcBorders>
            <w:tcMar>
              <w:left w:w="28" w:type="dxa"/>
              <w:right w:w="28" w:type="dxa"/>
            </w:tcMar>
          </w:tcPr>
          <w:p w14:paraId="4596FB73" w14:textId="77777777" w:rsidR="00FB0217" w:rsidRPr="005A1FCA" w:rsidRDefault="00FB0217" w:rsidP="00281D62">
            <w:pPr>
              <w:pStyle w:val="Textkrper"/>
              <w:widowControl w:val="0"/>
              <w:ind w:left="252" w:hanging="252"/>
              <w:rPr>
                <w:rFonts w:ascii="Calibri" w:hAnsi="Calibri" w:cs="Calibri"/>
                <w:color w:val="ED0000"/>
                <w:sz w:val="22"/>
                <w:szCs w:val="22"/>
              </w:rPr>
            </w:pPr>
            <w:r w:rsidRPr="005A1FCA">
              <w:rPr>
                <w:rFonts w:ascii="Calibri" w:hAnsi="Calibri" w:cs="Calibri"/>
                <w:color w:val="ED0000"/>
                <w:sz w:val="22"/>
                <w:szCs w:val="22"/>
              </w:rPr>
              <w:t xml:space="preserve">a) </w:t>
            </w:r>
            <w:r w:rsidRPr="005A1FCA">
              <w:rPr>
                <w:rFonts w:ascii="Calibri" w:hAnsi="Calibri" w:cs="Calibri"/>
                <w:color w:val="ED0000"/>
                <w:sz w:val="22"/>
                <w:szCs w:val="22"/>
              </w:rPr>
              <w:tab/>
              <w:t>Einsparungen im Vergleich zu den ursprünglichen Prognosen erzielt werden, die zur Kompensation der gestiegenen Verarbeitungskosten verwendet werden,</w:t>
            </w:r>
          </w:p>
        </w:tc>
        <w:tc>
          <w:tcPr>
            <w:tcW w:w="708" w:type="dxa"/>
            <w:tcBorders>
              <w:top w:val="nil"/>
              <w:left w:val="nil"/>
              <w:bottom w:val="nil"/>
              <w:right w:val="nil"/>
            </w:tcBorders>
            <w:tcMar>
              <w:left w:w="28" w:type="dxa"/>
              <w:right w:w="28" w:type="dxa"/>
            </w:tcMar>
          </w:tcPr>
          <w:p w14:paraId="4C3945D1" w14:textId="77777777" w:rsidR="00FB0217" w:rsidRPr="005A1FCA" w:rsidRDefault="00FB0217" w:rsidP="00281D62">
            <w:pPr>
              <w:pStyle w:val="Textkrper"/>
              <w:widowControl w:val="0"/>
              <w:ind w:left="252" w:hanging="252"/>
              <w:rPr>
                <w:rFonts w:ascii="Calibri" w:hAnsi="Calibri" w:cs="Calibri"/>
                <w:color w:val="ED0000"/>
                <w:sz w:val="22"/>
                <w:szCs w:val="22"/>
              </w:rPr>
            </w:pPr>
          </w:p>
        </w:tc>
        <w:tc>
          <w:tcPr>
            <w:tcW w:w="4570" w:type="dxa"/>
            <w:gridSpan w:val="3"/>
            <w:tcBorders>
              <w:top w:val="nil"/>
              <w:left w:val="nil"/>
              <w:bottom w:val="nil"/>
              <w:right w:val="nil"/>
            </w:tcBorders>
            <w:tcMar>
              <w:left w:w="28" w:type="dxa"/>
              <w:right w:w="28" w:type="dxa"/>
            </w:tcMar>
          </w:tcPr>
          <w:p w14:paraId="4C383100" w14:textId="77777777" w:rsidR="00FB0217" w:rsidRPr="005A1FCA" w:rsidRDefault="00FB0217" w:rsidP="00281D62">
            <w:pPr>
              <w:pStyle w:val="Textkrper"/>
              <w:widowControl w:val="0"/>
              <w:ind w:left="252" w:hanging="252"/>
              <w:rPr>
                <w:rFonts w:ascii="Calibri" w:hAnsi="Calibri" w:cs="Calibri"/>
                <w:color w:val="ED0000"/>
                <w:sz w:val="22"/>
                <w:szCs w:val="22"/>
                <w:lang w:val="it-IT"/>
              </w:rPr>
            </w:pPr>
            <w:r w:rsidRPr="005A1FCA">
              <w:rPr>
                <w:rFonts w:ascii="Calibri" w:hAnsi="Calibri" w:cs="Calibri"/>
                <w:color w:val="ED0000"/>
                <w:sz w:val="22"/>
                <w:szCs w:val="22"/>
                <w:lang w:val="it-IT"/>
              </w:rPr>
              <w:t xml:space="preserve">a) </w:t>
            </w:r>
            <w:r w:rsidRPr="005A1FCA">
              <w:rPr>
                <w:rFonts w:ascii="Calibri" w:hAnsi="Calibri" w:cs="Calibri"/>
                <w:color w:val="ED0000"/>
                <w:sz w:val="22"/>
                <w:szCs w:val="22"/>
                <w:lang w:val="it-IT"/>
              </w:rPr>
              <w:tab/>
              <w:t>si assicurino risparmi, rispetto alle previsioni iniziali, da utilizzare in compensazione per far fronte alle variazioni in aumento dei costi delle lavorazioni;</w:t>
            </w:r>
          </w:p>
        </w:tc>
      </w:tr>
      <w:tr w:rsidR="00FB0217" w:rsidRPr="005A1FCA" w14:paraId="648D1E26" w14:textId="77777777" w:rsidTr="00FB0217">
        <w:tblPrEx>
          <w:tblCellMar>
            <w:left w:w="0" w:type="dxa"/>
            <w:right w:w="0" w:type="dxa"/>
          </w:tblCellMar>
        </w:tblPrEx>
        <w:trPr>
          <w:jc w:val="center"/>
        </w:trPr>
        <w:tc>
          <w:tcPr>
            <w:tcW w:w="4395" w:type="dxa"/>
            <w:tcBorders>
              <w:top w:val="nil"/>
              <w:left w:val="nil"/>
              <w:bottom w:val="nil"/>
              <w:right w:val="nil"/>
            </w:tcBorders>
            <w:tcMar>
              <w:left w:w="28" w:type="dxa"/>
              <w:right w:w="28" w:type="dxa"/>
            </w:tcMar>
          </w:tcPr>
          <w:p w14:paraId="3BE605EE" w14:textId="77777777" w:rsidR="00FB0217" w:rsidRPr="005A1FCA" w:rsidRDefault="00FB0217" w:rsidP="00281D62">
            <w:pPr>
              <w:pStyle w:val="Textkrper"/>
              <w:widowControl w:val="0"/>
              <w:ind w:left="252" w:hanging="252"/>
              <w:rPr>
                <w:rFonts w:ascii="Calibri" w:hAnsi="Calibri" w:cs="Calibri"/>
                <w:color w:val="ED0000"/>
                <w:spacing w:val="-2"/>
                <w:sz w:val="22"/>
                <w:szCs w:val="22"/>
              </w:rPr>
            </w:pPr>
            <w:r w:rsidRPr="005A1FCA">
              <w:rPr>
                <w:rFonts w:ascii="Calibri" w:hAnsi="Calibri" w:cs="Calibri"/>
                <w:color w:val="ED0000"/>
                <w:spacing w:val="-2"/>
                <w:sz w:val="22"/>
                <w:szCs w:val="22"/>
              </w:rPr>
              <w:t xml:space="preserve">b) </w:t>
            </w:r>
            <w:r w:rsidRPr="005A1FCA">
              <w:rPr>
                <w:rFonts w:ascii="Calibri" w:hAnsi="Calibri" w:cs="Calibri"/>
                <w:color w:val="ED0000"/>
                <w:spacing w:val="-2"/>
                <w:sz w:val="22"/>
                <w:szCs w:val="22"/>
              </w:rPr>
              <w:tab/>
              <w:t>gleichwertige oder bessere Lösungen in wirt</w:t>
            </w:r>
            <w:r w:rsidRPr="005A1FCA">
              <w:rPr>
                <w:rFonts w:ascii="Calibri" w:hAnsi="Calibri" w:cs="Calibri"/>
                <w:color w:val="ED0000"/>
                <w:spacing w:val="-2"/>
                <w:sz w:val="22"/>
                <w:szCs w:val="22"/>
              </w:rPr>
              <w:softHyphen/>
              <w:t>schaftlicher oder technischer Hinsicht oder in Bezug auf die Fertigstellungszeit des Bauwerks umgesetzt werden, einschließlich der nachträglich eingetretenen Möglichkeit, Materialien, Komponenten oder Technologien zu verwenden, die zum Zeitpunkt der Planung nicht verfügbar waren und die ohne zusätzliche Kosten zu erheblichen Verbesserungen der Qualität des Bauwerks oder eines Teiles davon oder zu einer Verkürzung der Fertigstellungszeiten führen können,</w:t>
            </w:r>
          </w:p>
        </w:tc>
        <w:tc>
          <w:tcPr>
            <w:tcW w:w="708" w:type="dxa"/>
            <w:tcBorders>
              <w:top w:val="nil"/>
              <w:left w:val="nil"/>
              <w:bottom w:val="nil"/>
              <w:right w:val="nil"/>
            </w:tcBorders>
            <w:tcMar>
              <w:left w:w="28" w:type="dxa"/>
              <w:right w:w="28" w:type="dxa"/>
            </w:tcMar>
          </w:tcPr>
          <w:p w14:paraId="027E5B99" w14:textId="77777777" w:rsidR="00FB0217" w:rsidRPr="005A1FCA" w:rsidRDefault="00FB0217" w:rsidP="00281D62">
            <w:pPr>
              <w:pStyle w:val="Textkrper"/>
              <w:widowControl w:val="0"/>
              <w:ind w:left="252" w:hanging="252"/>
              <w:rPr>
                <w:rFonts w:ascii="Calibri" w:hAnsi="Calibri" w:cs="Calibri"/>
                <w:color w:val="ED0000"/>
                <w:sz w:val="22"/>
                <w:szCs w:val="22"/>
              </w:rPr>
            </w:pPr>
          </w:p>
        </w:tc>
        <w:tc>
          <w:tcPr>
            <w:tcW w:w="4570" w:type="dxa"/>
            <w:gridSpan w:val="3"/>
            <w:tcBorders>
              <w:top w:val="nil"/>
              <w:left w:val="nil"/>
              <w:bottom w:val="nil"/>
              <w:right w:val="nil"/>
            </w:tcBorders>
            <w:tcMar>
              <w:left w:w="28" w:type="dxa"/>
              <w:right w:w="28" w:type="dxa"/>
            </w:tcMar>
          </w:tcPr>
          <w:p w14:paraId="448CB1C8" w14:textId="77777777" w:rsidR="00FB0217" w:rsidRPr="005A1FCA" w:rsidRDefault="00FB0217" w:rsidP="00281D62">
            <w:pPr>
              <w:pStyle w:val="Textkrper"/>
              <w:widowControl w:val="0"/>
              <w:ind w:left="252" w:hanging="252"/>
              <w:rPr>
                <w:rFonts w:ascii="Calibri" w:hAnsi="Calibri" w:cs="Calibri"/>
                <w:color w:val="ED0000"/>
                <w:sz w:val="22"/>
                <w:szCs w:val="22"/>
                <w:lang w:val="it-IT"/>
              </w:rPr>
            </w:pPr>
            <w:r w:rsidRPr="005A1FCA">
              <w:rPr>
                <w:rFonts w:ascii="Calibri" w:hAnsi="Calibri" w:cs="Calibri"/>
                <w:color w:val="ED0000"/>
                <w:sz w:val="22"/>
                <w:szCs w:val="22"/>
                <w:lang w:val="it-IT"/>
              </w:rPr>
              <w:t xml:space="preserve">b) </w:t>
            </w:r>
            <w:r w:rsidRPr="005A1FCA">
              <w:rPr>
                <w:rFonts w:ascii="Calibri" w:hAnsi="Calibri" w:cs="Calibri"/>
                <w:color w:val="ED0000"/>
                <w:sz w:val="22"/>
                <w:szCs w:val="22"/>
                <w:lang w:val="it-IT"/>
              </w:rPr>
              <w:tab/>
              <w:t>si realizzino soluzioni equivalenti o migliorative in termini economici, tecnici o di tempi di ultimazione dell’opera, ivi compresa la sopravvenuta possibilità di utilizzo di materiali, componenti o tecnologie non esistenti al momento della progettazione che possono determinare, senza incremento dei costi, significativi miglioramenti nella qualità dell’opera o di parte di essa, o riduzione dei tempi di ultimazione;</w:t>
            </w:r>
          </w:p>
        </w:tc>
      </w:tr>
      <w:tr w:rsidR="00FB0217" w:rsidRPr="005A1FCA" w14:paraId="13CC27FE" w14:textId="77777777" w:rsidTr="00FB0217">
        <w:tblPrEx>
          <w:tblCellMar>
            <w:left w:w="0" w:type="dxa"/>
            <w:right w:w="0" w:type="dxa"/>
          </w:tblCellMar>
        </w:tblPrEx>
        <w:trPr>
          <w:jc w:val="center"/>
        </w:trPr>
        <w:tc>
          <w:tcPr>
            <w:tcW w:w="4395" w:type="dxa"/>
            <w:tcBorders>
              <w:top w:val="nil"/>
              <w:left w:val="nil"/>
              <w:bottom w:val="nil"/>
              <w:right w:val="nil"/>
            </w:tcBorders>
            <w:tcMar>
              <w:left w:w="28" w:type="dxa"/>
              <w:right w:w="28" w:type="dxa"/>
            </w:tcMar>
          </w:tcPr>
          <w:p w14:paraId="249458DE" w14:textId="62AAACD1" w:rsidR="00FB0217" w:rsidRPr="005A1FCA" w:rsidRDefault="00FB0217" w:rsidP="00281D62">
            <w:pPr>
              <w:pStyle w:val="Textkrper"/>
              <w:widowControl w:val="0"/>
              <w:ind w:left="252" w:hanging="252"/>
              <w:rPr>
                <w:rFonts w:ascii="Calibri" w:hAnsi="Calibri" w:cs="Calibri"/>
                <w:color w:val="ED0000"/>
                <w:sz w:val="22"/>
                <w:szCs w:val="22"/>
              </w:rPr>
            </w:pPr>
            <w:r w:rsidRPr="005A1FCA">
              <w:rPr>
                <w:rFonts w:ascii="Calibri" w:hAnsi="Calibri" w:cs="Calibri"/>
                <w:color w:val="ED0000"/>
                <w:sz w:val="22"/>
                <w:szCs w:val="22"/>
              </w:rPr>
              <w:t xml:space="preserve">c) </w:t>
            </w:r>
            <w:r w:rsidRPr="005A1FCA">
              <w:rPr>
                <w:rFonts w:ascii="Calibri" w:hAnsi="Calibri" w:cs="Calibri"/>
                <w:color w:val="ED0000"/>
                <w:sz w:val="22"/>
                <w:szCs w:val="22"/>
              </w:rPr>
              <w:tab/>
              <w:t>die Maßnahmen, die von der Bauleitung zur Lösung technischer Probleme angeordnet werden, die während der Ausführung der Arbeiten aufgetreten sind und die mit den in der Kostenübersicht des Bauwerkes veranschlagten Mitteln finanziert werden können.</w:t>
            </w:r>
          </w:p>
          <w:p w14:paraId="14CA7624" w14:textId="77777777" w:rsidR="00FB0217" w:rsidRPr="005A1FCA" w:rsidRDefault="00FB0217" w:rsidP="00281D62">
            <w:pPr>
              <w:pStyle w:val="Textkrper"/>
              <w:widowControl w:val="0"/>
              <w:ind w:left="252" w:hanging="252"/>
              <w:rPr>
                <w:rFonts w:ascii="Calibri" w:hAnsi="Calibri" w:cs="Calibri"/>
                <w:color w:val="ED0000"/>
                <w:sz w:val="22"/>
                <w:szCs w:val="22"/>
              </w:rPr>
            </w:pPr>
          </w:p>
        </w:tc>
        <w:tc>
          <w:tcPr>
            <w:tcW w:w="708" w:type="dxa"/>
            <w:tcBorders>
              <w:top w:val="nil"/>
              <w:left w:val="nil"/>
              <w:bottom w:val="nil"/>
              <w:right w:val="nil"/>
            </w:tcBorders>
            <w:tcMar>
              <w:left w:w="28" w:type="dxa"/>
              <w:right w:w="28" w:type="dxa"/>
            </w:tcMar>
          </w:tcPr>
          <w:p w14:paraId="362310DB" w14:textId="77777777" w:rsidR="00FB0217" w:rsidRPr="005A1FCA" w:rsidRDefault="00FB0217" w:rsidP="00281D62">
            <w:pPr>
              <w:pStyle w:val="Textkrper"/>
              <w:widowControl w:val="0"/>
              <w:ind w:left="252" w:hanging="252"/>
              <w:rPr>
                <w:rFonts w:ascii="Calibri" w:hAnsi="Calibri" w:cs="Calibri"/>
                <w:color w:val="ED0000"/>
                <w:sz w:val="22"/>
                <w:szCs w:val="22"/>
              </w:rPr>
            </w:pPr>
          </w:p>
        </w:tc>
        <w:tc>
          <w:tcPr>
            <w:tcW w:w="4570" w:type="dxa"/>
            <w:gridSpan w:val="3"/>
            <w:tcBorders>
              <w:top w:val="nil"/>
              <w:left w:val="nil"/>
              <w:bottom w:val="nil"/>
              <w:right w:val="nil"/>
            </w:tcBorders>
            <w:tcMar>
              <w:left w:w="28" w:type="dxa"/>
              <w:right w:w="28" w:type="dxa"/>
            </w:tcMar>
          </w:tcPr>
          <w:p w14:paraId="7A4A69DC" w14:textId="48B4BB65" w:rsidR="00FB0217" w:rsidRPr="005A1FCA" w:rsidRDefault="00FB0217" w:rsidP="00281D62">
            <w:pPr>
              <w:pStyle w:val="Textkrper"/>
              <w:widowControl w:val="0"/>
              <w:ind w:left="252" w:hanging="252"/>
              <w:rPr>
                <w:rFonts w:ascii="Calibri" w:hAnsi="Calibri" w:cs="Calibri"/>
                <w:color w:val="ED0000"/>
                <w:sz w:val="22"/>
                <w:szCs w:val="22"/>
                <w:lang w:val="it-IT"/>
              </w:rPr>
            </w:pPr>
            <w:r w:rsidRPr="005A1FCA">
              <w:rPr>
                <w:rFonts w:ascii="Calibri" w:hAnsi="Calibri" w:cs="Calibri"/>
                <w:color w:val="ED0000"/>
                <w:sz w:val="22"/>
                <w:szCs w:val="22"/>
                <w:lang w:val="it-IT"/>
              </w:rPr>
              <w:t xml:space="preserve">c) </w:t>
            </w:r>
            <w:r w:rsidRPr="005A1FCA">
              <w:rPr>
                <w:rFonts w:ascii="Calibri" w:hAnsi="Calibri" w:cs="Calibri"/>
                <w:color w:val="ED0000"/>
                <w:sz w:val="22"/>
                <w:szCs w:val="22"/>
                <w:lang w:val="it-IT"/>
              </w:rPr>
              <w:tab/>
              <w:t>si realizzino gli interventi imposti dalla direzione dei lavori per la soluzione di questioni tecniche emerse nell’esecuzione dei lavori che possano essere finanziati con le risorse iscritte nel quadro economico dell’opera.</w:t>
            </w:r>
          </w:p>
        </w:tc>
      </w:tr>
      <w:tr w:rsidR="00F634AF" w:rsidRPr="005A1FCA" w14:paraId="4C498054" w14:textId="77777777" w:rsidTr="00FB0217">
        <w:trPr>
          <w:gridAfter w:val="1"/>
          <w:wAfter w:w="34" w:type="dxa"/>
          <w:jc w:val="center"/>
        </w:trPr>
        <w:tc>
          <w:tcPr>
            <w:tcW w:w="9639" w:type="dxa"/>
            <w:gridSpan w:val="4"/>
          </w:tcPr>
          <w:p w14:paraId="45E70F79" w14:textId="4F594DD9" w:rsidR="00F634AF" w:rsidRPr="005A1FCA" w:rsidRDefault="00F634AF" w:rsidP="00FE7A4A">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tc>
      </w:tr>
    </w:tbl>
    <w:p w14:paraId="772095B4" w14:textId="77777777" w:rsidR="00302B0C" w:rsidRPr="005A1FCA" w:rsidRDefault="00302B0C" w:rsidP="007C322F">
      <w:pPr>
        <w:jc w:val="center"/>
        <w:rPr>
          <w:rFonts w:ascii="Calibri" w:hAnsi="Calibri" w:cs="Calibri"/>
          <w:sz w:val="22"/>
          <w:szCs w:val="22"/>
          <w:lang w:val="it-IT"/>
        </w:rPr>
      </w:pPr>
    </w:p>
    <w:p w14:paraId="2954A99F" w14:textId="77777777" w:rsidR="00302B0C" w:rsidRPr="005A1FCA" w:rsidRDefault="00302B0C" w:rsidP="00302B0C">
      <w:pPr>
        <w:jc w:val="center"/>
        <w:rPr>
          <w:rFonts w:ascii="Calibri" w:hAnsi="Calibri" w:cs="Calibri"/>
          <w:b/>
          <w:bCs/>
          <w:i/>
          <w:iCs/>
          <w:sz w:val="22"/>
          <w:szCs w:val="22"/>
          <w:lang w:val="it-IT"/>
        </w:rPr>
      </w:pPr>
    </w:p>
    <w:tbl>
      <w:tblPr>
        <w:tblW w:w="9639" w:type="dxa"/>
        <w:jc w:val="center"/>
        <w:tblLayout w:type="fixed"/>
        <w:tblCellMar>
          <w:left w:w="71" w:type="dxa"/>
          <w:right w:w="71" w:type="dxa"/>
        </w:tblCellMar>
        <w:tblLook w:val="0000" w:firstRow="0" w:lastRow="0" w:firstColumn="0" w:lastColumn="0" w:noHBand="0" w:noVBand="0"/>
      </w:tblPr>
      <w:tblGrid>
        <w:gridCol w:w="4253"/>
        <w:gridCol w:w="850"/>
        <w:gridCol w:w="4536"/>
      </w:tblGrid>
      <w:tr w:rsidR="00302B0C" w:rsidRPr="005A1FCA" w14:paraId="067384E8" w14:textId="77777777" w:rsidTr="00FE7A4A">
        <w:trPr>
          <w:jc w:val="center"/>
        </w:trPr>
        <w:tc>
          <w:tcPr>
            <w:tcW w:w="4253" w:type="dxa"/>
          </w:tcPr>
          <w:p w14:paraId="27750F60" w14:textId="4F814531" w:rsidR="00302B0C" w:rsidRPr="005A1FCA" w:rsidRDefault="00302B0C" w:rsidP="007C322F">
            <w:pPr>
              <w:shd w:val="clear" w:color="auto" w:fill="FFFFFF"/>
              <w:jc w:val="center"/>
              <w:rPr>
                <w:rFonts w:ascii="Calibri" w:hAnsi="Calibri" w:cs="Calibri"/>
                <w:b/>
                <w:bCs/>
                <w:sz w:val="22"/>
                <w:szCs w:val="22"/>
              </w:rPr>
            </w:pPr>
            <w:r w:rsidRPr="005A1FCA">
              <w:rPr>
                <w:rFonts w:ascii="Calibri" w:hAnsi="Calibri" w:cs="Calibri"/>
                <w:b/>
                <w:bCs/>
                <w:sz w:val="22"/>
                <w:szCs w:val="22"/>
              </w:rPr>
              <w:t xml:space="preserve">Art. 49 </w:t>
            </w:r>
          </w:p>
        </w:tc>
        <w:tc>
          <w:tcPr>
            <w:tcW w:w="850" w:type="dxa"/>
          </w:tcPr>
          <w:p w14:paraId="50DB8D3F" w14:textId="77777777" w:rsidR="00302B0C" w:rsidRPr="005A1FCA" w:rsidRDefault="00302B0C" w:rsidP="000C19B0">
            <w:pPr>
              <w:jc w:val="center"/>
              <w:rPr>
                <w:rFonts w:ascii="Calibri" w:hAnsi="Calibri" w:cs="Calibri"/>
                <w:b/>
                <w:bCs/>
                <w:sz w:val="22"/>
                <w:szCs w:val="22"/>
              </w:rPr>
            </w:pPr>
          </w:p>
        </w:tc>
        <w:tc>
          <w:tcPr>
            <w:tcW w:w="4536" w:type="dxa"/>
          </w:tcPr>
          <w:p w14:paraId="090E58DB" w14:textId="2D48512D" w:rsidR="00302B0C" w:rsidRPr="005A1FCA" w:rsidRDefault="00302B0C" w:rsidP="007C322F">
            <w:pPr>
              <w:shd w:val="clear" w:color="auto" w:fill="FFFFFF"/>
              <w:jc w:val="center"/>
              <w:rPr>
                <w:rFonts w:ascii="Calibri" w:hAnsi="Calibri" w:cs="Calibri"/>
                <w:b/>
                <w:bCs/>
                <w:sz w:val="22"/>
                <w:szCs w:val="22"/>
              </w:rPr>
            </w:pPr>
            <w:r w:rsidRPr="005A1FCA">
              <w:rPr>
                <w:rFonts w:ascii="Calibri" w:hAnsi="Calibri" w:cs="Calibri"/>
                <w:b/>
                <w:bCs/>
                <w:sz w:val="22"/>
                <w:szCs w:val="22"/>
              </w:rPr>
              <w:t xml:space="preserve">Art. 49 </w:t>
            </w:r>
          </w:p>
        </w:tc>
      </w:tr>
      <w:tr w:rsidR="007C322F" w:rsidRPr="005A1FCA" w14:paraId="668EBAF0" w14:textId="77777777" w:rsidTr="00FE7A4A">
        <w:trPr>
          <w:jc w:val="center"/>
        </w:trPr>
        <w:tc>
          <w:tcPr>
            <w:tcW w:w="4253" w:type="dxa"/>
          </w:tcPr>
          <w:p w14:paraId="4D15B73F" w14:textId="5AD599FC" w:rsidR="007C322F" w:rsidRPr="005A1FCA" w:rsidRDefault="007C322F" w:rsidP="000C19B0">
            <w:pPr>
              <w:shd w:val="clear" w:color="auto" w:fill="FFFFFF"/>
              <w:jc w:val="center"/>
              <w:rPr>
                <w:rFonts w:ascii="Calibri" w:hAnsi="Calibri" w:cs="Calibri"/>
                <w:sz w:val="22"/>
                <w:szCs w:val="22"/>
              </w:rPr>
            </w:pPr>
            <w:r w:rsidRPr="005A1FCA">
              <w:rPr>
                <w:rFonts w:ascii="Calibri" w:hAnsi="Calibri" w:cs="Calibri"/>
                <w:sz w:val="22"/>
                <w:szCs w:val="22"/>
              </w:rPr>
              <w:t>(Abrechnung der Bauarbeiten)</w:t>
            </w:r>
          </w:p>
        </w:tc>
        <w:tc>
          <w:tcPr>
            <w:tcW w:w="850" w:type="dxa"/>
          </w:tcPr>
          <w:p w14:paraId="5523D995" w14:textId="77777777" w:rsidR="007C322F" w:rsidRPr="005A1FCA" w:rsidRDefault="007C322F" w:rsidP="000C19B0">
            <w:pPr>
              <w:jc w:val="center"/>
              <w:rPr>
                <w:rFonts w:ascii="Calibri" w:hAnsi="Calibri" w:cs="Calibri"/>
                <w:sz w:val="22"/>
                <w:szCs w:val="22"/>
              </w:rPr>
            </w:pPr>
          </w:p>
        </w:tc>
        <w:tc>
          <w:tcPr>
            <w:tcW w:w="4536" w:type="dxa"/>
          </w:tcPr>
          <w:p w14:paraId="0AFA1E13" w14:textId="77777777" w:rsidR="007C322F" w:rsidRPr="005A1FCA" w:rsidRDefault="007C322F" w:rsidP="000C19B0">
            <w:pPr>
              <w:shd w:val="clear" w:color="auto" w:fill="FFFFFF"/>
              <w:jc w:val="center"/>
              <w:rPr>
                <w:rFonts w:ascii="Calibri" w:hAnsi="Calibri" w:cs="Calibri"/>
                <w:sz w:val="22"/>
                <w:szCs w:val="22"/>
              </w:rPr>
            </w:pPr>
            <w:r w:rsidRPr="005A1FCA">
              <w:rPr>
                <w:rFonts w:ascii="Calibri" w:hAnsi="Calibri" w:cs="Calibri"/>
                <w:sz w:val="22"/>
                <w:szCs w:val="22"/>
              </w:rPr>
              <w:t>(Contabilità dei lavori)</w:t>
            </w:r>
          </w:p>
          <w:p w14:paraId="5B5EFFF8" w14:textId="1F68B371" w:rsidR="00C14BB6" w:rsidRPr="005A1FCA" w:rsidRDefault="00C14BB6" w:rsidP="000C19B0">
            <w:pPr>
              <w:shd w:val="clear" w:color="auto" w:fill="FFFFFF"/>
              <w:jc w:val="center"/>
              <w:rPr>
                <w:rFonts w:ascii="Calibri" w:hAnsi="Calibri" w:cs="Calibri"/>
                <w:sz w:val="22"/>
                <w:szCs w:val="22"/>
              </w:rPr>
            </w:pPr>
          </w:p>
        </w:tc>
      </w:tr>
      <w:tr w:rsidR="00F634AF" w:rsidRPr="005A1FCA" w14:paraId="1F9B6DD1" w14:textId="77777777" w:rsidTr="00FE7A4A">
        <w:trPr>
          <w:jc w:val="center"/>
        </w:trPr>
        <w:tc>
          <w:tcPr>
            <w:tcW w:w="9639" w:type="dxa"/>
            <w:gridSpan w:val="3"/>
          </w:tcPr>
          <w:p w14:paraId="53589270" w14:textId="77777777" w:rsidR="00F634AF" w:rsidRPr="005A1FCA" w:rsidRDefault="00F634AF" w:rsidP="000C19B0">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p w14:paraId="07F6BC1E" w14:textId="77777777" w:rsidR="00F634AF" w:rsidRPr="005A1FCA" w:rsidRDefault="00F634AF" w:rsidP="000C19B0">
            <w:pPr>
              <w:jc w:val="center"/>
              <w:rPr>
                <w:rFonts w:ascii="Calibri" w:hAnsi="Calibri" w:cs="Calibri"/>
                <w:b/>
                <w:bCs/>
                <w:i/>
                <w:iCs/>
                <w:sz w:val="22"/>
                <w:szCs w:val="22"/>
                <w:lang w:val="it-IT"/>
              </w:rPr>
            </w:pPr>
          </w:p>
        </w:tc>
      </w:tr>
      <w:tr w:rsidR="00FB0217" w:rsidRPr="005A1FCA" w14:paraId="3D7A8F22" w14:textId="77777777" w:rsidTr="00FE7A4A">
        <w:trPr>
          <w:jc w:val="center"/>
        </w:trPr>
        <w:tc>
          <w:tcPr>
            <w:tcW w:w="4253" w:type="dxa"/>
          </w:tcPr>
          <w:p w14:paraId="113926E3" w14:textId="369F0C6C" w:rsidR="00FB0217" w:rsidRPr="005A1FCA" w:rsidRDefault="00FB0217" w:rsidP="00FB0217">
            <w:pPr>
              <w:jc w:val="both"/>
              <w:rPr>
                <w:rFonts w:ascii="Calibri" w:hAnsi="Calibri" w:cs="Calibri"/>
                <w:color w:val="ED0000"/>
                <w:sz w:val="22"/>
                <w:szCs w:val="22"/>
                <w:lang w:eastAsia="de-DE"/>
              </w:rPr>
            </w:pPr>
            <w:r w:rsidRPr="005A1FCA">
              <w:rPr>
                <w:rFonts w:ascii="Calibri" w:hAnsi="Calibri" w:cs="Calibri"/>
                <w:color w:val="ED0000"/>
                <w:sz w:val="22"/>
                <w:szCs w:val="22"/>
              </w:rPr>
              <w:t>2-bis. Für Arbeiten, Dienstleistungen und Lieferungen unter 40.000,00 Euro ist die Führung einer vereinfachten Buchhaltung zulässig, nachdem die Bauleitung oder die Leitung der Vertragsdurchführung überprüft hat, ob die erbrachte Leistung mit dem in Rechnung gestellten Betrag übereinstimmt, wobei die tatsächlich erbrachte Leistung zu berücksichtigen ist. Die Bescheinigung über die ordnungsgemäße Ausführung kann durch das Anbringen des Sichtvermerks durch die Bauleitung oder die Leitung der Vertragsdurchführung auf den Ausgaberechnungen ersetzt werden.</w:t>
            </w:r>
          </w:p>
        </w:tc>
        <w:tc>
          <w:tcPr>
            <w:tcW w:w="850" w:type="dxa"/>
          </w:tcPr>
          <w:p w14:paraId="58958C15" w14:textId="77777777" w:rsidR="00FB0217" w:rsidRPr="005A1FCA" w:rsidRDefault="00FB0217" w:rsidP="00FB0217">
            <w:pPr>
              <w:jc w:val="both"/>
              <w:rPr>
                <w:rFonts w:ascii="Calibri" w:hAnsi="Calibri" w:cs="Calibri"/>
                <w:color w:val="ED0000"/>
                <w:sz w:val="22"/>
                <w:szCs w:val="22"/>
              </w:rPr>
            </w:pPr>
          </w:p>
        </w:tc>
        <w:tc>
          <w:tcPr>
            <w:tcW w:w="4536" w:type="dxa"/>
          </w:tcPr>
          <w:p w14:paraId="7C2BF59D" w14:textId="05020ED9" w:rsidR="00FB0217" w:rsidRPr="005A1FCA" w:rsidRDefault="00FB0217" w:rsidP="00FB0217">
            <w:pPr>
              <w:shd w:val="clear" w:color="auto" w:fill="FFFFFF"/>
              <w:jc w:val="both"/>
              <w:rPr>
                <w:rFonts w:ascii="Calibri" w:hAnsi="Calibri" w:cs="Calibri"/>
                <w:color w:val="ED0000"/>
                <w:sz w:val="22"/>
                <w:szCs w:val="22"/>
                <w:lang w:val="it-IT"/>
              </w:rPr>
            </w:pPr>
            <w:r w:rsidRPr="005A1FCA">
              <w:rPr>
                <w:rFonts w:ascii="Calibri" w:hAnsi="Calibri" w:cs="Calibri"/>
                <w:color w:val="ED0000"/>
                <w:sz w:val="22"/>
                <w:szCs w:val="22"/>
                <w:lang w:val="it-IT"/>
              </w:rPr>
              <w:t>2-bis. Per i lavori, i servizi e le forniture di importo inferiore a 40.000,00 euro è consentita la tenuta di una contabilità semplificata, previa verifica, da parte della direzione dei lavori o della direzione dell’esecuzione dei contratti, della corrispondenza fra prestazione fornita e importo fatturato, tenendo conto della prestazione effettivamente fornita. Il certificato di regolare esecuzione può essere sostituito con l’apposizione del visto da parte della direzione dei lavori o della direzione dell’esecuzione dei contratti sulle fatture di spesa.</w:t>
            </w:r>
          </w:p>
        </w:tc>
      </w:tr>
      <w:tr w:rsidR="00FB0217" w:rsidRPr="005A1FCA" w14:paraId="6167C9A6" w14:textId="77777777" w:rsidTr="00FE7A4A">
        <w:trPr>
          <w:jc w:val="center"/>
        </w:trPr>
        <w:tc>
          <w:tcPr>
            <w:tcW w:w="4253" w:type="dxa"/>
          </w:tcPr>
          <w:p w14:paraId="21D1D203" w14:textId="77777777" w:rsidR="00FB0217" w:rsidRPr="005A1FCA" w:rsidRDefault="00FB0217" w:rsidP="00FB0217">
            <w:pPr>
              <w:jc w:val="both"/>
              <w:rPr>
                <w:rFonts w:ascii="Calibri" w:hAnsi="Calibri" w:cs="Calibri"/>
                <w:sz w:val="22"/>
                <w:szCs w:val="22"/>
                <w:lang w:val="it-IT" w:eastAsia="de-DE"/>
              </w:rPr>
            </w:pPr>
          </w:p>
        </w:tc>
        <w:tc>
          <w:tcPr>
            <w:tcW w:w="850" w:type="dxa"/>
          </w:tcPr>
          <w:p w14:paraId="09727B95" w14:textId="77777777" w:rsidR="00FB0217" w:rsidRPr="005A1FCA" w:rsidRDefault="00FB0217" w:rsidP="00FB0217">
            <w:pPr>
              <w:jc w:val="both"/>
              <w:rPr>
                <w:rFonts w:ascii="Calibri" w:hAnsi="Calibri" w:cs="Calibri"/>
                <w:sz w:val="22"/>
                <w:szCs w:val="22"/>
                <w:lang w:val="it-IT"/>
              </w:rPr>
            </w:pPr>
          </w:p>
        </w:tc>
        <w:tc>
          <w:tcPr>
            <w:tcW w:w="4536" w:type="dxa"/>
          </w:tcPr>
          <w:p w14:paraId="07FBC957" w14:textId="77777777" w:rsidR="00FB0217" w:rsidRPr="005A1FCA" w:rsidRDefault="00FB0217" w:rsidP="00FB0217">
            <w:pPr>
              <w:shd w:val="clear" w:color="auto" w:fill="FFFFFF"/>
              <w:jc w:val="both"/>
              <w:rPr>
                <w:rFonts w:ascii="Calibri" w:hAnsi="Calibri" w:cs="Calibri"/>
                <w:sz w:val="22"/>
                <w:szCs w:val="22"/>
                <w:lang w:val="it-IT"/>
              </w:rPr>
            </w:pPr>
          </w:p>
        </w:tc>
      </w:tr>
      <w:tr w:rsidR="00FB0217" w:rsidRPr="005A1FCA" w14:paraId="47B52D1C" w14:textId="77777777" w:rsidTr="00FE7A4A">
        <w:trPr>
          <w:jc w:val="center"/>
        </w:trPr>
        <w:tc>
          <w:tcPr>
            <w:tcW w:w="4253" w:type="dxa"/>
          </w:tcPr>
          <w:p w14:paraId="65AFC43D" w14:textId="77777777" w:rsidR="00FB0217" w:rsidRPr="005A1FCA" w:rsidRDefault="00FB0217" w:rsidP="00FB0217">
            <w:pPr>
              <w:shd w:val="clear" w:color="auto" w:fill="FFFFFF"/>
              <w:jc w:val="both"/>
              <w:rPr>
                <w:rFonts w:ascii="Calibri" w:hAnsi="Calibri" w:cs="Calibri"/>
                <w:sz w:val="22"/>
                <w:szCs w:val="22"/>
                <w:lang w:eastAsia="de-DE"/>
              </w:rPr>
            </w:pPr>
            <w:r w:rsidRPr="005A1FCA">
              <w:rPr>
                <w:rFonts w:ascii="Calibri" w:hAnsi="Calibri" w:cs="Calibri"/>
                <w:sz w:val="22"/>
                <w:szCs w:val="22"/>
                <w:lang w:eastAsia="de-DE"/>
              </w:rPr>
              <w:t>(3) Die Zahlungen nach Baufortschritten haben monatlich zu erfolgen</w:t>
            </w:r>
            <w:r w:rsidRPr="005A1FCA">
              <w:rPr>
                <w:rFonts w:ascii="Calibri" w:hAnsi="Calibri" w:cs="Calibri"/>
                <w:color w:val="E40000"/>
                <w:sz w:val="22"/>
                <w:szCs w:val="22"/>
              </w:rPr>
              <w:t>, sofern in den besonderen Vertragsbedingungen nicht anders festgelegt,</w:t>
            </w:r>
            <w:r w:rsidRPr="005A1FCA">
              <w:rPr>
                <w:rFonts w:ascii="Calibri" w:hAnsi="Calibri" w:cs="Calibri"/>
                <w:sz w:val="22"/>
                <w:szCs w:val="22"/>
              </w:rPr>
              <w:t xml:space="preserve"> </w:t>
            </w:r>
            <w:r w:rsidRPr="005A1FCA">
              <w:rPr>
                <w:rFonts w:ascii="Calibri" w:hAnsi="Calibri" w:cs="Calibri"/>
                <w:sz w:val="22"/>
                <w:szCs w:val="22"/>
                <w:lang w:eastAsia="de-DE"/>
              </w:rPr>
              <w:t xml:space="preserve">und werden in Form einer Anzahlung ausbezahlt. Bei Unteraufträgen wird die unmittelbare und direkte Bezahlung der Unterauftragnehmer gewährleistet. Diese können entscheiden, ob sie die Direktbezahlung von der Vergabestelle oder vom auftraggebenden Unternehmen bevorzugen. </w:t>
            </w:r>
          </w:p>
        </w:tc>
        <w:tc>
          <w:tcPr>
            <w:tcW w:w="850" w:type="dxa"/>
          </w:tcPr>
          <w:p w14:paraId="23083752" w14:textId="77777777" w:rsidR="00FB0217" w:rsidRPr="005A1FCA" w:rsidRDefault="00FB0217" w:rsidP="00FB0217">
            <w:pPr>
              <w:jc w:val="both"/>
              <w:rPr>
                <w:rFonts w:ascii="Calibri" w:hAnsi="Calibri" w:cs="Calibri"/>
                <w:sz w:val="22"/>
                <w:szCs w:val="22"/>
              </w:rPr>
            </w:pPr>
          </w:p>
        </w:tc>
        <w:tc>
          <w:tcPr>
            <w:tcW w:w="4536" w:type="dxa"/>
          </w:tcPr>
          <w:p w14:paraId="0D3F127E" w14:textId="77777777" w:rsidR="00FB0217" w:rsidRPr="005A1FCA" w:rsidRDefault="00FB0217" w:rsidP="00FB0217">
            <w:pPr>
              <w:shd w:val="clear" w:color="auto" w:fill="FFFFFF"/>
              <w:jc w:val="both"/>
              <w:rPr>
                <w:rFonts w:ascii="Calibri" w:hAnsi="Calibri" w:cs="Calibri"/>
                <w:sz w:val="22"/>
                <w:szCs w:val="22"/>
                <w:lang w:val="it-IT"/>
              </w:rPr>
            </w:pPr>
            <w:r w:rsidRPr="005A1FCA">
              <w:rPr>
                <w:rFonts w:ascii="Calibri" w:hAnsi="Calibri" w:cs="Calibri"/>
                <w:sz w:val="22"/>
                <w:szCs w:val="22"/>
                <w:lang w:val="it-IT"/>
              </w:rPr>
              <w:t>(3) I pagamenti per stati di avanzamento avvengono mensilmente</w:t>
            </w:r>
            <w:r w:rsidRPr="005A1FCA">
              <w:rPr>
                <w:rFonts w:ascii="Calibri" w:hAnsi="Calibri" w:cs="Calibri"/>
                <w:color w:val="E40000"/>
                <w:sz w:val="22"/>
                <w:szCs w:val="22"/>
                <w:lang w:val="it-IT"/>
              </w:rPr>
              <w:t xml:space="preserve">, se non diversamente stabilito dal capitolato speciale d’appalto, </w:t>
            </w:r>
            <w:r w:rsidRPr="005A1FCA">
              <w:rPr>
                <w:rFonts w:ascii="Calibri" w:hAnsi="Calibri" w:cs="Calibri"/>
                <w:sz w:val="22"/>
                <w:szCs w:val="22"/>
                <w:lang w:val="it-IT"/>
              </w:rPr>
              <w:t xml:space="preserve">e vengono corrisposti in forma di acconto. In caso di subappalto deve essere garantito il pagamento immediato e diretto degli operatori economici subappaltatori. Quest’ultimi possono decidere di essere pagati direttamente dalla stazione appaltante o dall’impresa committente. </w:t>
            </w:r>
          </w:p>
        </w:tc>
      </w:tr>
      <w:tr w:rsidR="00FB0217" w:rsidRPr="005A1FCA" w14:paraId="4159174E" w14:textId="77777777" w:rsidTr="00FE7A4A">
        <w:trPr>
          <w:jc w:val="center"/>
        </w:trPr>
        <w:tc>
          <w:tcPr>
            <w:tcW w:w="9639" w:type="dxa"/>
            <w:gridSpan w:val="3"/>
          </w:tcPr>
          <w:p w14:paraId="1177645C" w14:textId="77777777" w:rsidR="00FB0217" w:rsidRPr="005A1FCA" w:rsidRDefault="00FB0217" w:rsidP="00FB0217">
            <w:pPr>
              <w:jc w:val="center"/>
              <w:rPr>
                <w:rFonts w:ascii="Calibri" w:hAnsi="Calibri" w:cs="Calibri"/>
                <w:b/>
                <w:bCs/>
                <w:i/>
                <w:iCs/>
                <w:sz w:val="22"/>
                <w:szCs w:val="22"/>
                <w:lang w:val="it-IT"/>
              </w:rPr>
            </w:pPr>
          </w:p>
          <w:p w14:paraId="5A351450" w14:textId="386072C1" w:rsidR="00FB0217" w:rsidRPr="005A1FCA" w:rsidRDefault="00FB0217" w:rsidP="00FB0217">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tc>
      </w:tr>
    </w:tbl>
    <w:p w14:paraId="559FFB38" w14:textId="77777777" w:rsidR="00452D7E" w:rsidRPr="005A1FCA" w:rsidRDefault="00452D7E" w:rsidP="007C322F">
      <w:pPr>
        <w:jc w:val="center"/>
        <w:rPr>
          <w:rFonts w:ascii="Calibri" w:hAnsi="Calibri" w:cs="Calibri"/>
          <w:sz w:val="22"/>
          <w:szCs w:val="22"/>
          <w:lang w:val="it-IT"/>
        </w:rPr>
      </w:pPr>
    </w:p>
    <w:p w14:paraId="37B075CE" w14:textId="77777777" w:rsidR="00452D7E" w:rsidRPr="005A1FCA" w:rsidRDefault="00452D7E" w:rsidP="00452D7E">
      <w:pPr>
        <w:jc w:val="center"/>
        <w:rPr>
          <w:rFonts w:ascii="Calibri" w:hAnsi="Calibri" w:cs="Calibri"/>
          <w:b/>
          <w:bCs/>
          <w:i/>
          <w:iCs/>
          <w:sz w:val="22"/>
          <w:szCs w:val="22"/>
          <w:lang w:val="it-IT"/>
        </w:rPr>
      </w:pPr>
    </w:p>
    <w:tbl>
      <w:tblPr>
        <w:tblW w:w="9639" w:type="dxa"/>
        <w:jc w:val="center"/>
        <w:tblLayout w:type="fixed"/>
        <w:tblCellMar>
          <w:left w:w="71" w:type="dxa"/>
          <w:right w:w="71" w:type="dxa"/>
        </w:tblCellMar>
        <w:tblLook w:val="0000" w:firstRow="0" w:lastRow="0" w:firstColumn="0" w:lastColumn="0" w:noHBand="0" w:noVBand="0"/>
      </w:tblPr>
      <w:tblGrid>
        <w:gridCol w:w="4253"/>
        <w:gridCol w:w="850"/>
        <w:gridCol w:w="4536"/>
      </w:tblGrid>
      <w:tr w:rsidR="00280212" w:rsidRPr="005A1FCA" w14:paraId="1D96C79D" w14:textId="77777777" w:rsidTr="000C19B0">
        <w:trPr>
          <w:jc w:val="center"/>
        </w:trPr>
        <w:tc>
          <w:tcPr>
            <w:tcW w:w="4253" w:type="dxa"/>
          </w:tcPr>
          <w:p w14:paraId="1137A9D1" w14:textId="4AA2CCBF" w:rsidR="00280212" w:rsidRPr="005A1FCA" w:rsidRDefault="00280212" w:rsidP="007C322F">
            <w:pPr>
              <w:jc w:val="center"/>
              <w:rPr>
                <w:rFonts w:ascii="Calibri" w:hAnsi="Calibri" w:cs="Calibri"/>
                <w:b/>
                <w:bCs/>
                <w:sz w:val="22"/>
                <w:szCs w:val="22"/>
              </w:rPr>
            </w:pPr>
            <w:r w:rsidRPr="005A1FCA">
              <w:rPr>
                <w:rFonts w:ascii="Calibri" w:hAnsi="Calibri" w:cs="Calibri"/>
                <w:b/>
                <w:bCs/>
                <w:sz w:val="22"/>
                <w:szCs w:val="22"/>
              </w:rPr>
              <w:t>Art. 59</w:t>
            </w:r>
          </w:p>
        </w:tc>
        <w:tc>
          <w:tcPr>
            <w:tcW w:w="850" w:type="dxa"/>
          </w:tcPr>
          <w:p w14:paraId="1F7A6A67" w14:textId="77777777" w:rsidR="00280212" w:rsidRPr="005A1FCA" w:rsidRDefault="00280212" w:rsidP="000C19B0">
            <w:pPr>
              <w:jc w:val="center"/>
              <w:rPr>
                <w:rFonts w:ascii="Calibri" w:hAnsi="Calibri" w:cs="Calibri"/>
                <w:b/>
                <w:bCs/>
                <w:sz w:val="22"/>
                <w:szCs w:val="22"/>
              </w:rPr>
            </w:pPr>
          </w:p>
        </w:tc>
        <w:tc>
          <w:tcPr>
            <w:tcW w:w="4536" w:type="dxa"/>
          </w:tcPr>
          <w:p w14:paraId="535922BE" w14:textId="62959C91" w:rsidR="00280212" w:rsidRPr="005A1FCA" w:rsidRDefault="00280212" w:rsidP="007C322F">
            <w:pPr>
              <w:jc w:val="center"/>
              <w:rPr>
                <w:rFonts w:ascii="Calibri" w:hAnsi="Calibri" w:cs="Calibri"/>
                <w:b/>
                <w:bCs/>
                <w:sz w:val="22"/>
                <w:szCs w:val="22"/>
              </w:rPr>
            </w:pPr>
            <w:r w:rsidRPr="005A1FCA">
              <w:rPr>
                <w:rFonts w:ascii="Calibri" w:hAnsi="Calibri" w:cs="Calibri"/>
                <w:b/>
                <w:bCs/>
                <w:sz w:val="22"/>
                <w:szCs w:val="22"/>
              </w:rPr>
              <w:t>Art. 59</w:t>
            </w:r>
          </w:p>
        </w:tc>
      </w:tr>
      <w:tr w:rsidR="007C322F" w:rsidRPr="005A1FCA" w14:paraId="554F4BF1" w14:textId="77777777" w:rsidTr="000C19B0">
        <w:trPr>
          <w:jc w:val="center"/>
        </w:trPr>
        <w:tc>
          <w:tcPr>
            <w:tcW w:w="4253" w:type="dxa"/>
          </w:tcPr>
          <w:p w14:paraId="3785E82D" w14:textId="22059145" w:rsidR="007C322F" w:rsidRPr="005A1FCA" w:rsidRDefault="007C322F" w:rsidP="000C19B0">
            <w:pPr>
              <w:jc w:val="center"/>
              <w:rPr>
                <w:rFonts w:ascii="Calibri" w:hAnsi="Calibri" w:cs="Calibri"/>
                <w:sz w:val="22"/>
                <w:szCs w:val="22"/>
              </w:rPr>
            </w:pPr>
            <w:r w:rsidRPr="005A1FCA">
              <w:rPr>
                <w:rFonts w:ascii="Calibri" w:hAnsi="Calibri" w:cs="Calibri"/>
                <w:sz w:val="22"/>
                <w:szCs w:val="22"/>
              </w:rPr>
              <w:t>(Vorbehaltene Aufträge)</w:t>
            </w:r>
          </w:p>
        </w:tc>
        <w:tc>
          <w:tcPr>
            <w:tcW w:w="850" w:type="dxa"/>
          </w:tcPr>
          <w:p w14:paraId="2728CAAF" w14:textId="77777777" w:rsidR="007C322F" w:rsidRPr="005A1FCA" w:rsidRDefault="007C322F" w:rsidP="000C19B0">
            <w:pPr>
              <w:jc w:val="center"/>
              <w:rPr>
                <w:rFonts w:ascii="Calibri" w:hAnsi="Calibri" w:cs="Calibri"/>
                <w:sz w:val="22"/>
                <w:szCs w:val="22"/>
              </w:rPr>
            </w:pPr>
          </w:p>
        </w:tc>
        <w:tc>
          <w:tcPr>
            <w:tcW w:w="4536" w:type="dxa"/>
          </w:tcPr>
          <w:p w14:paraId="30BF097D" w14:textId="77777777" w:rsidR="007C322F" w:rsidRPr="005A1FCA" w:rsidRDefault="007C322F" w:rsidP="000C19B0">
            <w:pPr>
              <w:jc w:val="center"/>
              <w:rPr>
                <w:rFonts w:ascii="Calibri" w:hAnsi="Calibri" w:cs="Calibri"/>
                <w:sz w:val="22"/>
                <w:szCs w:val="22"/>
              </w:rPr>
            </w:pPr>
            <w:r w:rsidRPr="005A1FCA">
              <w:rPr>
                <w:rFonts w:ascii="Calibri" w:hAnsi="Calibri" w:cs="Calibri"/>
                <w:sz w:val="22"/>
                <w:szCs w:val="22"/>
              </w:rPr>
              <w:t>(Appalti riservati)</w:t>
            </w:r>
          </w:p>
          <w:p w14:paraId="62F46839" w14:textId="3ADC6531" w:rsidR="00C14BB6" w:rsidRPr="005A1FCA" w:rsidRDefault="00C14BB6" w:rsidP="000C19B0">
            <w:pPr>
              <w:jc w:val="center"/>
              <w:rPr>
                <w:rFonts w:ascii="Calibri" w:hAnsi="Calibri" w:cs="Calibri"/>
                <w:sz w:val="22"/>
                <w:szCs w:val="22"/>
              </w:rPr>
            </w:pPr>
          </w:p>
        </w:tc>
      </w:tr>
      <w:tr w:rsidR="00F634AF" w:rsidRPr="005A1FCA" w14:paraId="099656C9" w14:textId="77777777" w:rsidTr="000C19B0">
        <w:trPr>
          <w:jc w:val="center"/>
        </w:trPr>
        <w:tc>
          <w:tcPr>
            <w:tcW w:w="9639" w:type="dxa"/>
            <w:gridSpan w:val="3"/>
          </w:tcPr>
          <w:p w14:paraId="541EBD99" w14:textId="77777777" w:rsidR="00F634AF" w:rsidRPr="005A1FCA" w:rsidRDefault="00F634AF" w:rsidP="000C19B0">
            <w:pPr>
              <w:jc w:val="center"/>
              <w:rPr>
                <w:rFonts w:ascii="Calibri" w:hAnsi="Calibri" w:cs="Calibri"/>
                <w:b/>
                <w:bCs/>
                <w:i/>
                <w:iCs/>
                <w:sz w:val="22"/>
                <w:szCs w:val="22"/>
                <w:lang w:val="it-IT"/>
              </w:rPr>
            </w:pPr>
            <w:r w:rsidRPr="005A1FCA">
              <w:rPr>
                <w:rFonts w:ascii="Calibri" w:hAnsi="Calibri" w:cs="Calibri"/>
                <w:b/>
                <w:bCs/>
                <w:i/>
                <w:iCs/>
                <w:sz w:val="22"/>
                <w:szCs w:val="22"/>
                <w:lang w:val="it-IT"/>
              </w:rPr>
              <w:t>[…]</w:t>
            </w:r>
          </w:p>
          <w:p w14:paraId="3A5C7F8F" w14:textId="77777777" w:rsidR="00F634AF" w:rsidRPr="005A1FCA" w:rsidRDefault="00F634AF" w:rsidP="000C19B0">
            <w:pPr>
              <w:jc w:val="center"/>
              <w:rPr>
                <w:rFonts w:ascii="Calibri" w:hAnsi="Calibri" w:cs="Calibri"/>
                <w:b/>
                <w:bCs/>
                <w:i/>
                <w:iCs/>
                <w:sz w:val="22"/>
                <w:szCs w:val="22"/>
                <w:lang w:val="it-IT"/>
              </w:rPr>
            </w:pPr>
          </w:p>
        </w:tc>
      </w:tr>
      <w:tr w:rsidR="00280212" w:rsidRPr="005A1FCA" w14:paraId="43542185" w14:textId="77777777" w:rsidTr="00280212">
        <w:trPr>
          <w:trHeight w:val="851"/>
          <w:jc w:val="center"/>
        </w:trPr>
        <w:tc>
          <w:tcPr>
            <w:tcW w:w="4253" w:type="dxa"/>
          </w:tcPr>
          <w:p w14:paraId="796E5F5D" w14:textId="77777777" w:rsidR="00280212" w:rsidRPr="005A1FCA" w:rsidRDefault="00280212" w:rsidP="000C19B0">
            <w:pPr>
              <w:autoSpaceDE w:val="0"/>
              <w:autoSpaceDN w:val="0"/>
              <w:adjustRightInd w:val="0"/>
              <w:jc w:val="both"/>
              <w:rPr>
                <w:rFonts w:ascii="Calibri" w:hAnsi="Calibri" w:cs="Calibri"/>
                <w:i/>
                <w:iCs/>
                <w:color w:val="0070C0"/>
                <w:sz w:val="22"/>
                <w:szCs w:val="22"/>
                <w:lang w:eastAsia="de-DE"/>
              </w:rPr>
            </w:pPr>
            <w:r w:rsidRPr="005A1FCA">
              <w:rPr>
                <w:rFonts w:ascii="Calibri" w:hAnsi="Calibri" w:cs="Calibri"/>
                <w:sz w:val="22"/>
                <w:szCs w:val="22"/>
                <w:lang w:eastAsia="de-DE"/>
              </w:rPr>
              <w:t>(4) Die öffentlichen Auftraggeber, die Aufträge für Dienstleistungen ohne die Einschränkungen laut Absatz 1 vergeben möchten, können das Recht zur Teilnahme an Vergabeverfahren Sozialdiensten, die für die Arbeitsbeschäftigung zuständig sind, oder Wirtschaftsteilnehmern vorbehalten, deren Hauptzweck die soziale und berufliche Integration von Menschen mit Behinderungen oder von benachteiligten Personen ist, oder sie können bestimmen, dass solche Aufträge im Rahmen von Programmen mit geschützten Beschäftigungsverhältnissen durchgeführt werden, sofern mindestens 30 Prozent der Beschäftigten der Werkstätten, Wirtschaftsteilnehmer oder Programme Beschäftigte mit Behinderungen oder benachteiligte Beschäftigte sind. Im Aufruf zum Wettbewerb wird auf Artikel 20 der Richtlinie 2014/24/EU Bezug genommen.</w:t>
            </w:r>
            <w:r w:rsidRPr="005A1FCA">
              <w:rPr>
                <w:rFonts w:ascii="Calibri" w:hAnsi="Calibri" w:cs="Calibri"/>
                <w:i/>
                <w:iCs/>
                <w:sz w:val="22"/>
                <w:szCs w:val="22"/>
                <w:lang w:eastAsia="de-DE"/>
              </w:rPr>
              <w:t xml:space="preserve"> </w:t>
            </w:r>
            <w:r w:rsidRPr="005A1FCA">
              <w:rPr>
                <w:rFonts w:ascii="Calibri" w:hAnsi="Calibri" w:cs="Calibri"/>
                <w:strike/>
                <w:color w:val="E40000"/>
                <w:sz w:val="22"/>
                <w:szCs w:val="22"/>
                <w:lang w:eastAsia="de-DE"/>
              </w:rPr>
              <w:t xml:space="preserve">Die Vergabestellen und die konzessionsgebenden Körperschaften bestimmen in den Ausschreibungsbekanntmachungen, Aufrufen und Aufforderungen als notwendige Anforderungen oder zusätzliche Vorzugsanforderungen des Angebots geeignete Mechanismen und Instrumente zur Verwirklichung der Chancengleichheit zwischen den Generationen und der Gleichstellung der Geschlechter sowie zur beruflichen Eingliederung von Menschen mit Behinderungen oder Benachteiligten. Für die Anreizmechanismen und -instrumente zur Verwirklichung der Chancengleichheit zwischen den Generationen und der Gleichstellung der Geschlechter sowie zur Förderung der beruflichen Eingliederung von Menschen mit Behinderungen gelten die staatlichen Rechtsvorschriften. </w:t>
            </w:r>
          </w:p>
        </w:tc>
        <w:tc>
          <w:tcPr>
            <w:tcW w:w="850" w:type="dxa"/>
          </w:tcPr>
          <w:p w14:paraId="1A4D7AC8" w14:textId="77777777" w:rsidR="00280212" w:rsidRPr="005A1FCA" w:rsidRDefault="00280212" w:rsidP="000C19B0">
            <w:pPr>
              <w:jc w:val="both"/>
              <w:rPr>
                <w:rFonts w:ascii="Calibri" w:hAnsi="Calibri" w:cs="Calibri"/>
                <w:sz w:val="22"/>
                <w:szCs w:val="22"/>
                <w:highlight w:val="yellow"/>
              </w:rPr>
            </w:pPr>
          </w:p>
        </w:tc>
        <w:tc>
          <w:tcPr>
            <w:tcW w:w="4536" w:type="dxa"/>
          </w:tcPr>
          <w:p w14:paraId="296C1835" w14:textId="77777777" w:rsidR="00280212" w:rsidRPr="005A1FCA" w:rsidRDefault="00280212" w:rsidP="000C19B0">
            <w:pPr>
              <w:autoSpaceDE w:val="0"/>
              <w:autoSpaceDN w:val="0"/>
              <w:adjustRightInd w:val="0"/>
              <w:jc w:val="both"/>
              <w:rPr>
                <w:rFonts w:ascii="Calibri" w:hAnsi="Calibri" w:cs="Calibri"/>
                <w:i/>
                <w:iCs/>
                <w:color w:val="FF0000"/>
                <w:sz w:val="22"/>
                <w:szCs w:val="22"/>
                <w:lang w:val="it-IT" w:eastAsia="de-DE"/>
              </w:rPr>
            </w:pPr>
            <w:r w:rsidRPr="005A1FCA">
              <w:rPr>
                <w:rFonts w:ascii="Calibri" w:hAnsi="Calibri" w:cs="Calibri"/>
                <w:sz w:val="22"/>
                <w:szCs w:val="22"/>
                <w:lang w:val="it-IT"/>
              </w:rPr>
              <w:t>(4) Le amministrazioni aggiudicatrici che intendono procedere all’aggiudicazione di appalti di servizi, individuati senza le limitazioni di cui al comma 1, possono riservare il diritto di partecipare alle procedure a servizi sociali competenti per l’occupazione lavorativa e ad operatori economici il cui scopo principale sia l’integrazione sociale e professionale delle persone con disabilità o svantaggiate o possono riservarne l’esecuzione nel contesto di programmi di lavoro protetti, quando almeno il 30 per cento dei lavoratori delle persone occupate nei laboratori, presso gli operatori economici o nei programmi dei suddetti operatori economici sia composto da lavoratori con disabilità o da lavoratori svantaggiati. L’avviso di indizione di gara fa riferimento all’articolo 20 della direttiva 2014/24/UE.</w:t>
            </w:r>
            <w:r w:rsidRPr="005A1FCA">
              <w:rPr>
                <w:rFonts w:ascii="Calibri" w:hAnsi="Calibri" w:cs="Calibri"/>
                <w:sz w:val="22"/>
                <w:szCs w:val="22"/>
                <w:lang w:val="it-IT" w:eastAsia="de-DE"/>
              </w:rPr>
              <w:t xml:space="preserve"> </w:t>
            </w:r>
            <w:r w:rsidRPr="005A1FCA">
              <w:rPr>
                <w:rFonts w:ascii="Calibri" w:hAnsi="Calibri" w:cs="Calibri"/>
                <w:strike/>
                <w:color w:val="E40000"/>
                <w:sz w:val="22"/>
                <w:szCs w:val="22"/>
                <w:lang w:val="it-IT" w:eastAsia="de-DE"/>
              </w:rPr>
              <w:t>Le stazioni appaltanti e gli enti concedenti prevedono nei bandi di gara, negli avvisi e negli inviti, come requisiti necessari o come ulteriori requisiti premiali dell’offerta, meccanismi e strumenti idonei a realizzare le pari opportunità generazionali, di genere e di inclusione lavorativa per le persone con disabilità o svantaggiate. In relazione ai meccanismi e agli strumenti premiali per realizzare le pari opportunità generazionali e di genere e per promuovere l’inclusione lavorativa delle persone disabili trova applicazione la normativa statale</w:t>
            </w:r>
            <w:r w:rsidRPr="005A1FCA">
              <w:rPr>
                <w:rFonts w:ascii="Calibri" w:hAnsi="Calibri" w:cs="Calibri"/>
                <w:strike/>
                <w:color w:val="FF0000"/>
                <w:sz w:val="22"/>
                <w:szCs w:val="22"/>
                <w:lang w:val="it-IT" w:eastAsia="de-DE"/>
              </w:rPr>
              <w:t>.</w:t>
            </w:r>
            <w:r w:rsidRPr="005A1FCA">
              <w:rPr>
                <w:rFonts w:ascii="Calibri" w:hAnsi="Calibri" w:cs="Calibri"/>
                <w:i/>
                <w:iCs/>
                <w:color w:val="FF0000"/>
                <w:sz w:val="22"/>
                <w:szCs w:val="22"/>
                <w:lang w:val="it-IT" w:eastAsia="de-DE"/>
              </w:rPr>
              <w:t xml:space="preserve"> </w:t>
            </w:r>
          </w:p>
          <w:p w14:paraId="32E98305" w14:textId="77777777" w:rsidR="00280212" w:rsidRPr="005A1FCA" w:rsidRDefault="00280212" w:rsidP="000C19B0">
            <w:pPr>
              <w:shd w:val="clear" w:color="auto" w:fill="FFFFFF"/>
              <w:spacing w:after="150"/>
              <w:jc w:val="both"/>
              <w:outlineLvl w:val="1"/>
              <w:rPr>
                <w:rFonts w:ascii="Calibri" w:hAnsi="Calibri" w:cs="Calibri"/>
                <w:sz w:val="22"/>
                <w:szCs w:val="22"/>
                <w:lang w:val="it-IT"/>
              </w:rPr>
            </w:pPr>
          </w:p>
        </w:tc>
      </w:tr>
    </w:tbl>
    <w:p w14:paraId="0D9F225F" w14:textId="77777777" w:rsidR="001E6D57" w:rsidRPr="005A1FCA" w:rsidRDefault="001E6D57" w:rsidP="00E54B44">
      <w:pPr>
        <w:rPr>
          <w:rFonts w:ascii="Calibri" w:hAnsi="Calibri" w:cs="Calibri"/>
          <w:sz w:val="22"/>
          <w:szCs w:val="22"/>
          <w:lang w:val="it-IT"/>
        </w:rPr>
      </w:pPr>
    </w:p>
    <w:sectPr w:rsidR="001E6D57" w:rsidRPr="005A1FC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FA6F" w14:textId="77777777" w:rsidR="00E81C16" w:rsidRDefault="00E81C16" w:rsidP="00E81C16">
      <w:r>
        <w:separator/>
      </w:r>
    </w:p>
  </w:endnote>
  <w:endnote w:type="continuationSeparator" w:id="0">
    <w:p w14:paraId="12C9AECB" w14:textId="77777777" w:rsidR="00E81C16" w:rsidRDefault="00E81C16" w:rsidP="00E8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450601"/>
      <w:docPartObj>
        <w:docPartGallery w:val="Page Numbers (Bottom of Page)"/>
        <w:docPartUnique/>
      </w:docPartObj>
    </w:sdtPr>
    <w:sdtEndPr>
      <w:rPr>
        <w:sz w:val="20"/>
      </w:rPr>
    </w:sdtEndPr>
    <w:sdtContent>
      <w:p w14:paraId="164D3DC7" w14:textId="5C97BF4F" w:rsidR="00E81C16" w:rsidRPr="00E81C16" w:rsidRDefault="00E81C16" w:rsidP="00E81C16">
        <w:pPr>
          <w:pStyle w:val="Fuzeile"/>
          <w:jc w:val="right"/>
          <w:rPr>
            <w:sz w:val="20"/>
          </w:rPr>
        </w:pPr>
        <w:r w:rsidRPr="00E81C16">
          <w:rPr>
            <w:sz w:val="20"/>
          </w:rPr>
          <w:fldChar w:fldCharType="begin"/>
        </w:r>
        <w:r w:rsidRPr="00E81C16">
          <w:rPr>
            <w:sz w:val="20"/>
          </w:rPr>
          <w:instrText>PAGE   \* MERGEFORMAT</w:instrText>
        </w:r>
        <w:r w:rsidRPr="00E81C16">
          <w:rPr>
            <w:sz w:val="20"/>
          </w:rPr>
          <w:fldChar w:fldCharType="separate"/>
        </w:r>
        <w:r w:rsidRPr="00E81C16">
          <w:rPr>
            <w:sz w:val="20"/>
          </w:rPr>
          <w:t>2</w:t>
        </w:r>
        <w:r w:rsidRPr="00E81C1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8567" w14:textId="77777777" w:rsidR="00E81C16" w:rsidRDefault="00E81C16" w:rsidP="00E81C16">
      <w:r>
        <w:separator/>
      </w:r>
    </w:p>
  </w:footnote>
  <w:footnote w:type="continuationSeparator" w:id="0">
    <w:p w14:paraId="55B44931" w14:textId="77777777" w:rsidR="00E81C16" w:rsidRDefault="00E81C16" w:rsidP="00E81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52B"/>
    <w:multiLevelType w:val="multilevel"/>
    <w:tmpl w:val="8828DFD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41204"/>
    <w:multiLevelType w:val="multilevel"/>
    <w:tmpl w:val="395846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strike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249D9"/>
    <w:multiLevelType w:val="multilevel"/>
    <w:tmpl w:val="B432951E"/>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31F13"/>
    <w:multiLevelType w:val="hybridMultilevel"/>
    <w:tmpl w:val="4DD0B7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5133E9"/>
    <w:multiLevelType w:val="hybridMultilevel"/>
    <w:tmpl w:val="E0FA5D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297AF3"/>
    <w:multiLevelType w:val="multilevel"/>
    <w:tmpl w:val="E424E430"/>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0A1E43"/>
    <w:multiLevelType w:val="hybridMultilevel"/>
    <w:tmpl w:val="5C6C07AE"/>
    <w:lvl w:ilvl="0" w:tplc="FCE0ADC2">
      <w:start w:val="1"/>
      <w:numFmt w:val="lowerLetter"/>
      <w:lvlText w:val="%1)"/>
      <w:lvlJc w:val="left"/>
      <w:pPr>
        <w:ind w:left="720" w:hanging="360"/>
      </w:pPr>
      <w:rPr>
        <w:rFonts w:cs="Arial"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822763"/>
    <w:multiLevelType w:val="multilevel"/>
    <w:tmpl w:val="6A34D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5A6AF3"/>
    <w:multiLevelType w:val="multilevel"/>
    <w:tmpl w:val="7EA268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D2275D"/>
    <w:multiLevelType w:val="hybridMultilevel"/>
    <w:tmpl w:val="9524F2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787D3C"/>
    <w:multiLevelType w:val="multilevel"/>
    <w:tmpl w:val="9A40109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D25BDC"/>
    <w:multiLevelType w:val="hybridMultilevel"/>
    <w:tmpl w:val="5CF0EB04"/>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5D52FF9"/>
    <w:multiLevelType w:val="hybridMultilevel"/>
    <w:tmpl w:val="8D1A8FEC"/>
    <w:lvl w:ilvl="0" w:tplc="C388AC7E">
      <w:start w:val="1"/>
      <w:numFmt w:val="lowerLetter"/>
      <w:lvlText w:val="%1)"/>
      <w:lvlJc w:val="left"/>
      <w:pPr>
        <w:ind w:left="720" w:hanging="360"/>
      </w:pPr>
      <w:rPr>
        <w:rFonts w:cs="Arial" w:hint="default"/>
        <w:b w:val="0"/>
        <w:bCs w:val="0"/>
        <w:i w:val="0"/>
        <w:iCs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84A76FB"/>
    <w:multiLevelType w:val="hybridMultilevel"/>
    <w:tmpl w:val="26A02C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17B253E"/>
    <w:multiLevelType w:val="hybridMultilevel"/>
    <w:tmpl w:val="E0FA5DC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46E3C1B"/>
    <w:multiLevelType w:val="hybridMultilevel"/>
    <w:tmpl w:val="E0FA5D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B255BD"/>
    <w:multiLevelType w:val="multilevel"/>
    <w:tmpl w:val="B1ACBC2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2ABE7FFC"/>
    <w:multiLevelType w:val="hybridMultilevel"/>
    <w:tmpl w:val="8292B7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5B6340"/>
    <w:multiLevelType w:val="multilevel"/>
    <w:tmpl w:val="A77251D2"/>
    <w:lvl w:ilvl="0">
      <w:start w:val="1"/>
      <w:numFmt w:val="lowerLetter"/>
      <w:lvlText w:val="%1)"/>
      <w:lvlJc w:val="left"/>
      <w:pPr>
        <w:tabs>
          <w:tab w:val="num" w:pos="360"/>
        </w:tabs>
        <w:ind w:left="360" w:hanging="360"/>
      </w:pPr>
      <w:rPr>
        <w:rFonts w:cs="Arial" w:hint="default"/>
        <w:i w:val="0"/>
        <w:iCs w:val="0"/>
        <w:color w:val="00000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23A0725"/>
    <w:multiLevelType w:val="hybridMultilevel"/>
    <w:tmpl w:val="E6EEF5CC"/>
    <w:lvl w:ilvl="0" w:tplc="34B42412">
      <w:start w:val="1"/>
      <w:numFmt w:val="lowerLetter"/>
      <w:lvlText w:val="%1)"/>
      <w:lvlJc w:val="left"/>
      <w:pPr>
        <w:ind w:left="720" w:hanging="360"/>
      </w:pPr>
      <w:rPr>
        <w:rFonts w:cs="Arial"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0A1E08"/>
    <w:multiLevelType w:val="hybridMultilevel"/>
    <w:tmpl w:val="77CC6370"/>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C3C055D"/>
    <w:multiLevelType w:val="multilevel"/>
    <w:tmpl w:val="37841EF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1D21A1"/>
    <w:multiLevelType w:val="hybridMultilevel"/>
    <w:tmpl w:val="C57A4BBC"/>
    <w:lvl w:ilvl="0" w:tplc="310296CC">
      <w:start w:val="2"/>
      <w:numFmt w:val="lowerLetter"/>
      <w:lvlText w:val="%1)"/>
      <w:lvlJc w:val="left"/>
      <w:pPr>
        <w:ind w:left="720" w:hanging="360"/>
      </w:pPr>
      <w:rPr>
        <w:rFonts w:cs="Arial" w:hint="default"/>
        <w:i w:val="0"/>
        <w:iCs w:val="0"/>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D17B2C"/>
    <w:multiLevelType w:val="multilevel"/>
    <w:tmpl w:val="2B78FBD8"/>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F82516"/>
    <w:multiLevelType w:val="hybridMultilevel"/>
    <w:tmpl w:val="5BD8DF2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F3F611F"/>
    <w:multiLevelType w:val="multilevel"/>
    <w:tmpl w:val="37841EF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5B7315"/>
    <w:multiLevelType w:val="hybridMultilevel"/>
    <w:tmpl w:val="DCECDC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6E0FFE"/>
    <w:multiLevelType w:val="multilevel"/>
    <w:tmpl w:val="9E4EB986"/>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EC6467"/>
    <w:multiLevelType w:val="hybridMultilevel"/>
    <w:tmpl w:val="307AFD7E"/>
    <w:lvl w:ilvl="0" w:tplc="556EEA92">
      <w:start w:val="1"/>
      <w:numFmt w:val="lowerLetter"/>
      <w:lvlText w:val="%1)"/>
      <w:lvlJc w:val="left"/>
      <w:pPr>
        <w:ind w:left="720" w:hanging="360"/>
      </w:pPr>
      <w:rPr>
        <w:rFonts w:cs="Arial" w:hint="default"/>
        <w:i w:val="0"/>
        <w:iCs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70F2911"/>
    <w:multiLevelType w:val="hybridMultilevel"/>
    <w:tmpl w:val="6ED0BD16"/>
    <w:lvl w:ilvl="0" w:tplc="A282F90C">
      <w:start w:val="1"/>
      <w:numFmt w:val="lowerLetter"/>
      <w:lvlText w:val="%1)"/>
      <w:lvlJc w:val="left"/>
      <w:pPr>
        <w:ind w:left="720" w:hanging="360"/>
      </w:pPr>
      <w:rPr>
        <w:rFonts w:cs="Arial" w:hint="default"/>
        <w:i w:val="0"/>
        <w:iCs w:val="0"/>
        <w:color w:val="000000"/>
        <w:lang w:val="de-D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BC568C8"/>
    <w:multiLevelType w:val="hybridMultilevel"/>
    <w:tmpl w:val="3A24D5E8"/>
    <w:lvl w:ilvl="0" w:tplc="19763384">
      <w:start w:val="2"/>
      <w:numFmt w:val="lowerLetter"/>
      <w:lvlText w:val="%1)"/>
      <w:lvlJc w:val="left"/>
      <w:pPr>
        <w:ind w:left="720" w:hanging="360"/>
      </w:pPr>
      <w:rPr>
        <w:rFonts w:hint="default"/>
        <w:lang w:val="it-I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CDB06A8"/>
    <w:multiLevelType w:val="hybridMultilevel"/>
    <w:tmpl w:val="39E2E4B4"/>
    <w:lvl w:ilvl="0" w:tplc="79DEA52C">
      <w:start w:val="1"/>
      <w:numFmt w:val="lowerLetter"/>
      <w:lvlText w:val="%1)"/>
      <w:lvlJc w:val="left"/>
      <w:pPr>
        <w:ind w:left="720" w:hanging="360"/>
      </w:pPr>
      <w:rPr>
        <w:rFonts w:cs="Arial" w:hint="default"/>
        <w:i w:val="0"/>
        <w:iCs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F8119EC"/>
    <w:multiLevelType w:val="multilevel"/>
    <w:tmpl w:val="C4EAF9E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428AE"/>
    <w:multiLevelType w:val="hybridMultilevel"/>
    <w:tmpl w:val="45E48B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F46A8A"/>
    <w:multiLevelType w:val="multilevel"/>
    <w:tmpl w:val="E424E430"/>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F50717"/>
    <w:multiLevelType w:val="multilevel"/>
    <w:tmpl w:val="7F58C0FE"/>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4B7483"/>
    <w:multiLevelType w:val="hybridMultilevel"/>
    <w:tmpl w:val="C0004C78"/>
    <w:lvl w:ilvl="0" w:tplc="303A9218">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FF0200"/>
    <w:multiLevelType w:val="hybridMultilevel"/>
    <w:tmpl w:val="6EFC20F0"/>
    <w:lvl w:ilvl="0" w:tplc="E8E2A422">
      <w:start w:val="1"/>
      <w:numFmt w:val="lowerLetter"/>
      <w:lvlText w:val="%1)"/>
      <w:lvlJc w:val="left"/>
      <w:pPr>
        <w:ind w:left="720" w:hanging="360"/>
      </w:pPr>
      <w:rPr>
        <w:rFonts w:cs="Arial" w:hint="default"/>
        <w:i w:val="0"/>
        <w:iCs w:val="0"/>
        <w:color w:val="auto"/>
        <w:lang w:val="de-D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5A296E"/>
    <w:multiLevelType w:val="multilevel"/>
    <w:tmpl w:val="3EE42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lowerLetter"/>
      <w:lvlText w:val="%3)"/>
      <w:lvlJc w:val="left"/>
      <w:pPr>
        <w:ind w:left="2160" w:hanging="360"/>
      </w:pPr>
      <w:rPr>
        <w:rFonts w:hint="default"/>
        <w:b w:val="0"/>
        <w:bCs w:val="0"/>
        <w:lang w:val="it-I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465D36"/>
    <w:multiLevelType w:val="hybridMultilevel"/>
    <w:tmpl w:val="D18EE396"/>
    <w:lvl w:ilvl="0" w:tplc="9568426C">
      <w:start w:val="1"/>
      <w:numFmt w:val="lowerLetter"/>
      <w:lvlText w:val="%1)"/>
      <w:lvlJc w:val="left"/>
      <w:pPr>
        <w:ind w:left="720" w:hanging="360"/>
      </w:pPr>
      <w:rPr>
        <w:rFonts w:cs="Arial" w:hint="default"/>
        <w:b w:val="0"/>
        <w:bCs w:val="0"/>
        <w:i/>
        <w:iCs/>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BF954FC"/>
    <w:multiLevelType w:val="multilevel"/>
    <w:tmpl w:val="81F03A44"/>
    <w:lvl w:ilvl="0">
      <w:start w:val="1"/>
      <w:numFmt w:val="lowerLetter"/>
      <w:lvlText w:val="%1)"/>
      <w:lvlJc w:val="left"/>
      <w:pPr>
        <w:tabs>
          <w:tab w:val="num" w:pos="360"/>
        </w:tabs>
        <w:ind w:left="360" w:hanging="360"/>
      </w:pPr>
      <w:rPr>
        <w:rFonts w:cs="Arial" w:hint="default"/>
        <w:i w:val="0"/>
        <w:iCs w:val="0"/>
        <w:color w:val="000000"/>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7C2E46A2"/>
    <w:multiLevelType w:val="hybridMultilevel"/>
    <w:tmpl w:val="0706CD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D9C198D"/>
    <w:multiLevelType w:val="hybridMultilevel"/>
    <w:tmpl w:val="7EA02764"/>
    <w:lvl w:ilvl="0" w:tplc="8F508078">
      <w:start w:val="1"/>
      <w:numFmt w:val="lowerLetter"/>
      <w:lvlText w:val="%1)"/>
      <w:lvlJc w:val="left"/>
      <w:pPr>
        <w:ind w:left="720" w:hanging="360"/>
      </w:pPr>
      <w:rPr>
        <w:rFonts w:cs="Arial" w:hint="default"/>
        <w:i/>
        <w:iCs/>
        <w:color w:val="auto"/>
        <w:lang w:val="de-D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1239331">
    <w:abstractNumId w:val="29"/>
  </w:num>
  <w:num w:numId="2" w16cid:durableId="931934455">
    <w:abstractNumId w:val="30"/>
  </w:num>
  <w:num w:numId="3" w16cid:durableId="1226334865">
    <w:abstractNumId w:val="38"/>
  </w:num>
  <w:num w:numId="4" w16cid:durableId="359867285">
    <w:abstractNumId w:val="27"/>
  </w:num>
  <w:num w:numId="5" w16cid:durableId="1417626911">
    <w:abstractNumId w:val="24"/>
  </w:num>
  <w:num w:numId="6" w16cid:durableId="66613878">
    <w:abstractNumId w:val="3"/>
  </w:num>
  <w:num w:numId="7" w16cid:durableId="2089575531">
    <w:abstractNumId w:val="8"/>
  </w:num>
  <w:num w:numId="8" w16cid:durableId="1826772950">
    <w:abstractNumId w:val="2"/>
  </w:num>
  <w:num w:numId="9" w16cid:durableId="1699348884">
    <w:abstractNumId w:val="23"/>
  </w:num>
  <w:num w:numId="10" w16cid:durableId="1417631023">
    <w:abstractNumId w:val="22"/>
  </w:num>
  <w:num w:numId="11" w16cid:durableId="1499006523">
    <w:abstractNumId w:val="37"/>
  </w:num>
  <w:num w:numId="12" w16cid:durableId="689719196">
    <w:abstractNumId w:val="36"/>
  </w:num>
  <w:num w:numId="13" w16cid:durableId="1776094309">
    <w:abstractNumId w:val="0"/>
  </w:num>
  <w:num w:numId="14" w16cid:durableId="576134146">
    <w:abstractNumId w:val="34"/>
  </w:num>
  <w:num w:numId="15" w16cid:durableId="2135362361">
    <w:abstractNumId w:val="10"/>
  </w:num>
  <w:num w:numId="16" w16cid:durableId="757406957">
    <w:abstractNumId w:val="35"/>
  </w:num>
  <w:num w:numId="17" w16cid:durableId="2021740189">
    <w:abstractNumId w:val="13"/>
  </w:num>
  <w:num w:numId="18" w16cid:durableId="1625388386">
    <w:abstractNumId w:val="41"/>
  </w:num>
  <w:num w:numId="19" w16cid:durableId="2121683520">
    <w:abstractNumId w:val="16"/>
  </w:num>
  <w:num w:numId="20" w16cid:durableId="28919970">
    <w:abstractNumId w:val="5"/>
  </w:num>
  <w:num w:numId="21" w16cid:durableId="80637897">
    <w:abstractNumId w:val="40"/>
  </w:num>
  <w:num w:numId="22" w16cid:durableId="1346707680">
    <w:abstractNumId w:val="18"/>
  </w:num>
  <w:num w:numId="23" w16cid:durableId="317154320">
    <w:abstractNumId w:val="7"/>
  </w:num>
  <w:num w:numId="24" w16cid:durableId="532421168">
    <w:abstractNumId w:val="6"/>
  </w:num>
  <w:num w:numId="25" w16cid:durableId="1434477395">
    <w:abstractNumId w:val="19"/>
  </w:num>
  <w:num w:numId="26" w16cid:durableId="1704747014">
    <w:abstractNumId w:val="42"/>
  </w:num>
  <w:num w:numId="27" w16cid:durableId="1127041341">
    <w:abstractNumId w:val="39"/>
  </w:num>
  <w:num w:numId="28" w16cid:durableId="662438321">
    <w:abstractNumId w:val="12"/>
  </w:num>
  <w:num w:numId="29" w16cid:durableId="1810593468">
    <w:abstractNumId w:val="28"/>
  </w:num>
  <w:num w:numId="30" w16cid:durableId="619918914">
    <w:abstractNumId w:val="32"/>
  </w:num>
  <w:num w:numId="31" w16cid:durableId="175459685">
    <w:abstractNumId w:val="31"/>
  </w:num>
  <w:num w:numId="32" w16cid:durableId="1837382593">
    <w:abstractNumId w:val="14"/>
  </w:num>
  <w:num w:numId="33" w16cid:durableId="1052534983">
    <w:abstractNumId w:val="26"/>
  </w:num>
  <w:num w:numId="34" w16cid:durableId="1500609659">
    <w:abstractNumId w:val="33"/>
  </w:num>
  <w:num w:numId="35" w16cid:durableId="997803545">
    <w:abstractNumId w:val="17"/>
  </w:num>
  <w:num w:numId="36" w16cid:durableId="1598901546">
    <w:abstractNumId w:val="9"/>
  </w:num>
  <w:num w:numId="37" w16cid:durableId="275672424">
    <w:abstractNumId w:val="15"/>
  </w:num>
  <w:num w:numId="38" w16cid:durableId="791288436">
    <w:abstractNumId w:val="4"/>
  </w:num>
  <w:num w:numId="39" w16cid:durableId="1598099462">
    <w:abstractNumId w:val="1"/>
  </w:num>
  <w:num w:numId="40" w16cid:durableId="555169510">
    <w:abstractNumId w:val="25"/>
  </w:num>
  <w:num w:numId="41" w16cid:durableId="1769109897">
    <w:abstractNumId w:val="21"/>
  </w:num>
  <w:num w:numId="42" w16cid:durableId="976642626">
    <w:abstractNumId w:val="20"/>
  </w:num>
  <w:num w:numId="43" w16cid:durableId="1587151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C4"/>
    <w:rsid w:val="00024C7A"/>
    <w:rsid w:val="00033CCB"/>
    <w:rsid w:val="00073A4C"/>
    <w:rsid w:val="00080DE9"/>
    <w:rsid w:val="000B3F05"/>
    <w:rsid w:val="00135E5B"/>
    <w:rsid w:val="00197610"/>
    <w:rsid w:val="001A11A7"/>
    <w:rsid w:val="001E6D57"/>
    <w:rsid w:val="0024085F"/>
    <w:rsid w:val="002431BF"/>
    <w:rsid w:val="00247639"/>
    <w:rsid w:val="00280212"/>
    <w:rsid w:val="002A551A"/>
    <w:rsid w:val="002B032A"/>
    <w:rsid w:val="002E5DCA"/>
    <w:rsid w:val="002F261B"/>
    <w:rsid w:val="00302B0C"/>
    <w:rsid w:val="00332021"/>
    <w:rsid w:val="00344942"/>
    <w:rsid w:val="003556DF"/>
    <w:rsid w:val="003818CF"/>
    <w:rsid w:val="003A193E"/>
    <w:rsid w:val="003F19DA"/>
    <w:rsid w:val="003F708D"/>
    <w:rsid w:val="0041078A"/>
    <w:rsid w:val="00427E04"/>
    <w:rsid w:val="00441604"/>
    <w:rsid w:val="00452D7E"/>
    <w:rsid w:val="004B0267"/>
    <w:rsid w:val="004F3808"/>
    <w:rsid w:val="00595466"/>
    <w:rsid w:val="005A1FCA"/>
    <w:rsid w:val="005F4510"/>
    <w:rsid w:val="006456D7"/>
    <w:rsid w:val="00646F8E"/>
    <w:rsid w:val="00694272"/>
    <w:rsid w:val="0069695F"/>
    <w:rsid w:val="00727E50"/>
    <w:rsid w:val="007502D1"/>
    <w:rsid w:val="00761A83"/>
    <w:rsid w:val="00763D5C"/>
    <w:rsid w:val="00797820"/>
    <w:rsid w:val="007C322F"/>
    <w:rsid w:val="00885BDD"/>
    <w:rsid w:val="008B4F88"/>
    <w:rsid w:val="008F580A"/>
    <w:rsid w:val="009119C4"/>
    <w:rsid w:val="0095145E"/>
    <w:rsid w:val="0098328A"/>
    <w:rsid w:val="009E6A23"/>
    <w:rsid w:val="00A26A30"/>
    <w:rsid w:val="00A651E8"/>
    <w:rsid w:val="00A664BC"/>
    <w:rsid w:val="00AE10B1"/>
    <w:rsid w:val="00AE3F31"/>
    <w:rsid w:val="00AF4740"/>
    <w:rsid w:val="00AF7EDE"/>
    <w:rsid w:val="00B535F9"/>
    <w:rsid w:val="00B90D95"/>
    <w:rsid w:val="00C14BB6"/>
    <w:rsid w:val="00C2107F"/>
    <w:rsid w:val="00C2666A"/>
    <w:rsid w:val="00C27B1C"/>
    <w:rsid w:val="00C60861"/>
    <w:rsid w:val="00C765D9"/>
    <w:rsid w:val="00C93DA5"/>
    <w:rsid w:val="00CB58E2"/>
    <w:rsid w:val="00CC3CD7"/>
    <w:rsid w:val="00D10C06"/>
    <w:rsid w:val="00D17D5B"/>
    <w:rsid w:val="00D460F0"/>
    <w:rsid w:val="00D51C3A"/>
    <w:rsid w:val="00D709CA"/>
    <w:rsid w:val="00DA67ED"/>
    <w:rsid w:val="00DD04EE"/>
    <w:rsid w:val="00DF6D83"/>
    <w:rsid w:val="00E3605D"/>
    <w:rsid w:val="00E54B44"/>
    <w:rsid w:val="00E81C16"/>
    <w:rsid w:val="00EA20BE"/>
    <w:rsid w:val="00EB10B4"/>
    <w:rsid w:val="00F15DE8"/>
    <w:rsid w:val="00F25D96"/>
    <w:rsid w:val="00F32AAB"/>
    <w:rsid w:val="00F55061"/>
    <w:rsid w:val="00F634AF"/>
    <w:rsid w:val="00FB0217"/>
    <w:rsid w:val="00FE7A4A"/>
    <w:rsid w:val="00FF173D"/>
    <w:rsid w:val="00FF64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17BC"/>
  <w15:chartTrackingRefBased/>
  <w15:docId w15:val="{6FF34E8B-F552-4F0F-BD74-2C29DDB3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0C06"/>
    <w:pPr>
      <w:spacing w:after="0" w:line="240" w:lineRule="auto"/>
    </w:pPr>
    <w:rPr>
      <w:rFonts w:ascii="Arial" w:eastAsia="Times New Roman" w:hAnsi="Arial" w:cs="Times New Roman"/>
      <w:kern w:val="0"/>
      <w:sz w:val="24"/>
      <w:szCs w:val="20"/>
      <w:lang w:eastAsia="it-I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24C7A"/>
    <w:rPr>
      <w:color w:val="0563C1" w:themeColor="hyperlink"/>
      <w:u w:val="single"/>
    </w:rPr>
  </w:style>
  <w:style w:type="paragraph" w:styleId="Listenabsatz">
    <w:name w:val="List Paragraph"/>
    <w:basedOn w:val="Standard"/>
    <w:uiPriority w:val="34"/>
    <w:qFormat/>
    <w:rsid w:val="00D10C06"/>
    <w:pPr>
      <w:ind w:left="720"/>
      <w:contextualSpacing/>
    </w:pPr>
  </w:style>
  <w:style w:type="paragraph" w:customStyle="1" w:styleId="western">
    <w:name w:val="western"/>
    <w:basedOn w:val="Standard"/>
    <w:uiPriority w:val="99"/>
    <w:rsid w:val="002431BF"/>
    <w:pPr>
      <w:spacing w:before="100" w:beforeAutospacing="1" w:after="142" w:line="288" w:lineRule="auto"/>
    </w:pPr>
    <w:rPr>
      <w:rFonts w:ascii="Times New Roman" w:eastAsia="MS Mincho" w:hAnsi="Times New Roman"/>
      <w:color w:val="000000"/>
      <w:szCs w:val="24"/>
      <w:lang w:eastAsia="ja-JP"/>
    </w:rPr>
  </w:style>
  <w:style w:type="paragraph" w:styleId="Kopfzeile">
    <w:name w:val="header"/>
    <w:basedOn w:val="Standard"/>
    <w:link w:val="KopfzeileZchn"/>
    <w:uiPriority w:val="99"/>
    <w:unhideWhenUsed/>
    <w:rsid w:val="00E81C16"/>
    <w:pPr>
      <w:tabs>
        <w:tab w:val="center" w:pos="4513"/>
        <w:tab w:val="right" w:pos="9026"/>
      </w:tabs>
    </w:pPr>
  </w:style>
  <w:style w:type="character" w:customStyle="1" w:styleId="KopfzeileZchn">
    <w:name w:val="Kopfzeile Zchn"/>
    <w:basedOn w:val="Absatz-Standardschriftart"/>
    <w:link w:val="Kopfzeile"/>
    <w:uiPriority w:val="99"/>
    <w:rsid w:val="00E81C16"/>
    <w:rPr>
      <w:rFonts w:ascii="Arial" w:eastAsia="Times New Roman" w:hAnsi="Arial" w:cs="Times New Roman"/>
      <w:kern w:val="0"/>
      <w:sz w:val="24"/>
      <w:szCs w:val="20"/>
      <w:lang w:eastAsia="it-IT"/>
      <w14:ligatures w14:val="none"/>
    </w:rPr>
  </w:style>
  <w:style w:type="paragraph" w:styleId="Fuzeile">
    <w:name w:val="footer"/>
    <w:basedOn w:val="Standard"/>
    <w:link w:val="FuzeileZchn"/>
    <w:uiPriority w:val="99"/>
    <w:unhideWhenUsed/>
    <w:rsid w:val="00E81C16"/>
    <w:pPr>
      <w:tabs>
        <w:tab w:val="center" w:pos="4513"/>
        <w:tab w:val="right" w:pos="9026"/>
      </w:tabs>
    </w:pPr>
  </w:style>
  <w:style w:type="character" w:customStyle="1" w:styleId="FuzeileZchn">
    <w:name w:val="Fußzeile Zchn"/>
    <w:basedOn w:val="Absatz-Standardschriftart"/>
    <w:link w:val="Fuzeile"/>
    <w:uiPriority w:val="99"/>
    <w:rsid w:val="00E81C16"/>
    <w:rPr>
      <w:rFonts w:ascii="Arial" w:eastAsia="Times New Roman" w:hAnsi="Arial" w:cs="Times New Roman"/>
      <w:kern w:val="0"/>
      <w:sz w:val="24"/>
      <w:szCs w:val="20"/>
      <w:lang w:eastAsia="it-IT"/>
      <w14:ligatures w14:val="none"/>
    </w:rPr>
  </w:style>
  <w:style w:type="paragraph" w:styleId="Textkrper">
    <w:name w:val="Body Text"/>
    <w:link w:val="TextkrperZchn"/>
    <w:rsid w:val="00FB0217"/>
    <w:pPr>
      <w:spacing w:after="0" w:line="260" w:lineRule="exact"/>
      <w:jc w:val="both"/>
    </w:pPr>
    <w:rPr>
      <w:rFonts w:ascii="Arial" w:eastAsia="Times New Roman" w:hAnsi="Arial" w:cs="Times New Roman"/>
      <w:color w:val="333333"/>
      <w:kern w:val="0"/>
      <w:sz w:val="19"/>
      <w:szCs w:val="20"/>
      <w:lang w:eastAsia="de-DE"/>
      <w14:ligatures w14:val="none"/>
    </w:rPr>
  </w:style>
  <w:style w:type="character" w:customStyle="1" w:styleId="TextkrperZchn">
    <w:name w:val="Textkörper Zchn"/>
    <w:basedOn w:val="Absatz-Standardschriftart"/>
    <w:link w:val="Textkrper"/>
    <w:rsid w:val="00FB0217"/>
    <w:rPr>
      <w:rFonts w:ascii="Arial" w:eastAsia="Times New Roman" w:hAnsi="Arial" w:cs="Times New Roman"/>
      <w:color w:val="333333"/>
      <w:kern w:val="0"/>
      <w:sz w:val="19"/>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659141">
      <w:bodyDiv w:val="1"/>
      <w:marLeft w:val="0"/>
      <w:marRight w:val="0"/>
      <w:marTop w:val="0"/>
      <w:marBottom w:val="0"/>
      <w:divBdr>
        <w:top w:val="none" w:sz="0" w:space="0" w:color="auto"/>
        <w:left w:val="none" w:sz="0" w:space="0" w:color="auto"/>
        <w:bottom w:val="none" w:sz="0" w:space="0" w:color="auto"/>
        <w:right w:val="none" w:sz="0" w:space="0" w:color="auto"/>
      </w:divBdr>
    </w:div>
    <w:div w:id="1956710645">
      <w:bodyDiv w:val="1"/>
      <w:marLeft w:val="0"/>
      <w:marRight w:val="0"/>
      <w:marTop w:val="0"/>
      <w:marBottom w:val="0"/>
      <w:divBdr>
        <w:top w:val="none" w:sz="0" w:space="0" w:color="auto"/>
        <w:left w:val="none" w:sz="0" w:space="0" w:color="auto"/>
        <w:bottom w:val="none" w:sz="0" w:space="0" w:color="auto"/>
        <w:right w:val="none" w:sz="0" w:space="0" w:color="auto"/>
      </w:divBdr>
      <w:divsChild>
        <w:div w:id="1156150290">
          <w:marLeft w:val="0"/>
          <w:marRight w:val="0"/>
          <w:marTop w:val="0"/>
          <w:marBottom w:val="0"/>
          <w:divBdr>
            <w:top w:val="none" w:sz="0" w:space="0" w:color="auto"/>
            <w:left w:val="none" w:sz="0" w:space="0" w:color="auto"/>
            <w:bottom w:val="none" w:sz="0" w:space="0" w:color="auto"/>
            <w:right w:val="none" w:sz="0" w:space="0" w:color="auto"/>
          </w:divBdr>
          <w:divsChild>
            <w:div w:id="1359231519">
              <w:marLeft w:val="0"/>
              <w:marRight w:val="0"/>
              <w:marTop w:val="0"/>
              <w:marBottom w:val="0"/>
              <w:divBdr>
                <w:top w:val="none" w:sz="0" w:space="0" w:color="auto"/>
                <w:left w:val="none" w:sz="0" w:space="0" w:color="auto"/>
                <w:bottom w:val="none" w:sz="0" w:space="0" w:color="auto"/>
                <w:right w:val="none" w:sz="0" w:space="0" w:color="auto"/>
              </w:divBdr>
            </w:div>
            <w:div w:id="1233658978">
              <w:marLeft w:val="0"/>
              <w:marRight w:val="0"/>
              <w:marTop w:val="0"/>
              <w:marBottom w:val="0"/>
              <w:divBdr>
                <w:top w:val="none" w:sz="0" w:space="0" w:color="auto"/>
                <w:left w:val="none" w:sz="0" w:space="0" w:color="auto"/>
                <w:bottom w:val="none" w:sz="0" w:space="0" w:color="auto"/>
                <w:right w:val="none" w:sz="0" w:space="0" w:color="auto"/>
              </w:divBdr>
            </w:div>
          </w:divsChild>
        </w:div>
        <w:div w:id="211502655">
          <w:marLeft w:val="0"/>
          <w:marRight w:val="0"/>
          <w:marTop w:val="0"/>
          <w:marBottom w:val="0"/>
          <w:divBdr>
            <w:top w:val="none" w:sz="0" w:space="0" w:color="auto"/>
            <w:left w:val="none" w:sz="0" w:space="0" w:color="auto"/>
            <w:bottom w:val="none" w:sz="0" w:space="0" w:color="auto"/>
            <w:right w:val="none" w:sz="0" w:space="0" w:color="auto"/>
          </w:divBdr>
          <w:divsChild>
            <w:div w:id="2095932138">
              <w:marLeft w:val="0"/>
              <w:marRight w:val="0"/>
              <w:marTop w:val="0"/>
              <w:marBottom w:val="0"/>
              <w:divBdr>
                <w:top w:val="none" w:sz="0" w:space="0" w:color="auto"/>
                <w:left w:val="none" w:sz="0" w:space="0" w:color="auto"/>
                <w:bottom w:val="none" w:sz="0" w:space="0" w:color="auto"/>
                <w:right w:val="none" w:sz="0" w:space="0" w:color="auto"/>
              </w:divBdr>
            </w:div>
            <w:div w:id="1185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browser.provinz.bz.it/doc/de/216739/landesgesetz_vom_9_juli_2019_nr_3.aspx" TargetMode="External"/><Relationship Id="rId13" Type="http://schemas.openxmlformats.org/officeDocument/2006/relationships/hyperlink" Target="https://lexbrowser.provinz.bz.it/doc/it/233759/legge_provinciale_16_luglio_2024_n_2.aspx" TargetMode="External"/><Relationship Id="rId3" Type="http://schemas.openxmlformats.org/officeDocument/2006/relationships/settings" Target="settings.xml"/><Relationship Id="rId7" Type="http://schemas.openxmlformats.org/officeDocument/2006/relationships/hyperlink" Target="https://www.bosettiegatti.eu/info/norme/statali/2011_0159.htm" TargetMode="External"/><Relationship Id="rId12" Type="http://schemas.openxmlformats.org/officeDocument/2006/relationships/hyperlink" Target="https://lexbrowser.provinz.bz.it/doc/it/233759/legge_provinciale_16_luglio_2024_n_2.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xbrowser.provinz.bz.it/doc/it/216739/legge_provinciale_9_luglio_2019_n_3.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xbrowser.provinz.bz.it/doc/de/233759/landesgesetz_vom_16_juli_2024_nr_2.aspx" TargetMode="External"/><Relationship Id="rId4" Type="http://schemas.openxmlformats.org/officeDocument/2006/relationships/webSettings" Target="webSettings.xml"/><Relationship Id="rId9" Type="http://schemas.openxmlformats.org/officeDocument/2006/relationships/hyperlink" Target="https://lexbrowser.provinz.bz.it/doc/de/233759/landesgesetz_vom_16_juli_2024_nr_2.aspx"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4702</Words>
  <Characters>29624</Characters>
  <Application>Microsoft Office Word</Application>
  <DocSecurity>0</DocSecurity>
  <Lines>246</Lines>
  <Paragraphs>68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Koefele, Martin</dc:creator>
  <cp:keywords/>
  <dc:description/>
  <cp:lastModifiedBy>Mahlknecht, Petra</cp:lastModifiedBy>
  <cp:revision>31</cp:revision>
  <cp:lastPrinted>2025-07-10T12:48:00Z</cp:lastPrinted>
  <dcterms:created xsi:type="dcterms:W3CDTF">2025-07-03T09:17:00Z</dcterms:created>
  <dcterms:modified xsi:type="dcterms:W3CDTF">2025-07-10T12:54:00Z</dcterms:modified>
</cp:coreProperties>
</file>