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F73F58" w:rsidRPr="00182E3E" w14:paraId="6862BE7C" w14:textId="77777777" w:rsidTr="007240D3">
        <w:tc>
          <w:tcPr>
            <w:tcW w:w="4139" w:type="dxa"/>
            <w:shd w:val="clear" w:color="auto" w:fill="auto"/>
          </w:tcPr>
          <w:p w14:paraId="323CA68D" w14:textId="20BE5913" w:rsidR="00207288" w:rsidRDefault="00207288" w:rsidP="00207288">
            <w:pPr>
              <w:pStyle w:val="Dataluogo"/>
              <w:spacing w:line="240" w:lineRule="exact"/>
              <w:rPr>
                <w:rFonts w:cs="Arial"/>
                <w:sz w:val="20"/>
              </w:rPr>
            </w:pPr>
            <w:r>
              <w:rPr>
                <w:b/>
                <w:color w:val="008000"/>
                <w:sz w:val="20"/>
              </w:rPr>
              <w:t xml:space="preserve">DATA DI AGGIORNAMENTO: </w:t>
            </w:r>
          </w:p>
          <w:p w14:paraId="5BCE3966" w14:textId="21C04C94" w:rsidR="00F73F58" w:rsidRDefault="00AA65FB" w:rsidP="00633592">
            <w:pPr>
              <w:pStyle w:val="Dataluogo"/>
              <w:spacing w:line="240" w:lineRule="exact"/>
              <w:rPr>
                <w:rFonts w:cs="Arial"/>
                <w:szCs w:val="16"/>
              </w:rPr>
            </w:pPr>
            <w:r>
              <w:rPr>
                <w:b/>
                <w:color w:val="008000"/>
                <w:sz w:val="20"/>
              </w:rPr>
              <w:t>29</w:t>
            </w:r>
            <w:r w:rsidR="00BA40F4">
              <w:rPr>
                <w:b/>
                <w:color w:val="008000"/>
                <w:sz w:val="20"/>
              </w:rPr>
              <w:t>.01.2025</w:t>
            </w:r>
          </w:p>
        </w:tc>
        <w:tc>
          <w:tcPr>
            <w:tcW w:w="1361" w:type="dxa"/>
            <w:shd w:val="clear" w:color="auto" w:fill="auto"/>
          </w:tcPr>
          <w:p w14:paraId="117CF784" w14:textId="77777777" w:rsidR="00F73F58" w:rsidRDefault="00F73F58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4139" w:type="dxa"/>
            <w:vMerge w:val="restart"/>
            <w:shd w:val="clear" w:color="auto" w:fill="auto"/>
          </w:tcPr>
          <w:p w14:paraId="0230474B" w14:textId="77777777" w:rsidR="00207288" w:rsidRPr="00BB1A2D" w:rsidRDefault="00207288">
            <w:pPr>
              <w:ind w:right="145"/>
              <w:jc w:val="both"/>
              <w:rPr>
                <w:rFonts w:cs="Arial"/>
                <w:lang w:val="de-DE"/>
              </w:rPr>
            </w:pPr>
          </w:p>
          <w:p w14:paraId="112BAE8A" w14:textId="77777777" w:rsidR="00F73F58" w:rsidRPr="00BB1A2D" w:rsidRDefault="00F73F58">
            <w:pPr>
              <w:ind w:right="145"/>
              <w:jc w:val="both"/>
              <w:rPr>
                <w:rFonts w:cs="Arial"/>
                <w:lang w:val="de-DE"/>
              </w:rPr>
            </w:pPr>
            <w:r w:rsidRPr="00BB1A2D">
              <w:rPr>
                <w:rFonts w:cs="Arial"/>
                <w:lang w:val="de-DE"/>
              </w:rPr>
              <w:t xml:space="preserve">An Herrn/Frau / Al </w:t>
            </w:r>
            <w:r w:rsidR="004045B2" w:rsidRPr="00BB1A2D">
              <w:rPr>
                <w:rFonts w:cs="Arial"/>
                <w:lang w:val="de-DE"/>
              </w:rPr>
              <w:t>Sig</w:t>
            </w:r>
            <w:r w:rsidRPr="00BB1A2D">
              <w:rPr>
                <w:rFonts w:cs="Arial"/>
                <w:lang w:val="de-DE"/>
              </w:rPr>
              <w:t>./</w:t>
            </w:r>
            <w:r w:rsidR="004045B2" w:rsidRPr="00BB1A2D">
              <w:rPr>
                <w:rFonts w:cs="Arial"/>
                <w:lang w:val="de-DE"/>
              </w:rPr>
              <w:t>Sig.</w:t>
            </w:r>
            <w:r w:rsidRPr="00BB1A2D">
              <w:rPr>
                <w:rFonts w:cs="Arial"/>
                <w:lang w:val="de-DE"/>
              </w:rPr>
              <w:t>ra</w:t>
            </w:r>
          </w:p>
          <w:p w14:paraId="53D390A4" w14:textId="77777777" w:rsidR="00F73F58" w:rsidRDefault="00F73F58">
            <w:pPr>
              <w:ind w:right="145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  <w:p w14:paraId="7660D05F" w14:textId="77777777" w:rsidR="00F73F58" w:rsidRPr="00EC6E72" w:rsidRDefault="00F73F58">
            <w:pPr>
              <w:ind w:right="145"/>
              <w:jc w:val="both"/>
              <w:rPr>
                <w:rFonts w:cs="Arial"/>
              </w:rPr>
            </w:pPr>
            <w:r w:rsidRPr="00EC6E72">
              <w:rPr>
                <w:rFonts w:cs="Arial"/>
              </w:rPr>
              <w:t xml:space="preserve">Mitglied der </w:t>
            </w:r>
            <w:r w:rsidR="00EC6E72" w:rsidRPr="00EC6E72">
              <w:rPr>
                <w:rFonts w:cs="Arial"/>
              </w:rPr>
              <w:t>Bewertungskommission</w:t>
            </w:r>
          </w:p>
          <w:p w14:paraId="7B26C2D2" w14:textId="77777777" w:rsidR="00F73F58" w:rsidRPr="00EC6E72" w:rsidRDefault="00F73F58">
            <w:pPr>
              <w:ind w:right="145"/>
              <w:jc w:val="both"/>
              <w:rPr>
                <w:rFonts w:cs="Arial"/>
              </w:rPr>
            </w:pPr>
            <w:r w:rsidRPr="00EC6E72">
              <w:rPr>
                <w:rFonts w:cs="Arial"/>
              </w:rPr>
              <w:t xml:space="preserve">Membro della </w:t>
            </w:r>
            <w:r w:rsidR="00EC6E72" w:rsidRPr="00EC6E72">
              <w:rPr>
                <w:rFonts w:cs="Arial"/>
              </w:rPr>
              <w:t>Commissione di valutazio</w:t>
            </w:r>
            <w:r w:rsidR="00EC6E72">
              <w:rPr>
                <w:rFonts w:cs="Arial"/>
              </w:rPr>
              <w:t>ne</w:t>
            </w:r>
          </w:p>
          <w:p w14:paraId="190CEB4D" w14:textId="77777777" w:rsidR="00F73F58" w:rsidRPr="00EC6E72" w:rsidRDefault="00F73F58">
            <w:pPr>
              <w:tabs>
                <w:tab w:val="left" w:pos="4536"/>
              </w:tabs>
              <w:suppressAutoHyphens/>
              <w:ind w:right="145"/>
              <w:rPr>
                <w:rFonts w:cs="Arial"/>
              </w:rPr>
            </w:pPr>
          </w:p>
          <w:p w14:paraId="1FABA9F0" w14:textId="77777777" w:rsidR="00F610F6" w:rsidRPr="007240D3" w:rsidRDefault="007240D3" w:rsidP="00F610F6">
            <w:pPr>
              <w:pStyle w:val="ZurKenntnisPerconoscenza"/>
              <w:ind w:right="145"/>
              <w:rPr>
                <w:rFonts w:cs="Arial"/>
                <w:sz w:val="20"/>
              </w:rPr>
            </w:pPr>
            <w:r w:rsidRPr="007240D3">
              <w:rPr>
                <w:rFonts w:cs="Arial"/>
                <w:sz w:val="20"/>
              </w:rPr>
              <w:t xml:space="preserve">PEC: </w:t>
            </w:r>
          </w:p>
          <w:p w14:paraId="17A3222C" w14:textId="77777777" w:rsidR="00F5726E" w:rsidRPr="00182E3E" w:rsidRDefault="00F5726E" w:rsidP="00824BBE">
            <w:pPr>
              <w:pStyle w:val="VersandformundAdresseDescrizionedispedizioneedindirizzo"/>
              <w:ind w:right="145"/>
              <w:rPr>
                <w:rFonts w:cs="Arial"/>
              </w:rPr>
            </w:pPr>
          </w:p>
        </w:tc>
      </w:tr>
      <w:tr w:rsidR="00F73F58" w:rsidRPr="00182E3E" w14:paraId="2908DB48" w14:textId="77777777" w:rsidTr="007240D3">
        <w:tc>
          <w:tcPr>
            <w:tcW w:w="4139" w:type="dxa"/>
            <w:shd w:val="clear" w:color="auto" w:fill="auto"/>
          </w:tcPr>
          <w:p w14:paraId="2F328658" w14:textId="77777777" w:rsidR="00F73F58" w:rsidRPr="00182E3E" w:rsidRDefault="00F73F58">
            <w:pPr>
              <w:spacing w:line="20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4058BC01" w14:textId="77777777" w:rsidR="00F73F58" w:rsidRPr="00182E3E" w:rsidRDefault="00F73F58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27314AA1" w14:textId="77777777" w:rsidR="00F73F58" w:rsidRPr="00182E3E" w:rsidRDefault="00F73F58">
            <w:pPr>
              <w:spacing w:line="240" w:lineRule="exact"/>
              <w:ind w:right="145"/>
              <w:rPr>
                <w:rFonts w:cs="Arial"/>
              </w:rPr>
            </w:pPr>
          </w:p>
        </w:tc>
      </w:tr>
      <w:tr w:rsidR="00F73F58" w14:paraId="68EA341C" w14:textId="77777777" w:rsidTr="007240D3">
        <w:tc>
          <w:tcPr>
            <w:tcW w:w="4139" w:type="dxa"/>
            <w:shd w:val="clear" w:color="auto" w:fill="auto"/>
          </w:tcPr>
          <w:p w14:paraId="53D115FF" w14:textId="416BE13A" w:rsidR="00F73F58" w:rsidRDefault="00182E3E">
            <w:pPr>
              <w:pStyle w:val="DatumOrtDataluogo"/>
              <w:rPr>
                <w:rFonts w:cs="Arial"/>
                <w:sz w:val="18"/>
                <w:szCs w:val="18"/>
              </w:rPr>
            </w:pPr>
            <w:r w:rsidRPr="00207288">
              <w:rPr>
                <w:rFonts w:cs="Arial"/>
                <w:szCs w:val="16"/>
              </w:rPr>
              <w:t xml:space="preserve">Bozen / Bolzano, </w:t>
            </w:r>
            <w:r w:rsidR="00B80672">
              <w:rPr>
                <w:rFonts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ACB0344" wp14:editId="19265EEE">
                      <wp:simplePos x="0" y="0"/>
                      <wp:positionH relativeFrom="column">
                        <wp:posOffset>-720090</wp:posOffset>
                      </wp:positionH>
                      <wp:positionV relativeFrom="page">
                        <wp:posOffset>3600450</wp:posOffset>
                      </wp:positionV>
                      <wp:extent cx="360045" cy="0"/>
                      <wp:effectExtent l="0" t="0" r="0" b="0"/>
                      <wp:wrapNone/>
                      <wp:docPr id="658552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762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102F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283.5pt" to="-28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" o:allowincell="f" strokecolor="gray" strokeweight=".6pt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361" w:type="dxa"/>
            <w:shd w:val="clear" w:color="auto" w:fill="auto"/>
          </w:tcPr>
          <w:p w14:paraId="1745C45C" w14:textId="77777777" w:rsidR="00F73F58" w:rsidRDefault="00F73F58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6A8AC666" w14:textId="77777777" w:rsidR="00F73F58" w:rsidRDefault="00F73F58">
            <w:pPr>
              <w:ind w:right="145"/>
              <w:rPr>
                <w:rFonts w:cs="Arial"/>
              </w:rPr>
            </w:pPr>
          </w:p>
        </w:tc>
      </w:tr>
      <w:tr w:rsidR="00F73F58" w14:paraId="26A683F5" w14:textId="77777777" w:rsidTr="007240D3">
        <w:tc>
          <w:tcPr>
            <w:tcW w:w="4139" w:type="dxa"/>
            <w:shd w:val="clear" w:color="auto" w:fill="auto"/>
          </w:tcPr>
          <w:p w14:paraId="7BDDF614" w14:textId="77777777" w:rsidR="00F73F58" w:rsidRDefault="00F73F58">
            <w:pPr>
              <w:spacing w:line="24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361" w:type="dxa"/>
            <w:shd w:val="clear" w:color="auto" w:fill="auto"/>
          </w:tcPr>
          <w:p w14:paraId="0D364A4A" w14:textId="77777777" w:rsidR="00F73F58" w:rsidRDefault="00F73F58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76CCB772" w14:textId="77777777" w:rsidR="00F73F58" w:rsidRDefault="00F73F58">
            <w:pPr>
              <w:spacing w:line="240" w:lineRule="exact"/>
              <w:ind w:right="145"/>
              <w:rPr>
                <w:rFonts w:cs="Arial"/>
              </w:rPr>
            </w:pPr>
          </w:p>
        </w:tc>
      </w:tr>
      <w:tr w:rsidR="00F73F58" w14:paraId="051E0294" w14:textId="77777777" w:rsidTr="007240D3">
        <w:tc>
          <w:tcPr>
            <w:tcW w:w="4139" w:type="dxa"/>
            <w:vMerge w:val="restart"/>
            <w:shd w:val="clear" w:color="auto" w:fill="auto"/>
          </w:tcPr>
          <w:p w14:paraId="5D210513" w14:textId="77777777" w:rsidR="00F73F58" w:rsidRDefault="00F73F5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Bearbeitet von / redatto da:</w:t>
            </w:r>
          </w:p>
          <w:p w14:paraId="56CC9726" w14:textId="77777777" w:rsidR="007240D3" w:rsidRDefault="007240D3" w:rsidP="007240D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fldChar w:fldCharType="end"/>
            </w:r>
            <w:bookmarkEnd w:id="0"/>
          </w:p>
          <w:p w14:paraId="01CF6034" w14:textId="77777777" w:rsidR="007240D3" w:rsidRDefault="007240D3" w:rsidP="007240D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Tel: 0471/41</w:t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t> </w:t>
            </w:r>
            <w:r>
              <w:fldChar w:fldCharType="end"/>
            </w:r>
            <w:bookmarkEnd w:id="1"/>
          </w:p>
          <w:p w14:paraId="0BAA64BD" w14:textId="77777777" w:rsidR="007240D3" w:rsidRDefault="007240D3" w:rsidP="007240D3">
            <w:pPr>
              <w:rPr>
                <w:rFonts w:cs="Arial"/>
                <w:color w:val="0000FF"/>
                <w:sz w:val="16"/>
                <w:szCs w:val="16"/>
                <w:u w:val="single"/>
              </w:rPr>
            </w:pPr>
            <w:r>
              <w:rPr>
                <w:rFonts w:cs="Arial"/>
                <w:color w:val="0000FF"/>
                <w:sz w:val="16"/>
                <w:szCs w:val="16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Arial"/>
                <w:color w:val="0000FF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cs="Arial"/>
                <w:color w:val="0000FF"/>
                <w:sz w:val="16"/>
                <w:szCs w:val="16"/>
                <w:u w:val="single"/>
                <w:lang w:val="de-DE"/>
              </w:rPr>
            </w:r>
            <w:r>
              <w:rPr>
                <w:rFonts w:cs="Arial"/>
                <w:color w:val="0000FF"/>
                <w:sz w:val="16"/>
                <w:szCs w:val="16"/>
                <w:u w:val="single"/>
                <w:lang w:val="de-DE"/>
              </w:rPr>
              <w:fldChar w:fldCharType="separate"/>
            </w:r>
            <w:r>
              <w:rPr>
                <w:rFonts w:cs="Arial"/>
                <w:color w:val="0000FF"/>
                <w:sz w:val="16"/>
                <w:szCs w:val="16"/>
                <w:u w:val="single"/>
                <w:lang w:val="de-DE"/>
              </w:rPr>
              <w:t> </w:t>
            </w:r>
            <w:r>
              <w:rPr>
                <w:rFonts w:cs="Arial"/>
                <w:color w:val="0000FF"/>
                <w:sz w:val="16"/>
                <w:szCs w:val="16"/>
                <w:u w:val="single"/>
                <w:lang w:val="de-DE"/>
              </w:rPr>
              <w:t> </w:t>
            </w:r>
            <w:r>
              <w:rPr>
                <w:rFonts w:cs="Arial"/>
                <w:color w:val="0000FF"/>
                <w:sz w:val="16"/>
                <w:szCs w:val="16"/>
                <w:u w:val="single"/>
                <w:lang w:val="de-DE"/>
              </w:rPr>
              <w:t> </w:t>
            </w:r>
            <w:r>
              <w:rPr>
                <w:rFonts w:cs="Arial"/>
                <w:color w:val="0000FF"/>
                <w:sz w:val="16"/>
                <w:szCs w:val="16"/>
                <w:u w:val="single"/>
                <w:lang w:val="de-DE"/>
              </w:rPr>
              <w:t> </w:t>
            </w:r>
            <w:r>
              <w:rPr>
                <w:rFonts w:cs="Arial"/>
                <w:color w:val="0000FF"/>
                <w:sz w:val="16"/>
                <w:szCs w:val="16"/>
                <w:u w:val="single"/>
                <w:lang w:val="de-DE"/>
              </w:rPr>
              <w:t> </w:t>
            </w:r>
            <w:r>
              <w:fldChar w:fldCharType="end"/>
            </w:r>
            <w:bookmarkEnd w:id="2"/>
            <w:r>
              <w:rPr>
                <w:rFonts w:cs="Arial"/>
                <w:color w:val="0000FF"/>
                <w:sz w:val="16"/>
                <w:szCs w:val="16"/>
                <w:u w:val="single"/>
              </w:rPr>
              <w:t>@provinz.bz.it</w:t>
            </w:r>
          </w:p>
          <w:p w14:paraId="22E762D5" w14:textId="77777777" w:rsidR="00F73F58" w:rsidRDefault="00F73F58">
            <w:pPr>
              <w:pStyle w:val="E-MailBearbeitetvonredattoda"/>
              <w:rPr>
                <w:rFonts w:cs="Arial"/>
                <w:sz w:val="18"/>
                <w:szCs w:val="18"/>
                <w:lang w:val="de-DE"/>
              </w:rPr>
            </w:pPr>
          </w:p>
          <w:p w14:paraId="21C74A61" w14:textId="77777777" w:rsidR="00207288" w:rsidRDefault="00207288">
            <w:pPr>
              <w:pStyle w:val="E-MailBearbeitetvonredattoda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1361" w:type="dxa"/>
            <w:shd w:val="clear" w:color="auto" w:fill="auto"/>
          </w:tcPr>
          <w:p w14:paraId="757D40FE" w14:textId="77777777" w:rsidR="00F73F58" w:rsidRDefault="00F73F58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613338FC" w14:textId="77777777" w:rsidR="00F73F58" w:rsidRDefault="00F73F58">
            <w:pPr>
              <w:spacing w:line="240" w:lineRule="exact"/>
              <w:ind w:right="145"/>
              <w:rPr>
                <w:rFonts w:cs="Arial"/>
                <w:lang w:val="de-DE"/>
              </w:rPr>
            </w:pPr>
          </w:p>
        </w:tc>
      </w:tr>
      <w:tr w:rsidR="00F73F58" w14:paraId="0FFB6A57" w14:textId="77777777" w:rsidTr="007240D3">
        <w:tc>
          <w:tcPr>
            <w:tcW w:w="4139" w:type="dxa"/>
            <w:vMerge/>
            <w:shd w:val="clear" w:color="auto" w:fill="auto"/>
          </w:tcPr>
          <w:p w14:paraId="6B5591DF" w14:textId="77777777" w:rsidR="00F73F58" w:rsidRDefault="00F73F58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1361" w:type="dxa"/>
            <w:shd w:val="clear" w:color="auto" w:fill="auto"/>
          </w:tcPr>
          <w:p w14:paraId="4CCA1B5C" w14:textId="77777777" w:rsidR="00F73F58" w:rsidRDefault="00F73F58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0088824D" w14:textId="77777777" w:rsidR="00F73F58" w:rsidRDefault="00F73F58">
            <w:pPr>
              <w:spacing w:line="240" w:lineRule="exact"/>
              <w:ind w:right="145"/>
              <w:rPr>
                <w:rFonts w:cs="Arial"/>
                <w:lang w:val="de-DE"/>
              </w:rPr>
            </w:pPr>
          </w:p>
        </w:tc>
      </w:tr>
      <w:tr w:rsidR="00F73F58" w14:paraId="60D3ED4A" w14:textId="77777777" w:rsidTr="007240D3">
        <w:tc>
          <w:tcPr>
            <w:tcW w:w="4139" w:type="dxa"/>
            <w:vMerge/>
            <w:shd w:val="clear" w:color="auto" w:fill="auto"/>
          </w:tcPr>
          <w:p w14:paraId="3B2B3F15" w14:textId="77777777" w:rsidR="00F73F58" w:rsidRDefault="00F73F58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1361" w:type="dxa"/>
            <w:shd w:val="clear" w:color="auto" w:fill="auto"/>
          </w:tcPr>
          <w:p w14:paraId="051FE5CE" w14:textId="77777777" w:rsidR="00F73F58" w:rsidRDefault="00F73F58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33BFD179" w14:textId="77777777" w:rsidR="00F73F58" w:rsidRDefault="00F73F58">
            <w:pPr>
              <w:spacing w:line="240" w:lineRule="exact"/>
              <w:ind w:right="145"/>
              <w:rPr>
                <w:rFonts w:cs="Arial"/>
                <w:lang w:val="de-DE"/>
              </w:rPr>
            </w:pPr>
          </w:p>
        </w:tc>
      </w:tr>
      <w:tr w:rsidR="00F73F58" w14:paraId="1D31EB63" w14:textId="77777777" w:rsidTr="007240D3">
        <w:tc>
          <w:tcPr>
            <w:tcW w:w="4139" w:type="dxa"/>
            <w:vMerge/>
            <w:shd w:val="clear" w:color="auto" w:fill="auto"/>
          </w:tcPr>
          <w:p w14:paraId="3D432406" w14:textId="77777777" w:rsidR="00F73F58" w:rsidRDefault="00F73F58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1361" w:type="dxa"/>
            <w:shd w:val="clear" w:color="auto" w:fill="auto"/>
          </w:tcPr>
          <w:p w14:paraId="53C9C27C" w14:textId="77777777" w:rsidR="00F73F58" w:rsidRDefault="00F73F58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7E36F3BF" w14:textId="77777777" w:rsidR="00F73F58" w:rsidRDefault="00F73F58">
            <w:pPr>
              <w:spacing w:line="240" w:lineRule="exact"/>
              <w:ind w:right="145"/>
              <w:rPr>
                <w:rFonts w:cs="Arial"/>
                <w:lang w:val="de-DE"/>
              </w:rPr>
            </w:pPr>
          </w:p>
        </w:tc>
      </w:tr>
      <w:tr w:rsidR="00F73F58" w14:paraId="7BBA78CA" w14:textId="77777777" w:rsidTr="007240D3">
        <w:tc>
          <w:tcPr>
            <w:tcW w:w="4139" w:type="dxa"/>
            <w:vMerge/>
            <w:shd w:val="clear" w:color="auto" w:fill="auto"/>
          </w:tcPr>
          <w:p w14:paraId="1F1FF854" w14:textId="77777777" w:rsidR="00F73F58" w:rsidRDefault="00F73F58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1361" w:type="dxa"/>
            <w:shd w:val="clear" w:color="auto" w:fill="auto"/>
          </w:tcPr>
          <w:p w14:paraId="28866D4F" w14:textId="77777777" w:rsidR="00F73F58" w:rsidRDefault="00F73F58">
            <w:pPr>
              <w:spacing w:line="240" w:lineRule="exact"/>
              <w:rPr>
                <w:rFonts w:cs="Arial"/>
                <w:lang w:val="de-DE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481C2B6B" w14:textId="77777777" w:rsidR="00F73F58" w:rsidRDefault="00F73F58">
            <w:pPr>
              <w:spacing w:line="240" w:lineRule="exact"/>
              <w:ind w:right="145"/>
              <w:rPr>
                <w:rFonts w:cs="Arial"/>
                <w:lang w:val="de-DE"/>
              </w:rPr>
            </w:pPr>
          </w:p>
        </w:tc>
      </w:tr>
      <w:tr w:rsidR="00F73F58" w14:paraId="290ABB44" w14:textId="77777777" w:rsidTr="007240D3">
        <w:tc>
          <w:tcPr>
            <w:tcW w:w="5500" w:type="dxa"/>
            <w:gridSpan w:val="2"/>
            <w:shd w:val="clear" w:color="auto" w:fill="auto"/>
          </w:tcPr>
          <w:p w14:paraId="3BB8E42E" w14:textId="77777777" w:rsidR="00F73F58" w:rsidRPr="00182E3E" w:rsidRDefault="00F73F58" w:rsidP="00182E3E">
            <w:pPr>
              <w:tabs>
                <w:tab w:val="left" w:pos="5245"/>
              </w:tabs>
              <w:spacing w:line="200" w:lineRule="exact"/>
              <w:ind w:right="112"/>
              <w:jc w:val="right"/>
              <w:rPr>
                <w:rFonts w:cs="Arial"/>
                <w:sz w:val="16"/>
                <w:szCs w:val="16"/>
                <w:lang w:val="de-DE"/>
              </w:rPr>
            </w:pPr>
            <w:r w:rsidRPr="004F2B35">
              <w:rPr>
                <w:rFonts w:cs="Arial"/>
                <w:sz w:val="16"/>
                <w:szCs w:val="16"/>
                <w:lang w:val="de-DE"/>
              </w:rPr>
              <w:t>Zur Kenntnis:</w:t>
            </w:r>
          </w:p>
        </w:tc>
        <w:tc>
          <w:tcPr>
            <w:tcW w:w="4139" w:type="dxa"/>
            <w:vMerge w:val="restart"/>
            <w:shd w:val="clear" w:color="auto" w:fill="auto"/>
          </w:tcPr>
          <w:p w14:paraId="3F1689DC" w14:textId="395471DA" w:rsidR="00F610F6" w:rsidRPr="00F610F6" w:rsidRDefault="00F610F6" w:rsidP="00F610F6">
            <w:pPr>
              <w:pStyle w:val="ZurKenntnisPerconoscenza"/>
              <w:ind w:right="145"/>
              <w:rPr>
                <w:rFonts w:cs="Arial"/>
                <w:szCs w:val="16"/>
                <w:lang w:val="de-DE"/>
              </w:rPr>
            </w:pPr>
            <w:r w:rsidRPr="00F610F6">
              <w:rPr>
                <w:rFonts w:cs="Arial"/>
                <w:szCs w:val="16"/>
              </w:rPr>
              <w:t>An den</w:t>
            </w:r>
            <w:r w:rsidR="0018334D">
              <w:rPr>
                <w:rFonts w:cs="Arial"/>
                <w:szCs w:val="16"/>
              </w:rPr>
              <w:t xml:space="preserve"> EPV</w:t>
            </w:r>
            <w:r w:rsidRPr="00F610F6">
              <w:rPr>
                <w:rFonts w:cs="Arial"/>
                <w:szCs w:val="16"/>
              </w:rPr>
              <w:t xml:space="preserve"> / Al RUP</w:t>
            </w:r>
          </w:p>
          <w:bookmarkStart w:id="3" w:name="Text4"/>
          <w:p w14:paraId="5EB38BE5" w14:textId="77777777" w:rsidR="00F73F58" w:rsidRDefault="00F610F6" w:rsidP="00F610F6">
            <w:pPr>
              <w:spacing w:line="200" w:lineRule="exact"/>
              <w:ind w:right="145"/>
              <w:rPr>
                <w:rFonts w:cs="Arial"/>
              </w:rPr>
            </w:pPr>
            <w:r w:rsidRPr="00F610F6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10F6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610F6">
              <w:rPr>
                <w:rFonts w:cs="Arial"/>
                <w:sz w:val="16"/>
                <w:szCs w:val="16"/>
              </w:rPr>
            </w:r>
            <w:r w:rsidRPr="00F610F6">
              <w:rPr>
                <w:rFonts w:cs="Arial"/>
                <w:sz w:val="16"/>
                <w:szCs w:val="16"/>
              </w:rPr>
              <w:fldChar w:fldCharType="separate"/>
            </w:r>
            <w:r w:rsidRPr="00F610F6">
              <w:rPr>
                <w:rFonts w:cs="Arial"/>
                <w:noProof/>
                <w:sz w:val="16"/>
                <w:szCs w:val="16"/>
              </w:rPr>
              <w:t> </w:t>
            </w:r>
            <w:r w:rsidRPr="00F610F6">
              <w:rPr>
                <w:rFonts w:cs="Arial"/>
                <w:noProof/>
                <w:sz w:val="16"/>
                <w:szCs w:val="16"/>
              </w:rPr>
              <w:t> </w:t>
            </w:r>
            <w:r w:rsidRPr="00F610F6">
              <w:rPr>
                <w:rFonts w:cs="Arial"/>
                <w:noProof/>
                <w:sz w:val="16"/>
                <w:szCs w:val="16"/>
              </w:rPr>
              <w:t> </w:t>
            </w:r>
            <w:r w:rsidRPr="00F610F6">
              <w:rPr>
                <w:rFonts w:cs="Arial"/>
                <w:noProof/>
                <w:sz w:val="16"/>
                <w:szCs w:val="16"/>
              </w:rPr>
              <w:t> </w:t>
            </w:r>
            <w:r w:rsidRPr="00F610F6">
              <w:rPr>
                <w:rFonts w:cs="Arial"/>
                <w:noProof/>
                <w:sz w:val="16"/>
                <w:szCs w:val="16"/>
              </w:rPr>
              <w:t> </w:t>
            </w:r>
            <w:r w:rsidRPr="00F610F6"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F73F58" w14:paraId="7360DC64" w14:textId="77777777" w:rsidTr="007240D3">
        <w:tc>
          <w:tcPr>
            <w:tcW w:w="5500" w:type="dxa"/>
            <w:gridSpan w:val="2"/>
            <w:shd w:val="clear" w:color="auto" w:fill="auto"/>
          </w:tcPr>
          <w:p w14:paraId="1BBEE8D6" w14:textId="77777777" w:rsidR="00F73F58" w:rsidRDefault="00182E3E" w:rsidP="00182E3E">
            <w:pPr>
              <w:tabs>
                <w:tab w:val="left" w:pos="5245"/>
              </w:tabs>
              <w:spacing w:line="200" w:lineRule="exact"/>
              <w:ind w:right="112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Per conoscenza:</w:t>
            </w:r>
          </w:p>
        </w:tc>
        <w:tc>
          <w:tcPr>
            <w:tcW w:w="4139" w:type="dxa"/>
            <w:vMerge/>
            <w:shd w:val="clear" w:color="auto" w:fill="auto"/>
          </w:tcPr>
          <w:p w14:paraId="05F71803" w14:textId="77777777" w:rsidR="00F73F58" w:rsidRDefault="00F73F58">
            <w:pPr>
              <w:spacing w:line="200" w:lineRule="exact"/>
              <w:ind w:right="145"/>
              <w:rPr>
                <w:rFonts w:cs="Arial"/>
              </w:rPr>
            </w:pPr>
          </w:p>
        </w:tc>
      </w:tr>
      <w:tr w:rsidR="00182E3E" w14:paraId="22D3A66D" w14:textId="77777777" w:rsidTr="007240D3">
        <w:tc>
          <w:tcPr>
            <w:tcW w:w="5500" w:type="dxa"/>
            <w:gridSpan w:val="2"/>
            <w:shd w:val="clear" w:color="auto" w:fill="auto"/>
          </w:tcPr>
          <w:p w14:paraId="65F3D619" w14:textId="77777777" w:rsidR="00182E3E" w:rsidRDefault="00182E3E">
            <w:pPr>
              <w:spacing w:line="200" w:lineRule="exact"/>
              <w:ind w:right="112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56695AF7" w14:textId="77777777" w:rsidR="00182E3E" w:rsidRDefault="00182E3E">
            <w:pPr>
              <w:spacing w:line="200" w:lineRule="exact"/>
              <w:ind w:right="145"/>
              <w:rPr>
                <w:rFonts w:cs="Arial"/>
              </w:rPr>
            </w:pPr>
          </w:p>
        </w:tc>
      </w:tr>
      <w:tr w:rsidR="00F73F58" w14:paraId="67BAA74B" w14:textId="77777777" w:rsidTr="007240D3">
        <w:tc>
          <w:tcPr>
            <w:tcW w:w="5500" w:type="dxa"/>
            <w:gridSpan w:val="2"/>
            <w:shd w:val="clear" w:color="auto" w:fill="auto"/>
          </w:tcPr>
          <w:p w14:paraId="2CA45E45" w14:textId="77777777" w:rsidR="00F73F58" w:rsidRDefault="00F73F58">
            <w:pPr>
              <w:spacing w:line="200" w:lineRule="exact"/>
              <w:ind w:right="112"/>
              <w:jc w:val="right"/>
              <w:rPr>
                <w:rFonts w:cs="Arial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38C13929" w14:textId="77777777" w:rsidR="00F73F58" w:rsidRDefault="00F73F58">
            <w:pPr>
              <w:spacing w:line="200" w:lineRule="exact"/>
              <w:ind w:right="145"/>
              <w:rPr>
                <w:rFonts w:cs="Arial"/>
              </w:rPr>
            </w:pPr>
          </w:p>
        </w:tc>
      </w:tr>
      <w:tr w:rsidR="00F73F58" w14:paraId="09B59CB1" w14:textId="77777777" w:rsidTr="007240D3">
        <w:tc>
          <w:tcPr>
            <w:tcW w:w="5500" w:type="dxa"/>
            <w:gridSpan w:val="2"/>
            <w:shd w:val="clear" w:color="auto" w:fill="auto"/>
          </w:tcPr>
          <w:p w14:paraId="7EB0DA6F" w14:textId="77777777" w:rsidR="00F73F58" w:rsidRDefault="00F73F58">
            <w:pPr>
              <w:spacing w:line="200" w:lineRule="exact"/>
              <w:ind w:right="112"/>
              <w:jc w:val="right"/>
              <w:rPr>
                <w:rFonts w:cs="Arial"/>
              </w:rPr>
            </w:pPr>
          </w:p>
        </w:tc>
        <w:tc>
          <w:tcPr>
            <w:tcW w:w="4139" w:type="dxa"/>
            <w:vMerge/>
            <w:shd w:val="clear" w:color="auto" w:fill="auto"/>
          </w:tcPr>
          <w:p w14:paraId="61B8CDA2" w14:textId="77777777" w:rsidR="00F73F58" w:rsidRDefault="00F73F58">
            <w:pPr>
              <w:spacing w:line="200" w:lineRule="exact"/>
              <w:ind w:right="145"/>
              <w:rPr>
                <w:rFonts w:cs="Arial"/>
              </w:rPr>
            </w:pPr>
          </w:p>
        </w:tc>
      </w:tr>
      <w:tr w:rsidR="001826E9" w:rsidRPr="009B0B10" w14:paraId="0967F401" w14:textId="77777777" w:rsidTr="007240D3">
        <w:tc>
          <w:tcPr>
            <w:tcW w:w="4139" w:type="dxa"/>
            <w:shd w:val="clear" w:color="auto" w:fill="E7E6E6"/>
            <w:vAlign w:val="center"/>
          </w:tcPr>
          <w:p w14:paraId="1748E7CD" w14:textId="77777777" w:rsidR="001826E9" w:rsidRDefault="001826E9" w:rsidP="00410AB5">
            <w:pPr>
              <w:pStyle w:val="ThemadesSchreibens"/>
              <w:rPr>
                <w:rFonts w:cs="Arial"/>
                <w:lang w:val="de-DE"/>
              </w:rPr>
            </w:pPr>
          </w:p>
          <w:p w14:paraId="62F17179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lang w:val="de-DE" w:eastAsia="en-US"/>
              </w:rPr>
            </w:pPr>
            <w:r w:rsidRPr="00053136">
              <w:rPr>
                <w:b/>
                <w:lang w:val="de-DE" w:eastAsia="en-US"/>
              </w:rPr>
              <w:t xml:space="preserve">Ausschreibung </w:t>
            </w:r>
          </w:p>
          <w:p w14:paraId="639B0C2A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lang w:val="de-DE" w:eastAsia="en-US"/>
              </w:rPr>
            </w:pPr>
          </w:p>
          <w:p w14:paraId="4E2EA5F6" w14:textId="4D091E6E" w:rsidR="00053136" w:rsidRPr="00731A29" w:rsidRDefault="00053136" w:rsidP="00053136">
            <w:pPr>
              <w:spacing w:line="240" w:lineRule="exact"/>
              <w:ind w:right="171"/>
              <w:jc w:val="center"/>
              <w:rPr>
                <w:b/>
                <w:bCs/>
                <w:lang w:val="de-DE" w:eastAsia="en-US"/>
              </w:rPr>
            </w:pPr>
            <w:r w:rsidRPr="00731A29">
              <w:rPr>
                <w:b/>
                <w:lang w:val="de-DE" w:eastAsia="en-US"/>
              </w:rPr>
              <w:t>AOV/SUA</w:t>
            </w:r>
            <w:r w:rsidRPr="00731A29">
              <w:rPr>
                <w:color w:val="FF0000"/>
                <w:lang w:val="de-DE" w:eastAsia="en-US"/>
              </w:rPr>
              <w:t>-</w:t>
            </w:r>
            <w:r w:rsidRPr="00731A29">
              <w:rPr>
                <w:b/>
                <w:color w:val="FF0000"/>
                <w:lang w:val="de-DE" w:eastAsia="en-US"/>
              </w:rPr>
              <w:t xml:space="preserve">SF / L </w:t>
            </w:r>
            <w:r w:rsidR="003125D9" w:rsidRPr="00731A29">
              <w:rPr>
                <w:b/>
                <w:color w:val="FF0000"/>
                <w:lang w:val="de-DE" w:eastAsia="en-US"/>
              </w:rPr>
              <w:t xml:space="preserve">/ SAI </w:t>
            </w:r>
            <w:r w:rsidRPr="00053136">
              <w:rPr>
                <w:b/>
                <w:color w:val="FF0000"/>
                <w:lang w:val="de-DE" w:eastAsia="en-US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731A29">
              <w:rPr>
                <w:b/>
                <w:color w:val="FF0000"/>
                <w:lang w:val="de-DE" w:eastAsia="en-US"/>
              </w:rPr>
              <w:instrText xml:space="preserve"> FORMTEXT </w:instrText>
            </w:r>
            <w:r w:rsidRPr="00053136">
              <w:rPr>
                <w:b/>
                <w:color w:val="FF0000"/>
                <w:lang w:val="de-DE" w:eastAsia="en-US"/>
              </w:rPr>
            </w:r>
            <w:r w:rsidRPr="00053136">
              <w:rPr>
                <w:b/>
                <w:color w:val="FF0000"/>
                <w:lang w:val="de-DE" w:eastAsia="en-US"/>
              </w:rPr>
              <w:fldChar w:fldCharType="separate"/>
            </w:r>
            <w:r w:rsidRPr="00053136">
              <w:rPr>
                <w:b/>
                <w:color w:val="FF0000"/>
                <w:lang w:val="de-DE" w:eastAsia="en-US"/>
              </w:rPr>
              <w:t> </w:t>
            </w:r>
            <w:r w:rsidRPr="00053136">
              <w:rPr>
                <w:b/>
                <w:color w:val="FF0000"/>
                <w:lang w:val="de-DE" w:eastAsia="en-US"/>
              </w:rPr>
              <w:t> </w:t>
            </w:r>
            <w:r w:rsidRPr="00053136">
              <w:rPr>
                <w:b/>
                <w:color w:val="FF0000"/>
                <w:lang w:val="de-DE" w:eastAsia="en-US"/>
              </w:rPr>
              <w:t> </w:t>
            </w:r>
            <w:r w:rsidRPr="00053136">
              <w:rPr>
                <w:b/>
                <w:color w:val="FF0000"/>
                <w:lang w:val="de-DE" w:eastAsia="en-US"/>
              </w:rPr>
              <w:t> </w:t>
            </w:r>
            <w:r w:rsidRPr="00053136">
              <w:rPr>
                <w:b/>
                <w:color w:val="FF0000"/>
                <w:lang w:val="de-DE" w:eastAsia="en-US"/>
              </w:rPr>
              <w:t> </w:t>
            </w:r>
            <w:r w:rsidRPr="00053136">
              <w:rPr>
                <w:b/>
                <w:color w:val="FF0000"/>
                <w:lang w:val="de-DE" w:eastAsia="en-US"/>
              </w:rPr>
              <w:fldChar w:fldCharType="end"/>
            </w:r>
          </w:p>
          <w:p w14:paraId="6EA1AE1F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bCs/>
                <w:lang w:val="de-DE" w:eastAsia="en-US"/>
              </w:rPr>
            </w:pPr>
            <w:r w:rsidRPr="00053136">
              <w:rPr>
                <w:color w:val="FF0000"/>
                <w:lang w:val="de-DE" w:eastAsia="en-US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53136">
              <w:rPr>
                <w:color w:val="FF0000"/>
                <w:lang w:val="de-DE" w:eastAsia="en-US"/>
              </w:rPr>
              <w:instrText xml:space="preserve"> FORMTEXT </w:instrText>
            </w:r>
            <w:r w:rsidRPr="00053136">
              <w:rPr>
                <w:color w:val="FF0000"/>
                <w:lang w:val="de-DE" w:eastAsia="en-US"/>
              </w:rPr>
            </w:r>
            <w:r w:rsidRPr="00053136">
              <w:rPr>
                <w:color w:val="FF0000"/>
                <w:lang w:val="de-DE" w:eastAsia="en-US"/>
              </w:rPr>
              <w:fldChar w:fldCharType="separate"/>
            </w:r>
            <w:r w:rsidRPr="00053136">
              <w:rPr>
                <w:color w:val="FF0000"/>
                <w:lang w:val="de-DE" w:eastAsia="en-US"/>
              </w:rPr>
              <w:t> </w:t>
            </w:r>
            <w:r w:rsidRPr="00053136">
              <w:rPr>
                <w:color w:val="FF0000"/>
                <w:lang w:val="de-DE" w:eastAsia="en-US"/>
              </w:rPr>
              <w:t> </w:t>
            </w:r>
            <w:r w:rsidRPr="00053136">
              <w:rPr>
                <w:color w:val="FF0000"/>
                <w:lang w:val="de-DE" w:eastAsia="en-US"/>
              </w:rPr>
              <w:t> </w:t>
            </w:r>
            <w:r w:rsidRPr="00053136">
              <w:rPr>
                <w:color w:val="FF0000"/>
                <w:lang w:val="de-DE" w:eastAsia="en-US"/>
              </w:rPr>
              <w:t> </w:t>
            </w:r>
            <w:r w:rsidRPr="00053136">
              <w:rPr>
                <w:color w:val="FF0000"/>
                <w:lang w:val="de-DE" w:eastAsia="en-US"/>
              </w:rPr>
              <w:t> </w:t>
            </w:r>
            <w:r w:rsidRPr="00053136">
              <w:rPr>
                <w:color w:val="FF0000"/>
                <w:lang w:val="de-DE" w:eastAsia="en-US"/>
              </w:rPr>
              <w:fldChar w:fldCharType="end"/>
            </w:r>
          </w:p>
          <w:p w14:paraId="4BA1E0B5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bCs/>
                <w:lang w:val="de-DE" w:eastAsia="en-US"/>
              </w:rPr>
            </w:pPr>
          </w:p>
          <w:p w14:paraId="1C366CED" w14:textId="77777777" w:rsidR="00053136" w:rsidRPr="00053136" w:rsidRDefault="00053136" w:rsidP="00053136">
            <w:pPr>
              <w:rPr>
                <w:b/>
                <w:i/>
                <w:noProof/>
                <w:color w:val="FF0000"/>
                <w:lang w:val="de-DE" w:eastAsia="en-US"/>
              </w:rPr>
            </w:pPr>
            <w:bookmarkStart w:id="4" w:name="_Hlk515529664"/>
            <w:r w:rsidRPr="00053136">
              <w:rPr>
                <w:b/>
                <w:noProof/>
                <w:color w:val="FF0000"/>
                <w:lang w:val="de-DE" w:eastAsia="en-US"/>
              </w:rPr>
              <w:t xml:space="preserve">BAUVORHABEN (für Abt. 10): </w:t>
            </w:r>
            <w:r w:rsidR="009556A3">
              <w:rPr>
                <w:b/>
                <w:i/>
                <w:noProof/>
                <w:color w:val="FF0000"/>
                <w:lang w:val="de-DE" w:eastAsia="en-US"/>
              </w:rPr>
              <w:t>Code</w:t>
            </w:r>
            <w:r w:rsidRPr="00053136">
              <w:rPr>
                <w:b/>
                <w:i/>
                <w:noProof/>
                <w:color w:val="FF0000"/>
                <w:lang w:val="de-DE" w:eastAsia="en-US"/>
              </w:rPr>
              <w:t xml:space="preserve"> und Beschreibung</w:t>
            </w:r>
            <w:bookmarkEnd w:id="4"/>
          </w:p>
          <w:p w14:paraId="6EFD8C86" w14:textId="77777777" w:rsidR="00053136" w:rsidRPr="00053136" w:rsidRDefault="00053136" w:rsidP="00053136">
            <w:pPr>
              <w:spacing w:line="240" w:lineRule="exact"/>
              <w:ind w:right="171"/>
              <w:jc w:val="right"/>
              <w:rPr>
                <w:b/>
                <w:bCs/>
                <w:lang w:val="de-DE" w:eastAsia="en-US"/>
              </w:rPr>
            </w:pPr>
          </w:p>
          <w:p w14:paraId="1004D503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lang w:val="de-DE" w:eastAsia="en-US"/>
              </w:rPr>
            </w:pPr>
            <w:r w:rsidRPr="00053136">
              <w:rPr>
                <w:b/>
                <w:bCs/>
                <w:lang w:val="de-DE" w:eastAsia="en-US"/>
              </w:rPr>
              <w:t xml:space="preserve">CIG </w:t>
            </w:r>
            <w:r w:rsidRPr="00053136">
              <w:rPr>
                <w:color w:val="FF0000"/>
                <w:lang w:val="de-DE" w:eastAsia="en-US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53136">
              <w:rPr>
                <w:color w:val="FF0000"/>
                <w:lang w:val="de-DE" w:eastAsia="en-US"/>
              </w:rPr>
              <w:instrText xml:space="preserve"> FORMTEXT </w:instrText>
            </w:r>
            <w:r w:rsidRPr="00053136">
              <w:rPr>
                <w:color w:val="FF0000"/>
                <w:lang w:val="de-DE" w:eastAsia="en-US"/>
              </w:rPr>
            </w:r>
            <w:r w:rsidRPr="00053136">
              <w:rPr>
                <w:color w:val="FF0000"/>
                <w:lang w:val="de-DE" w:eastAsia="en-US"/>
              </w:rPr>
              <w:fldChar w:fldCharType="separate"/>
            </w:r>
            <w:r w:rsidRPr="00053136">
              <w:rPr>
                <w:color w:val="FF0000"/>
                <w:lang w:val="de-DE" w:eastAsia="en-US"/>
              </w:rPr>
              <w:t> </w:t>
            </w:r>
            <w:r w:rsidRPr="00053136">
              <w:rPr>
                <w:color w:val="FF0000"/>
                <w:lang w:val="de-DE" w:eastAsia="en-US"/>
              </w:rPr>
              <w:t> </w:t>
            </w:r>
            <w:r w:rsidRPr="00053136">
              <w:rPr>
                <w:color w:val="FF0000"/>
                <w:lang w:val="de-DE" w:eastAsia="en-US"/>
              </w:rPr>
              <w:t> </w:t>
            </w:r>
            <w:r w:rsidRPr="00053136">
              <w:rPr>
                <w:color w:val="FF0000"/>
                <w:lang w:val="de-DE" w:eastAsia="en-US"/>
              </w:rPr>
              <w:t> </w:t>
            </w:r>
            <w:r w:rsidRPr="00053136">
              <w:rPr>
                <w:color w:val="FF0000"/>
                <w:lang w:val="de-DE" w:eastAsia="en-US"/>
              </w:rPr>
              <w:t> </w:t>
            </w:r>
            <w:r w:rsidRPr="00053136">
              <w:rPr>
                <w:color w:val="FF0000"/>
                <w:lang w:val="de-DE" w:eastAsia="en-US"/>
              </w:rPr>
              <w:fldChar w:fldCharType="end"/>
            </w:r>
          </w:p>
          <w:p w14:paraId="246C8FF6" w14:textId="77777777" w:rsidR="001826E9" w:rsidRPr="00C237C0" w:rsidRDefault="001826E9" w:rsidP="001826E9">
            <w:pPr>
              <w:pStyle w:val="ThemadesSchreibens"/>
              <w:spacing w:line="240" w:lineRule="auto"/>
              <w:jc w:val="center"/>
              <w:rPr>
                <w:rFonts w:cs="Arial"/>
                <w:lang w:val="de-DE"/>
              </w:rPr>
            </w:pPr>
          </w:p>
        </w:tc>
        <w:tc>
          <w:tcPr>
            <w:tcW w:w="1361" w:type="dxa"/>
            <w:shd w:val="clear" w:color="auto" w:fill="FFFFFF"/>
            <w:vAlign w:val="center"/>
          </w:tcPr>
          <w:p w14:paraId="73DB88DC" w14:textId="77777777" w:rsidR="001826E9" w:rsidRPr="00463EDF" w:rsidRDefault="001826E9" w:rsidP="001826E9">
            <w:pPr>
              <w:spacing w:line="240" w:lineRule="exact"/>
              <w:jc w:val="center"/>
              <w:rPr>
                <w:lang w:val="de-DE"/>
              </w:rPr>
            </w:pPr>
          </w:p>
        </w:tc>
        <w:tc>
          <w:tcPr>
            <w:tcW w:w="4139" w:type="dxa"/>
            <w:shd w:val="clear" w:color="auto" w:fill="E7E6E6"/>
            <w:vAlign w:val="center"/>
          </w:tcPr>
          <w:p w14:paraId="481E5E7A" w14:textId="77777777" w:rsidR="001826E9" w:rsidRPr="001826E9" w:rsidRDefault="001826E9" w:rsidP="00410AB5">
            <w:pPr>
              <w:pStyle w:val="ThemadesSchreibens"/>
              <w:ind w:right="141"/>
              <w:rPr>
                <w:rFonts w:cs="Arial"/>
              </w:rPr>
            </w:pPr>
          </w:p>
          <w:p w14:paraId="501B4037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lang w:eastAsia="en-US"/>
              </w:rPr>
            </w:pPr>
            <w:r w:rsidRPr="00053136">
              <w:rPr>
                <w:b/>
                <w:lang w:eastAsia="en-US"/>
              </w:rPr>
              <w:t>Gara</w:t>
            </w:r>
          </w:p>
          <w:p w14:paraId="407B6C46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lang w:eastAsia="en-US"/>
              </w:rPr>
            </w:pPr>
          </w:p>
          <w:p w14:paraId="59F5A1A7" w14:textId="579C9E46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bCs/>
                <w:lang w:eastAsia="en-US"/>
              </w:rPr>
            </w:pPr>
            <w:r w:rsidRPr="00053136">
              <w:rPr>
                <w:b/>
                <w:lang w:eastAsia="en-US"/>
              </w:rPr>
              <w:t>AOV/SUA</w:t>
            </w:r>
            <w:r w:rsidRPr="00053136">
              <w:rPr>
                <w:color w:val="FF0000"/>
                <w:lang w:eastAsia="en-US"/>
              </w:rPr>
              <w:t>-</w:t>
            </w:r>
            <w:r w:rsidRPr="00053136">
              <w:rPr>
                <w:b/>
                <w:color w:val="FF0000"/>
                <w:lang w:eastAsia="en-US"/>
              </w:rPr>
              <w:t xml:space="preserve">SF / L </w:t>
            </w:r>
            <w:r w:rsidR="003125D9">
              <w:rPr>
                <w:b/>
                <w:color w:val="FF0000"/>
                <w:lang w:eastAsia="en-US"/>
              </w:rPr>
              <w:t xml:space="preserve">/ SAI </w:t>
            </w:r>
            <w:r w:rsidRPr="00053136">
              <w:rPr>
                <w:b/>
                <w:color w:val="FF0000"/>
                <w:lang w:val="de-DE" w:eastAsia="en-US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53136">
              <w:rPr>
                <w:b/>
                <w:color w:val="FF0000"/>
                <w:lang w:eastAsia="en-US"/>
              </w:rPr>
              <w:instrText xml:space="preserve"> FORMTEXT </w:instrText>
            </w:r>
            <w:r w:rsidRPr="00053136">
              <w:rPr>
                <w:b/>
                <w:color w:val="FF0000"/>
                <w:lang w:val="de-DE" w:eastAsia="en-US"/>
              </w:rPr>
            </w:r>
            <w:r w:rsidRPr="00053136">
              <w:rPr>
                <w:b/>
                <w:color w:val="FF0000"/>
                <w:lang w:val="de-DE" w:eastAsia="en-US"/>
              </w:rPr>
              <w:fldChar w:fldCharType="separate"/>
            </w:r>
            <w:r w:rsidRPr="00053136">
              <w:rPr>
                <w:b/>
                <w:color w:val="FF0000"/>
                <w:lang w:val="de-DE" w:eastAsia="en-US"/>
              </w:rPr>
              <w:t> </w:t>
            </w:r>
            <w:r w:rsidRPr="00053136">
              <w:rPr>
                <w:b/>
                <w:color w:val="FF0000"/>
                <w:lang w:val="de-DE" w:eastAsia="en-US"/>
              </w:rPr>
              <w:t> </w:t>
            </w:r>
            <w:r w:rsidRPr="00053136">
              <w:rPr>
                <w:b/>
                <w:color w:val="FF0000"/>
                <w:lang w:val="de-DE" w:eastAsia="en-US"/>
              </w:rPr>
              <w:t> </w:t>
            </w:r>
            <w:r w:rsidRPr="00053136">
              <w:rPr>
                <w:b/>
                <w:color w:val="FF0000"/>
                <w:lang w:val="de-DE" w:eastAsia="en-US"/>
              </w:rPr>
              <w:t> </w:t>
            </w:r>
            <w:r w:rsidRPr="00053136">
              <w:rPr>
                <w:b/>
                <w:color w:val="FF0000"/>
                <w:lang w:val="de-DE" w:eastAsia="en-US"/>
              </w:rPr>
              <w:t> </w:t>
            </w:r>
            <w:r w:rsidRPr="00053136">
              <w:rPr>
                <w:b/>
                <w:color w:val="FF0000"/>
                <w:lang w:val="de-DE" w:eastAsia="en-US"/>
              </w:rPr>
              <w:fldChar w:fldCharType="end"/>
            </w:r>
          </w:p>
          <w:p w14:paraId="3F4776E8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bCs/>
                <w:lang w:eastAsia="en-US"/>
              </w:rPr>
            </w:pPr>
            <w:r w:rsidRPr="00053136">
              <w:rPr>
                <w:b/>
                <w:bCs/>
                <w:lang w:eastAsia="en-US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53136">
              <w:rPr>
                <w:b/>
                <w:bCs/>
                <w:lang w:eastAsia="en-US"/>
              </w:rPr>
              <w:instrText xml:space="preserve"> FORMTEXT </w:instrText>
            </w:r>
            <w:r w:rsidRPr="00053136">
              <w:rPr>
                <w:b/>
                <w:bCs/>
                <w:lang w:eastAsia="en-US"/>
              </w:rPr>
            </w:r>
            <w:r w:rsidRPr="00053136">
              <w:rPr>
                <w:b/>
                <w:bCs/>
                <w:lang w:eastAsia="en-US"/>
              </w:rPr>
              <w:fldChar w:fldCharType="separate"/>
            </w:r>
            <w:r w:rsidRPr="00053136">
              <w:rPr>
                <w:b/>
                <w:bCs/>
                <w:lang w:eastAsia="en-US"/>
              </w:rPr>
              <w:t> </w:t>
            </w:r>
            <w:r w:rsidRPr="00053136">
              <w:rPr>
                <w:b/>
                <w:bCs/>
                <w:lang w:eastAsia="en-US"/>
              </w:rPr>
              <w:t> </w:t>
            </w:r>
            <w:r w:rsidRPr="00053136">
              <w:rPr>
                <w:b/>
                <w:bCs/>
                <w:lang w:eastAsia="en-US"/>
              </w:rPr>
              <w:t> </w:t>
            </w:r>
            <w:r w:rsidRPr="00053136">
              <w:rPr>
                <w:b/>
                <w:bCs/>
                <w:lang w:eastAsia="en-US"/>
              </w:rPr>
              <w:t> </w:t>
            </w:r>
            <w:r w:rsidRPr="00053136">
              <w:rPr>
                <w:b/>
                <w:bCs/>
                <w:lang w:eastAsia="en-US"/>
              </w:rPr>
              <w:t> </w:t>
            </w:r>
            <w:r w:rsidRPr="00053136">
              <w:rPr>
                <w:b/>
                <w:bCs/>
                <w:lang w:eastAsia="en-US"/>
              </w:rPr>
              <w:fldChar w:fldCharType="end"/>
            </w:r>
          </w:p>
          <w:p w14:paraId="33A98A0F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bCs/>
                <w:lang w:eastAsia="en-US"/>
              </w:rPr>
            </w:pPr>
          </w:p>
          <w:p w14:paraId="0A222AE2" w14:textId="77777777" w:rsidR="00053136" w:rsidRPr="00053136" w:rsidRDefault="00053136" w:rsidP="00053136">
            <w:pPr>
              <w:ind w:left="-540" w:firstLine="540"/>
              <w:rPr>
                <w:b/>
                <w:i/>
                <w:noProof/>
                <w:color w:val="FF0000"/>
                <w:lang w:eastAsia="en-US"/>
              </w:rPr>
            </w:pPr>
            <w:r w:rsidRPr="00053136">
              <w:rPr>
                <w:b/>
                <w:noProof/>
                <w:color w:val="FF0000"/>
                <w:lang w:eastAsia="en-US"/>
              </w:rPr>
              <w:t xml:space="preserve">OPERA (per Rip. 10) : </w:t>
            </w:r>
            <w:r w:rsidRPr="00053136">
              <w:rPr>
                <w:b/>
                <w:i/>
                <w:noProof/>
                <w:color w:val="FF0000"/>
                <w:lang w:eastAsia="en-US"/>
              </w:rPr>
              <w:t>codice e descrizione</w:t>
            </w:r>
          </w:p>
          <w:p w14:paraId="5BD3D3E0" w14:textId="77777777" w:rsidR="00053136" w:rsidRDefault="00053136" w:rsidP="00053136">
            <w:pPr>
              <w:spacing w:line="240" w:lineRule="exact"/>
              <w:ind w:right="171"/>
              <w:jc w:val="center"/>
              <w:rPr>
                <w:b/>
                <w:bCs/>
                <w:lang w:eastAsia="en-US"/>
              </w:rPr>
            </w:pPr>
          </w:p>
          <w:p w14:paraId="687425EB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bCs/>
                <w:lang w:eastAsia="en-US"/>
              </w:rPr>
            </w:pPr>
          </w:p>
          <w:p w14:paraId="4ADF97A4" w14:textId="77777777" w:rsidR="00053136" w:rsidRPr="00053136" w:rsidRDefault="00053136" w:rsidP="00053136">
            <w:pPr>
              <w:spacing w:line="240" w:lineRule="exact"/>
              <w:ind w:right="171"/>
              <w:jc w:val="center"/>
              <w:rPr>
                <w:b/>
                <w:bCs/>
                <w:lang w:eastAsia="en-US"/>
              </w:rPr>
            </w:pPr>
            <w:r w:rsidRPr="00053136">
              <w:rPr>
                <w:b/>
                <w:bCs/>
                <w:lang w:eastAsia="en-US"/>
              </w:rPr>
              <w:t xml:space="preserve">CIG: </w:t>
            </w:r>
            <w:bookmarkStart w:id="5" w:name="Testo58"/>
            <w:bookmarkEnd w:id="5"/>
            <w:r w:rsidRPr="00053136">
              <w:rPr>
                <w:b/>
                <w:bCs/>
                <w:lang w:eastAsia="en-US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053136">
              <w:rPr>
                <w:b/>
                <w:bCs/>
                <w:lang w:eastAsia="en-US"/>
              </w:rPr>
              <w:instrText xml:space="preserve"> FORMTEXT </w:instrText>
            </w:r>
            <w:r w:rsidRPr="00053136">
              <w:rPr>
                <w:b/>
                <w:bCs/>
                <w:lang w:eastAsia="en-US"/>
              </w:rPr>
            </w:r>
            <w:r w:rsidRPr="00053136">
              <w:rPr>
                <w:b/>
                <w:bCs/>
                <w:lang w:eastAsia="en-US"/>
              </w:rPr>
              <w:fldChar w:fldCharType="separate"/>
            </w:r>
            <w:r w:rsidRPr="00053136">
              <w:rPr>
                <w:b/>
                <w:bCs/>
                <w:lang w:eastAsia="en-US"/>
              </w:rPr>
              <w:t> </w:t>
            </w:r>
            <w:r w:rsidRPr="00053136">
              <w:rPr>
                <w:b/>
                <w:bCs/>
                <w:lang w:eastAsia="en-US"/>
              </w:rPr>
              <w:t> </w:t>
            </w:r>
            <w:r w:rsidRPr="00053136">
              <w:rPr>
                <w:b/>
                <w:bCs/>
                <w:lang w:eastAsia="en-US"/>
              </w:rPr>
              <w:t> </w:t>
            </w:r>
            <w:r w:rsidRPr="00053136">
              <w:rPr>
                <w:b/>
                <w:bCs/>
                <w:lang w:eastAsia="en-US"/>
              </w:rPr>
              <w:t> </w:t>
            </w:r>
            <w:r w:rsidRPr="00053136">
              <w:rPr>
                <w:b/>
                <w:bCs/>
                <w:lang w:eastAsia="en-US"/>
              </w:rPr>
              <w:t> </w:t>
            </w:r>
            <w:r w:rsidRPr="00053136">
              <w:rPr>
                <w:b/>
                <w:bCs/>
                <w:lang w:eastAsia="en-US"/>
              </w:rPr>
              <w:fldChar w:fldCharType="end"/>
            </w:r>
          </w:p>
          <w:p w14:paraId="7EC93E4C" w14:textId="77777777" w:rsidR="001826E9" w:rsidRPr="00091DC8" w:rsidRDefault="001826E9" w:rsidP="001826E9">
            <w:pPr>
              <w:pStyle w:val="Oggettodellalettera"/>
              <w:ind w:right="141"/>
            </w:pPr>
          </w:p>
        </w:tc>
      </w:tr>
      <w:tr w:rsidR="008713E8" w:rsidRPr="008713E8" w14:paraId="48015BA3" w14:textId="77777777" w:rsidTr="007240D3">
        <w:tc>
          <w:tcPr>
            <w:tcW w:w="4139" w:type="dxa"/>
            <w:shd w:val="clear" w:color="auto" w:fill="E7E6E6"/>
          </w:tcPr>
          <w:p w14:paraId="740890B8" w14:textId="77777777" w:rsidR="008713E8" w:rsidRPr="00746197" w:rsidRDefault="00DF2F02" w:rsidP="00FB7289">
            <w:pPr>
              <w:spacing w:line="240" w:lineRule="exact"/>
              <w:ind w:right="78"/>
              <w:jc w:val="both"/>
              <w:rPr>
                <w:lang w:val="de-DE"/>
              </w:rPr>
            </w:pPr>
            <w:r w:rsidRPr="00AF7BF6">
              <w:rPr>
                <w:rFonts w:cs="Arial"/>
                <w:b/>
                <w:shd w:val="clear" w:color="auto" w:fill="E0E0E0"/>
                <w:lang w:val="de-DE"/>
              </w:rPr>
              <w:t xml:space="preserve">Ernennung des Ersatzmitgliedes als Mitglied der </w:t>
            </w:r>
            <w:r w:rsidR="00D92564">
              <w:rPr>
                <w:rFonts w:cs="Arial"/>
                <w:b/>
                <w:shd w:val="clear" w:color="auto" w:fill="E0E0E0"/>
                <w:lang w:val="de-DE"/>
              </w:rPr>
              <w:t>Bewertungsk</w:t>
            </w:r>
            <w:r w:rsidRPr="00AF7BF6">
              <w:rPr>
                <w:rFonts w:cs="Arial"/>
                <w:b/>
                <w:shd w:val="clear" w:color="auto" w:fill="E0E0E0"/>
                <w:lang w:val="de-DE"/>
              </w:rPr>
              <w:t>ommission</w:t>
            </w:r>
            <w:r w:rsidR="00B800C9">
              <w:rPr>
                <w:rFonts w:cs="Arial"/>
                <w:b/>
                <w:shd w:val="clear" w:color="auto" w:fill="E0E0E0"/>
                <w:lang w:val="de-DE"/>
              </w:rPr>
              <w:t xml:space="preserve"> </w:t>
            </w:r>
            <w:r w:rsidR="00B800C9" w:rsidRPr="003D5E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00C9" w:rsidRPr="00B800C9">
              <w:rPr>
                <w:rFonts w:cs="Arial"/>
                <w:b/>
                <w:sz w:val="16"/>
                <w:szCs w:val="16"/>
                <w:lang w:val="de-DE"/>
              </w:rPr>
              <w:instrText xml:space="preserve"> FORMTEXT </w:instrText>
            </w:r>
            <w:r w:rsidR="00B800C9" w:rsidRPr="003D5EBC">
              <w:rPr>
                <w:rFonts w:cs="Arial"/>
                <w:b/>
                <w:sz w:val="16"/>
                <w:szCs w:val="16"/>
              </w:rPr>
            </w:r>
            <w:r w:rsidR="00B800C9" w:rsidRPr="003D5E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800C9" w:rsidRPr="003D5EBC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800C9" w:rsidRPr="003D5EBC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800C9" w:rsidRPr="003D5EBC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800C9" w:rsidRPr="003D5EBC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800C9" w:rsidRPr="003D5EBC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800C9" w:rsidRPr="003D5E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61" w:type="dxa"/>
            <w:shd w:val="clear" w:color="auto" w:fill="FFFFFF"/>
          </w:tcPr>
          <w:p w14:paraId="07A4D231" w14:textId="77777777" w:rsidR="008713E8" w:rsidRPr="00746197" w:rsidRDefault="008713E8" w:rsidP="00FB7289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  <w:shd w:val="clear" w:color="auto" w:fill="E7E6E6"/>
          </w:tcPr>
          <w:p w14:paraId="59205247" w14:textId="77777777" w:rsidR="008713E8" w:rsidRPr="008713E8" w:rsidRDefault="00DF2F02" w:rsidP="00FB7289">
            <w:pPr>
              <w:spacing w:line="240" w:lineRule="exact"/>
              <w:ind w:right="78"/>
              <w:jc w:val="both"/>
            </w:pPr>
            <w:r w:rsidRPr="00AF7BF6">
              <w:rPr>
                <w:rFonts w:cs="Arial"/>
                <w:b/>
              </w:rPr>
              <w:t>Nomina del sostituto del membro</w:t>
            </w:r>
            <w:r>
              <w:rPr>
                <w:rFonts w:cs="Arial"/>
                <w:b/>
              </w:rPr>
              <w:t xml:space="preserve"> </w:t>
            </w:r>
            <w:r w:rsidRPr="00AF7BF6">
              <w:rPr>
                <w:rFonts w:cs="Arial"/>
                <w:b/>
              </w:rPr>
              <w:t xml:space="preserve">della commissione </w:t>
            </w:r>
            <w:r w:rsidR="00D92564">
              <w:rPr>
                <w:rFonts w:cs="Arial"/>
                <w:b/>
              </w:rPr>
              <w:t>di valutazione</w:t>
            </w:r>
            <w:r w:rsidRPr="00AF7BF6">
              <w:rPr>
                <w:rFonts w:cs="Arial"/>
                <w:b/>
              </w:rPr>
              <w:t xml:space="preserve"> </w:t>
            </w:r>
            <w:r w:rsidR="00B800C9" w:rsidRPr="003D5E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800C9" w:rsidRPr="003D5E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B800C9" w:rsidRPr="003D5EBC">
              <w:rPr>
                <w:rFonts w:cs="Arial"/>
                <w:b/>
                <w:sz w:val="16"/>
                <w:szCs w:val="16"/>
              </w:rPr>
            </w:r>
            <w:r w:rsidR="00B800C9" w:rsidRPr="003D5E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800C9" w:rsidRPr="003D5EBC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800C9" w:rsidRPr="003D5EBC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800C9" w:rsidRPr="003D5EBC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800C9" w:rsidRPr="003D5EBC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800C9" w:rsidRPr="003D5EBC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800C9" w:rsidRPr="003D5E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73F58" w14:paraId="4C32978D" w14:textId="77777777" w:rsidTr="007240D3">
        <w:tblPrEx>
          <w:tblCellMar>
            <w:left w:w="70" w:type="dxa"/>
            <w:right w:w="70" w:type="dxa"/>
          </w:tblCellMar>
        </w:tblPrEx>
        <w:trPr>
          <w:trHeight w:val="202"/>
        </w:trPr>
        <w:tc>
          <w:tcPr>
            <w:tcW w:w="4139" w:type="dxa"/>
          </w:tcPr>
          <w:p w14:paraId="772560FE" w14:textId="77777777" w:rsidR="00F73F58" w:rsidRDefault="00F73F58">
            <w:pPr>
              <w:ind w:right="72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361" w:type="dxa"/>
          </w:tcPr>
          <w:p w14:paraId="7006D5E0" w14:textId="77777777" w:rsidR="00F73F58" w:rsidRDefault="00F73F58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5147D7E7" w14:textId="77777777" w:rsidR="00F73F58" w:rsidRDefault="00F73F58">
            <w:pPr>
              <w:ind w:right="145"/>
              <w:jc w:val="both"/>
              <w:rPr>
                <w:rFonts w:cs="Arial"/>
              </w:rPr>
            </w:pPr>
          </w:p>
        </w:tc>
      </w:tr>
      <w:tr w:rsidR="009F1A38" w:rsidRPr="00AF7BF6" w14:paraId="402004B2" w14:textId="77777777" w:rsidTr="007240D3">
        <w:tblPrEx>
          <w:tblCellMar>
            <w:left w:w="70" w:type="dxa"/>
            <w:right w:w="70" w:type="dxa"/>
          </w:tblCellMar>
        </w:tblPrEx>
        <w:trPr>
          <w:trHeight w:val="1102"/>
        </w:trPr>
        <w:tc>
          <w:tcPr>
            <w:tcW w:w="4139" w:type="dxa"/>
          </w:tcPr>
          <w:p w14:paraId="4BECE5DF" w14:textId="08BF4B42" w:rsidR="009F1A38" w:rsidRPr="003D5EBC" w:rsidRDefault="009F1A38" w:rsidP="007240D3">
            <w:pPr>
              <w:ind w:left="-70"/>
              <w:jc w:val="both"/>
              <w:rPr>
                <w:rFonts w:cs="Arial"/>
                <w:lang w:val="de-DE"/>
              </w:rPr>
            </w:pPr>
            <w:r w:rsidRPr="003D5EBC">
              <w:rPr>
                <w:rFonts w:cs="Arial"/>
                <w:lang w:val="de-DE"/>
              </w:rPr>
              <w:t>Mit diesem Schreiben werden Sie von der Ausschreibungsbehörde als Ersatzmitglied der technischen Kommission laut Art.6 Abs. 7 des LG Nr. 17/93</w:t>
            </w:r>
            <w:r>
              <w:rPr>
                <w:rFonts w:cs="Arial"/>
                <w:lang w:val="de-DE"/>
              </w:rPr>
              <w:t>,</w:t>
            </w:r>
            <w:r w:rsidRPr="003D5EBC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 xml:space="preserve">Art. 34 des LG Nr. 16/2015 und Art. </w:t>
            </w:r>
            <w:r w:rsidR="00531B4A">
              <w:rPr>
                <w:rFonts w:cs="Arial"/>
                <w:lang w:val="de-DE"/>
              </w:rPr>
              <w:t xml:space="preserve">93 </w:t>
            </w:r>
            <w:r>
              <w:rPr>
                <w:rFonts w:cs="Arial"/>
                <w:lang w:val="de-DE"/>
              </w:rPr>
              <w:t xml:space="preserve">des GVD Nr. </w:t>
            </w:r>
            <w:r w:rsidR="00531B4A">
              <w:rPr>
                <w:rFonts w:cs="Arial"/>
                <w:lang w:val="de-DE"/>
              </w:rPr>
              <w:t>36/2023</w:t>
            </w:r>
            <w:r>
              <w:rPr>
                <w:rFonts w:cs="Arial"/>
                <w:lang w:val="de-DE"/>
              </w:rPr>
              <w:t xml:space="preserve"> für obgenannte Ausschreibung ernannt</w:t>
            </w:r>
            <w:r w:rsidRPr="003D5EBC">
              <w:rPr>
                <w:rFonts w:cs="Arial"/>
                <w:lang w:val="de-DE"/>
              </w:rPr>
              <w:t>.</w:t>
            </w:r>
          </w:p>
        </w:tc>
        <w:tc>
          <w:tcPr>
            <w:tcW w:w="1361" w:type="dxa"/>
          </w:tcPr>
          <w:p w14:paraId="5A3B7A32" w14:textId="77777777" w:rsidR="009F1A38" w:rsidRPr="003D5EBC" w:rsidRDefault="009F1A38" w:rsidP="001F6B83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36CBB65E" w14:textId="5873A726" w:rsidR="009F1A38" w:rsidRPr="00AF7BF6" w:rsidRDefault="009F1A38" w:rsidP="00257578">
            <w:pPr>
              <w:ind w:left="-67"/>
              <w:jc w:val="both"/>
              <w:rPr>
                <w:rFonts w:cs="Arial"/>
              </w:rPr>
            </w:pPr>
            <w:r w:rsidRPr="003D5EBC">
              <w:rPr>
                <w:rFonts w:cs="Arial"/>
              </w:rPr>
              <w:t xml:space="preserve">Con la presente viene nominato dall’Autorità di </w:t>
            </w:r>
            <w:r w:rsidRPr="003D5EBC">
              <w:rPr>
                <w:rFonts w:cs="Arial"/>
                <w:iCs/>
              </w:rPr>
              <w:t>gara</w:t>
            </w:r>
            <w:r w:rsidRPr="003D5EBC">
              <w:rPr>
                <w:rFonts w:cs="Arial"/>
              </w:rPr>
              <w:t xml:space="preserve"> quale sostituto della Commissione tecnica ai sensi dell’articolo 6, comma 7 della L.P. 17/</w:t>
            </w:r>
            <w:r>
              <w:rPr>
                <w:rFonts w:cs="Arial"/>
              </w:rPr>
              <w:t xml:space="preserve">93, dell’art. 34 della L.P. 16/2015 e </w:t>
            </w:r>
            <w:r w:rsidRPr="00251F69">
              <w:rPr>
                <w:rFonts w:cs="Arial"/>
              </w:rPr>
              <w:t xml:space="preserve">dell’art. </w:t>
            </w:r>
            <w:r w:rsidR="00E61227">
              <w:rPr>
                <w:rFonts w:cs="Arial"/>
              </w:rPr>
              <w:t>93</w:t>
            </w:r>
            <w:r w:rsidRPr="00251F69">
              <w:rPr>
                <w:rFonts w:cs="Arial"/>
              </w:rPr>
              <w:t xml:space="preserve"> del D.Lgs.</w:t>
            </w:r>
            <w:r>
              <w:rPr>
                <w:rFonts w:cs="Arial"/>
              </w:rPr>
              <w:t xml:space="preserve"> n. </w:t>
            </w:r>
            <w:r w:rsidR="00E61227">
              <w:rPr>
                <w:rFonts w:cs="Arial"/>
              </w:rPr>
              <w:t>36/2023</w:t>
            </w:r>
            <w:r>
              <w:rPr>
                <w:rFonts w:cs="Arial"/>
              </w:rPr>
              <w:t xml:space="preserve"> per la gara in oggetto.</w:t>
            </w:r>
          </w:p>
        </w:tc>
      </w:tr>
      <w:tr w:rsidR="00F73F58" w14:paraId="2058337F" w14:textId="77777777" w:rsidTr="007240D3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4139" w:type="dxa"/>
          </w:tcPr>
          <w:p w14:paraId="2761049F" w14:textId="77777777" w:rsidR="00F73F58" w:rsidRDefault="00F73F58">
            <w:pPr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361" w:type="dxa"/>
          </w:tcPr>
          <w:p w14:paraId="4FFB0713" w14:textId="77777777" w:rsidR="00F73F58" w:rsidRDefault="00F73F58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6C4B5065" w14:textId="77777777" w:rsidR="00F73F58" w:rsidRDefault="00F73F58">
            <w:pPr>
              <w:jc w:val="both"/>
              <w:rPr>
                <w:rFonts w:cs="Arial"/>
              </w:rPr>
            </w:pPr>
          </w:p>
        </w:tc>
      </w:tr>
      <w:tr w:rsidR="00F73F58" w14:paraId="0448C98E" w14:textId="77777777" w:rsidTr="007240D3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139" w:type="dxa"/>
          </w:tcPr>
          <w:p w14:paraId="72BC4BE7" w14:textId="77777777" w:rsidR="00F73F58" w:rsidRDefault="00F73F58">
            <w:pPr>
              <w:ind w:left="-7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Die Mitglieder der Kommission haben die Aufgabe zu überprüfen, ob die für obgenannte </w:t>
            </w:r>
            <w:r w:rsidR="00345CFD">
              <w:rPr>
                <w:rFonts w:cs="Arial"/>
                <w:lang w:val="de-DE"/>
              </w:rPr>
              <w:t>Ausschreibung verlangten techni</w:t>
            </w:r>
            <w:r>
              <w:rPr>
                <w:rFonts w:cs="Arial"/>
                <w:lang w:val="de-DE"/>
              </w:rPr>
              <w:t xml:space="preserve">schen Unterlagen </w:t>
            </w:r>
            <w:r w:rsidR="00320D54">
              <w:rPr>
                <w:rFonts w:cs="Arial"/>
                <w:lang w:val="de-DE"/>
              </w:rPr>
              <w:t>eingereicht wurden</w:t>
            </w:r>
            <w:r>
              <w:rPr>
                <w:rFonts w:cs="Arial"/>
                <w:lang w:val="de-DE"/>
              </w:rPr>
              <w:t xml:space="preserve">, </w:t>
            </w:r>
            <w:r w:rsidRPr="00AA374E">
              <w:rPr>
                <w:rFonts w:cs="Arial"/>
                <w:noProof/>
                <w:color w:val="FF0000"/>
                <w:lang w:val="de-DE" w:eastAsia="en-US"/>
              </w:rPr>
              <w:t xml:space="preserve">die verlangten Mindestvoraussetzungen zu kontrollieren </w:t>
            </w:r>
            <w:r>
              <w:rPr>
                <w:rFonts w:cs="Arial"/>
                <w:lang w:val="de-DE"/>
              </w:rPr>
              <w:t>und die Bewertung der technische</w:t>
            </w:r>
            <w:r w:rsidR="002D67BF">
              <w:rPr>
                <w:rFonts w:cs="Arial"/>
                <w:lang w:val="de-DE"/>
              </w:rPr>
              <w:t>n</w:t>
            </w:r>
            <w:r>
              <w:rPr>
                <w:rFonts w:cs="Arial"/>
                <w:lang w:val="de-DE"/>
              </w:rPr>
              <w:t xml:space="preserve"> Angebote der teilnehmenden </w:t>
            </w:r>
            <w:r w:rsidR="00245E08">
              <w:rPr>
                <w:rFonts w:cs="Arial"/>
                <w:lang w:val="de-DE"/>
              </w:rPr>
              <w:t>Wirtschaftsteilnehmer</w:t>
            </w:r>
            <w:r>
              <w:rPr>
                <w:rFonts w:cs="Arial"/>
                <w:lang w:val="de-DE"/>
              </w:rPr>
              <w:t xml:space="preserve"> gemäß den in den Ausschreibungsbedingungen (siehe Anlage) festgesetzten Kriterien vorzunehmen.</w:t>
            </w:r>
          </w:p>
        </w:tc>
        <w:tc>
          <w:tcPr>
            <w:tcW w:w="1361" w:type="dxa"/>
          </w:tcPr>
          <w:p w14:paraId="3CB8C2AC" w14:textId="77777777" w:rsidR="00F73F58" w:rsidRDefault="00F73F5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17110DBD" w14:textId="77777777" w:rsidR="00F73F58" w:rsidRDefault="00F73F58">
            <w:pPr>
              <w:ind w:left="-69"/>
              <w:jc w:val="both"/>
              <w:rPr>
                <w:rFonts w:cs="Arial"/>
              </w:rPr>
            </w:pPr>
            <w:r>
              <w:rPr>
                <w:rFonts w:cs="Arial"/>
              </w:rPr>
              <w:t>I componenti della Commissione hanno il compito di ve</w:t>
            </w:r>
            <w:r w:rsidR="00345CFD">
              <w:rPr>
                <w:rFonts w:cs="Arial"/>
              </w:rPr>
              <w:t>rificare la presenza dalla docu</w:t>
            </w:r>
            <w:r>
              <w:rPr>
                <w:rFonts w:cs="Arial"/>
              </w:rPr>
              <w:t xml:space="preserve">mentazione tecnica richiesta per la presente gara, </w:t>
            </w:r>
            <w:r w:rsidRPr="00A90106">
              <w:rPr>
                <w:rFonts w:cs="Arial"/>
                <w:color w:val="FF0000"/>
              </w:rPr>
              <w:t>di procedere alla verifica dei requisiti minimi richiesti</w:t>
            </w:r>
            <w:r>
              <w:rPr>
                <w:rFonts w:cs="Arial"/>
              </w:rPr>
              <w:t xml:space="preserve"> e alla valutazione delle offerte tecnica </w:t>
            </w:r>
            <w:r w:rsidR="00245E08">
              <w:rPr>
                <w:rFonts w:cs="Arial"/>
              </w:rPr>
              <w:t>degli operatori economici</w:t>
            </w:r>
            <w:r>
              <w:rPr>
                <w:rFonts w:cs="Arial"/>
              </w:rPr>
              <w:t xml:space="preserve"> partecipanti secondo i criteri stabiliti nel disciplinare di gara (vedasi allegato).</w:t>
            </w:r>
          </w:p>
        </w:tc>
      </w:tr>
      <w:tr w:rsidR="00731A29" w14:paraId="360EC50D" w14:textId="77777777" w:rsidTr="007240D3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139" w:type="dxa"/>
          </w:tcPr>
          <w:p w14:paraId="35AD6BB6" w14:textId="77777777" w:rsidR="00731A29" w:rsidRPr="00731A29" w:rsidRDefault="00731A29">
            <w:pPr>
              <w:ind w:left="-70"/>
              <w:jc w:val="both"/>
              <w:rPr>
                <w:rFonts w:cs="Arial"/>
              </w:rPr>
            </w:pPr>
          </w:p>
        </w:tc>
        <w:tc>
          <w:tcPr>
            <w:tcW w:w="1361" w:type="dxa"/>
          </w:tcPr>
          <w:p w14:paraId="5909E45B" w14:textId="77777777" w:rsidR="00731A29" w:rsidRPr="00731A29" w:rsidRDefault="00731A29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6B8A5C96" w14:textId="77777777" w:rsidR="00731A29" w:rsidRDefault="00731A29">
            <w:pPr>
              <w:ind w:left="-69"/>
              <w:jc w:val="both"/>
              <w:rPr>
                <w:rFonts w:cs="Arial"/>
              </w:rPr>
            </w:pPr>
          </w:p>
        </w:tc>
      </w:tr>
      <w:tr w:rsidR="00731A29" w14:paraId="14EF669E" w14:textId="77777777" w:rsidTr="007240D3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139" w:type="dxa"/>
          </w:tcPr>
          <w:p w14:paraId="282A6090" w14:textId="39AE8C28" w:rsidR="00731A29" w:rsidRPr="00731A29" w:rsidRDefault="00731A29" w:rsidP="00731A29">
            <w:pPr>
              <w:ind w:left="-70"/>
              <w:jc w:val="both"/>
              <w:rPr>
                <w:rFonts w:cs="Arial"/>
                <w:lang w:val="de-DE"/>
              </w:rPr>
            </w:pPr>
            <w:r w:rsidRPr="008407D2">
              <w:rPr>
                <w:rFonts w:cs="Arial"/>
                <w:lang w:val="de-DE"/>
              </w:rPr>
              <w:t xml:space="preserve">Die Mitglieder der Kommission haben weiters die Aufgabe, die Stichhaltigkeit der </w:t>
            </w:r>
            <w:r w:rsidRPr="008407D2">
              <w:rPr>
                <w:rFonts w:cs="Arial"/>
                <w:lang w:val="de-DE"/>
              </w:rPr>
              <w:lastRenderedPageBreak/>
              <w:t xml:space="preserve">Begründung </w:t>
            </w:r>
            <w:r w:rsidRPr="00C465AA">
              <w:rPr>
                <w:rFonts w:cs="Arial"/>
                <w:lang w:val="de-DE"/>
              </w:rPr>
              <w:t xml:space="preserve">der von den </w:t>
            </w:r>
            <w:r>
              <w:rPr>
                <w:rFonts w:cs="Arial"/>
                <w:lang w:val="de-DE"/>
              </w:rPr>
              <w:t>Bietern</w:t>
            </w:r>
            <w:r w:rsidRPr="00C465AA">
              <w:rPr>
                <w:rFonts w:cs="Arial"/>
                <w:lang w:val="de-DE"/>
              </w:rPr>
              <w:t xml:space="preserve"> eingereichten Anträge auf </w:t>
            </w:r>
            <w:r>
              <w:rPr>
                <w:rFonts w:cs="Arial"/>
                <w:lang w:val="de-DE"/>
              </w:rPr>
              <w:t>Verdunkelung</w:t>
            </w:r>
            <w:r w:rsidRPr="00C465AA">
              <w:rPr>
                <w:rFonts w:cs="Arial"/>
                <w:lang w:val="de-DE"/>
              </w:rPr>
              <w:t xml:space="preserve"> des Angebots</w:t>
            </w:r>
            <w:r>
              <w:rPr>
                <w:rFonts w:cs="Arial"/>
                <w:lang w:val="de-DE"/>
              </w:rPr>
              <w:t xml:space="preserve"> </w:t>
            </w:r>
            <w:r w:rsidRPr="008407D2">
              <w:rPr>
                <w:rFonts w:cs="Arial"/>
                <w:lang w:val="de-DE"/>
              </w:rPr>
              <w:t>in Bezug auf das Angebot vorgelegt wurde, sowi</w:t>
            </w:r>
            <w:r>
              <w:rPr>
                <w:rFonts w:cs="Arial"/>
                <w:lang w:val="de-DE"/>
              </w:rPr>
              <w:t>e</w:t>
            </w:r>
            <w:r w:rsidRPr="008407D2">
              <w:rPr>
                <w:rFonts w:cs="Arial"/>
                <w:lang w:val="de-DE"/>
              </w:rPr>
              <w:t xml:space="preserve"> eventuell die Unterlagen zur Überprüfung des ungewöhnlich niedrigen Angebots zu bewerten.</w:t>
            </w:r>
          </w:p>
        </w:tc>
        <w:tc>
          <w:tcPr>
            <w:tcW w:w="1361" w:type="dxa"/>
          </w:tcPr>
          <w:p w14:paraId="7CC74B60" w14:textId="77777777" w:rsidR="00731A29" w:rsidRPr="00731A29" w:rsidRDefault="00731A29" w:rsidP="00731A29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04A3A4A1" w14:textId="7843A5FB" w:rsidR="00731A29" w:rsidRDefault="00731A29" w:rsidP="00731A29">
            <w:pPr>
              <w:ind w:left="-69"/>
              <w:jc w:val="both"/>
              <w:rPr>
                <w:rFonts w:cs="Arial"/>
              </w:rPr>
            </w:pPr>
            <w:r w:rsidRPr="008407D2">
              <w:rPr>
                <w:rFonts w:cs="Arial"/>
              </w:rPr>
              <w:t>I componenti della Commissione sono inoltre tenuti a valutare la fondatezza del</w:t>
            </w:r>
            <w:r>
              <w:rPr>
                <w:rFonts w:cs="Arial"/>
              </w:rPr>
              <w:t xml:space="preserve">le richieste </w:t>
            </w:r>
            <w:r>
              <w:rPr>
                <w:rFonts w:cs="Arial"/>
              </w:rPr>
              <w:lastRenderedPageBreak/>
              <w:t>di oscuramento per motivi di riservatezza</w:t>
            </w:r>
            <w:r w:rsidRPr="008407D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presentate</w:t>
            </w:r>
            <w:r w:rsidRPr="008407D2">
              <w:rPr>
                <w:rFonts w:cs="Arial"/>
              </w:rPr>
              <w:t xml:space="preserve"> dai concorrenti in relazione all’offerta e alla documentazione fornita in sede di verifica dell’anomalia.</w:t>
            </w:r>
          </w:p>
        </w:tc>
      </w:tr>
      <w:tr w:rsidR="00731A29" w14:paraId="0A942CE3" w14:textId="77777777" w:rsidTr="007240D3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139" w:type="dxa"/>
          </w:tcPr>
          <w:p w14:paraId="1DA2B651" w14:textId="77777777" w:rsidR="00731A29" w:rsidRPr="00731A29" w:rsidRDefault="00731A29">
            <w:pPr>
              <w:ind w:left="-70"/>
              <w:jc w:val="both"/>
              <w:rPr>
                <w:rFonts w:cs="Arial"/>
              </w:rPr>
            </w:pPr>
          </w:p>
        </w:tc>
        <w:tc>
          <w:tcPr>
            <w:tcW w:w="1361" w:type="dxa"/>
          </w:tcPr>
          <w:p w14:paraId="0638F3C8" w14:textId="77777777" w:rsidR="00731A29" w:rsidRPr="00731A29" w:rsidRDefault="00731A29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51ECF587" w14:textId="77777777" w:rsidR="00731A29" w:rsidRDefault="00731A29">
            <w:pPr>
              <w:ind w:left="-69"/>
              <w:jc w:val="both"/>
              <w:rPr>
                <w:rFonts w:cs="Arial"/>
              </w:rPr>
            </w:pPr>
          </w:p>
        </w:tc>
      </w:tr>
      <w:tr w:rsidR="00731A29" w14:paraId="2BF79C02" w14:textId="77777777" w:rsidTr="00E42CAB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139" w:type="dxa"/>
            <w:shd w:val="clear" w:color="auto" w:fill="auto"/>
          </w:tcPr>
          <w:p w14:paraId="3E20B331" w14:textId="4BA4C1AE" w:rsidR="00731A29" w:rsidRPr="00731A29" w:rsidRDefault="00731A29" w:rsidP="00731A29">
            <w:pPr>
              <w:ind w:left="-70"/>
              <w:jc w:val="both"/>
              <w:rPr>
                <w:rFonts w:cs="Arial"/>
                <w:lang w:val="de-DE"/>
              </w:rPr>
            </w:pPr>
            <w:r w:rsidRPr="00AF476E">
              <w:rPr>
                <w:rFonts w:cs="Arial"/>
                <w:lang w:val="de-DE"/>
              </w:rPr>
              <w:t xml:space="preserve">Es wird </w:t>
            </w:r>
            <w:r w:rsidRPr="00AF476E">
              <w:rPr>
                <w:lang w:val="de-DE"/>
              </w:rPr>
              <w:t xml:space="preserve">daran erinnert, dass Sie bei zuerkanntem Vorliegen von technischen oder Betriebsgeheimnissen aufgefordert sind, zusätzlich zum Original der Niederschriften der Bewertungskommission auch deren </w:t>
            </w:r>
            <w:r w:rsidRPr="00FB6CE7">
              <w:rPr>
                <w:b/>
                <w:bCs/>
                <w:u w:val="single"/>
                <w:lang w:val="de-DE"/>
              </w:rPr>
              <w:t>Kopie und technischen Unterlagen des Bieters, geschwärzt in jenen Bereichen, die die erwähnten Informationen beinhalten, vorzulegen.</w:t>
            </w:r>
          </w:p>
        </w:tc>
        <w:tc>
          <w:tcPr>
            <w:tcW w:w="1361" w:type="dxa"/>
            <w:shd w:val="clear" w:color="auto" w:fill="auto"/>
          </w:tcPr>
          <w:p w14:paraId="07872C0E" w14:textId="77777777" w:rsidR="00731A29" w:rsidRPr="00731A29" w:rsidRDefault="00731A29" w:rsidP="00731A29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  <w:shd w:val="clear" w:color="auto" w:fill="auto"/>
          </w:tcPr>
          <w:p w14:paraId="67B1D2FA" w14:textId="0AA71777" w:rsidR="00731A29" w:rsidRDefault="00731A29" w:rsidP="00731A29">
            <w:pPr>
              <w:ind w:left="-69"/>
              <w:jc w:val="both"/>
              <w:rPr>
                <w:rFonts w:cs="Arial"/>
              </w:rPr>
            </w:pPr>
            <w:r w:rsidRPr="00AF476E">
              <w:t xml:space="preserve">Si ricorda che, in caso di riconosciuta presenza di segreti tecnici o commerciali, siete invitati a presentare, oltre all’originale dei verbali della commissione di valutazione, </w:t>
            </w:r>
            <w:r w:rsidRPr="0080391A">
              <w:rPr>
                <w:b/>
                <w:bCs/>
                <w:u w:val="single"/>
              </w:rPr>
              <w:t>anche copia degli stessi e della documentazione tecnica presentata dall’offerente oscurati nelle parti contententi le predette informazioni.</w:t>
            </w:r>
          </w:p>
        </w:tc>
      </w:tr>
      <w:tr w:rsidR="00731A29" w14:paraId="278A28DA" w14:textId="77777777" w:rsidTr="007240D3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4139" w:type="dxa"/>
          </w:tcPr>
          <w:p w14:paraId="5AB3F097" w14:textId="77777777" w:rsidR="00731A29" w:rsidRPr="00731A29" w:rsidRDefault="00731A29">
            <w:pPr>
              <w:ind w:left="-70"/>
              <w:jc w:val="both"/>
              <w:rPr>
                <w:rFonts w:cs="Arial"/>
              </w:rPr>
            </w:pPr>
          </w:p>
        </w:tc>
        <w:tc>
          <w:tcPr>
            <w:tcW w:w="1361" w:type="dxa"/>
          </w:tcPr>
          <w:p w14:paraId="4421AA8B" w14:textId="77777777" w:rsidR="00731A29" w:rsidRPr="00731A29" w:rsidRDefault="00731A29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5A988098" w14:textId="77777777" w:rsidR="00731A29" w:rsidRDefault="00731A29">
            <w:pPr>
              <w:ind w:left="-69"/>
              <w:jc w:val="both"/>
              <w:rPr>
                <w:rFonts w:cs="Arial"/>
              </w:rPr>
            </w:pPr>
          </w:p>
        </w:tc>
      </w:tr>
      <w:tr w:rsidR="00F73F58" w14:paraId="6BAC4755" w14:textId="77777777" w:rsidTr="007240D3">
        <w:tblPrEx>
          <w:tblCellMar>
            <w:left w:w="70" w:type="dxa"/>
            <w:right w:w="70" w:type="dxa"/>
          </w:tblCellMar>
        </w:tblPrEx>
        <w:trPr>
          <w:trHeight w:val="1004"/>
        </w:trPr>
        <w:tc>
          <w:tcPr>
            <w:tcW w:w="4139" w:type="dxa"/>
          </w:tcPr>
          <w:p w14:paraId="5D62F067" w14:textId="77777777" w:rsidR="00F73F58" w:rsidRDefault="00F73F58">
            <w:pPr>
              <w:ind w:left="-7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Wenn die Kommission die Bew</w:t>
            </w:r>
            <w:r w:rsidR="00345CFD">
              <w:rPr>
                <w:rFonts w:cs="Arial"/>
                <w:lang w:val="de-DE"/>
              </w:rPr>
              <w:t>er</w:t>
            </w:r>
            <w:r>
              <w:rPr>
                <w:rFonts w:cs="Arial"/>
                <w:lang w:val="de-DE"/>
              </w:rPr>
              <w:t>tungstätigkeit schon aufgenommen hat, muss das Ersatzmit</w:t>
            </w:r>
            <w:r w:rsidR="00345CFD">
              <w:rPr>
                <w:rFonts w:cs="Arial"/>
                <w:lang w:val="de-DE"/>
              </w:rPr>
              <w:t>glied die bis dahin von der Kom</w:t>
            </w:r>
            <w:r>
              <w:rPr>
                <w:rFonts w:cs="Arial"/>
                <w:lang w:val="de-DE"/>
              </w:rPr>
              <w:t>mission get</w:t>
            </w:r>
            <w:r w:rsidR="00345CFD">
              <w:rPr>
                <w:rFonts w:cs="Arial"/>
                <w:lang w:val="de-DE"/>
              </w:rPr>
              <w:t>roffenen Entscheidungen überneh</w:t>
            </w:r>
            <w:r>
              <w:rPr>
                <w:rFonts w:cs="Arial"/>
                <w:lang w:val="de-DE"/>
              </w:rPr>
              <w:t>men.</w:t>
            </w:r>
          </w:p>
        </w:tc>
        <w:tc>
          <w:tcPr>
            <w:tcW w:w="1361" w:type="dxa"/>
          </w:tcPr>
          <w:p w14:paraId="37AD7822" w14:textId="77777777" w:rsidR="00F73F58" w:rsidRDefault="00F73F58">
            <w:pPr>
              <w:jc w:val="both"/>
              <w:rPr>
                <w:rFonts w:cs="Arial"/>
                <w:b/>
                <w:lang w:val="de-DE"/>
              </w:rPr>
            </w:pPr>
          </w:p>
        </w:tc>
        <w:tc>
          <w:tcPr>
            <w:tcW w:w="4139" w:type="dxa"/>
          </w:tcPr>
          <w:p w14:paraId="14E68C97" w14:textId="77777777" w:rsidR="00F73F58" w:rsidRDefault="00F73F58">
            <w:pPr>
              <w:ind w:left="-70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Ove la </w:t>
            </w:r>
            <w:r w:rsidR="00A24ED2">
              <w:rPr>
                <w:rFonts w:cs="Arial"/>
              </w:rPr>
              <w:t xml:space="preserve">Commissione </w:t>
            </w:r>
            <w:r>
              <w:rPr>
                <w:rFonts w:cs="Arial"/>
              </w:rPr>
              <w:t xml:space="preserve">abbia già iniziato con le operazioni di valutazione, il membro supplente deve recepire le scelte già operate dalla </w:t>
            </w:r>
            <w:r w:rsidR="00A24ED2">
              <w:rPr>
                <w:rFonts w:cs="Arial"/>
              </w:rPr>
              <w:t xml:space="preserve">Commissione </w:t>
            </w:r>
            <w:r>
              <w:rPr>
                <w:rFonts w:cs="Arial"/>
              </w:rPr>
              <w:t>fino a quel momento.</w:t>
            </w:r>
          </w:p>
        </w:tc>
      </w:tr>
      <w:tr w:rsidR="00F73F58" w14:paraId="5DA2A743" w14:textId="77777777" w:rsidTr="007240D3">
        <w:tblPrEx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4139" w:type="dxa"/>
          </w:tcPr>
          <w:p w14:paraId="4B3976D9" w14:textId="77777777" w:rsidR="00F73F58" w:rsidRDefault="00F73F58">
            <w:pPr>
              <w:ind w:left="-70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361" w:type="dxa"/>
          </w:tcPr>
          <w:p w14:paraId="76913D1E" w14:textId="77777777" w:rsidR="00F73F58" w:rsidRDefault="00F73F58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3CE2A361" w14:textId="77777777" w:rsidR="00F73F58" w:rsidRDefault="00F73F58">
            <w:pPr>
              <w:ind w:left="-70"/>
              <w:jc w:val="both"/>
              <w:rPr>
                <w:rFonts w:cs="Arial"/>
              </w:rPr>
            </w:pPr>
          </w:p>
        </w:tc>
      </w:tr>
      <w:tr w:rsidR="00F73F58" w14:paraId="392635F8" w14:textId="77777777" w:rsidTr="007240D3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4139" w:type="dxa"/>
          </w:tcPr>
          <w:p w14:paraId="43F7AC2D" w14:textId="4067F67F" w:rsidR="00F73F58" w:rsidRDefault="00F73F58">
            <w:pPr>
              <w:ind w:left="-7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Vor der Öffnung der technischen Angebote müssen die Mitglieder auf das Bestehen von Unvereinbarkeitsgründen </w:t>
            </w:r>
            <w:r w:rsidR="001D37A7">
              <w:rPr>
                <w:rFonts w:cs="Arial"/>
                <w:lang w:val="de-DE"/>
              </w:rPr>
              <w:t>gemäß dem folgenden Normen</w:t>
            </w:r>
            <w:r w:rsidR="00531B4A">
              <w:rPr>
                <w:rFonts w:cs="Arial"/>
                <w:lang w:val="de-DE"/>
              </w:rPr>
              <w:t xml:space="preserve">: </w:t>
            </w:r>
            <w:r w:rsidRPr="00141DE5">
              <w:rPr>
                <w:rFonts w:cs="Arial"/>
                <w:lang w:val="de-DE"/>
              </w:rPr>
              <w:t xml:space="preserve">Art. </w:t>
            </w:r>
            <w:r w:rsidR="00BC31F2">
              <w:rPr>
                <w:rFonts w:cs="Arial"/>
                <w:lang w:val="de-DE"/>
              </w:rPr>
              <w:t>93, Absatz 5</w:t>
            </w:r>
            <w:r w:rsidR="0024655B">
              <w:rPr>
                <w:rFonts w:cs="Arial"/>
                <w:lang w:val="de-DE"/>
              </w:rPr>
              <w:t xml:space="preserve"> und Art. 16</w:t>
            </w:r>
            <w:r w:rsidR="00BB50DD">
              <w:rPr>
                <w:rFonts w:cs="Arial"/>
                <w:lang w:val="de-DE"/>
              </w:rPr>
              <w:t xml:space="preserve"> des GvD Nr. 36/2023</w:t>
            </w:r>
            <w:r w:rsidR="0024655B">
              <w:rPr>
                <w:rFonts w:cs="Arial"/>
                <w:lang w:val="de-DE"/>
              </w:rPr>
              <w:t>, Art. 35</w:t>
            </w:r>
            <w:r w:rsidR="00D42A02">
              <w:rPr>
                <w:rFonts w:cs="Arial"/>
                <w:lang w:val="de-DE"/>
              </w:rPr>
              <w:t xml:space="preserve">-bis GvD Nr. 165/2001, Art. </w:t>
            </w:r>
            <w:r w:rsidR="001A0190">
              <w:rPr>
                <w:rFonts w:cs="Arial"/>
                <w:lang w:val="de-DE"/>
              </w:rPr>
              <w:t>2, Absatz 3</w:t>
            </w:r>
            <w:r w:rsidR="00083483">
              <w:rPr>
                <w:rFonts w:cs="Arial"/>
                <w:lang w:val="de-DE"/>
              </w:rPr>
              <w:t xml:space="preserve"> </w:t>
            </w:r>
            <w:r w:rsidR="0056370E">
              <w:rPr>
                <w:rFonts w:cs="Arial"/>
                <w:lang w:val="de-DE"/>
              </w:rPr>
              <w:t xml:space="preserve">und </w:t>
            </w:r>
            <w:r w:rsidRPr="00141DE5">
              <w:rPr>
                <w:rFonts w:cs="Arial"/>
                <w:lang w:val="de-DE"/>
              </w:rPr>
              <w:t>Art. 6 und 7 des DPR Nr. 62/2013 (Verordnung über die Verhaltensweise der öffentlich Bediensteten) und des Art. 6-bis des Gesetzes Nr. 241/1990 hinweisen.</w:t>
            </w:r>
          </w:p>
        </w:tc>
        <w:tc>
          <w:tcPr>
            <w:tcW w:w="1361" w:type="dxa"/>
          </w:tcPr>
          <w:p w14:paraId="0F951756" w14:textId="77777777" w:rsidR="00F73F58" w:rsidRDefault="00F73F5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65AD01AD" w14:textId="1AD478F1" w:rsidR="00F73F58" w:rsidRDefault="002C5E68">
            <w:pPr>
              <w:ind w:left="-70"/>
              <w:jc w:val="both"/>
              <w:rPr>
                <w:rFonts w:cs="Arial"/>
              </w:rPr>
            </w:pPr>
            <w:r>
              <w:rPr>
                <w:rFonts w:cs="Arial"/>
              </w:rPr>
              <w:t>Prima dell’apertura delle offerte tecniche i</w:t>
            </w:r>
            <w:r w:rsidR="00F73F58">
              <w:rPr>
                <w:rFonts w:cs="Arial"/>
              </w:rPr>
              <w:t xml:space="preserve"> membri sono tenuti a far presente la sussistenza di cause di incompatibilità ai sensi</w:t>
            </w:r>
            <w:r w:rsidR="002D3515">
              <w:rPr>
                <w:rFonts w:cs="Arial"/>
              </w:rPr>
              <w:t xml:space="preserve"> delle seguenti </w:t>
            </w:r>
            <w:r w:rsidR="001D37A7">
              <w:rPr>
                <w:rFonts w:cs="Arial"/>
              </w:rPr>
              <w:t>norme: art.</w:t>
            </w:r>
            <w:r w:rsidR="00F73F58" w:rsidRPr="003C023F">
              <w:rPr>
                <w:rFonts w:cs="Arial"/>
              </w:rPr>
              <w:t xml:space="preserve"> </w:t>
            </w:r>
            <w:r w:rsidR="002D3515" w:rsidRPr="004C09FC">
              <w:rPr>
                <w:rFonts w:cs="Arial"/>
              </w:rPr>
              <w:t>93</w:t>
            </w:r>
            <w:r w:rsidR="00F73F58" w:rsidRPr="004C09FC">
              <w:rPr>
                <w:rFonts w:cs="Arial"/>
              </w:rPr>
              <w:t xml:space="preserve">, </w:t>
            </w:r>
            <w:r w:rsidR="002D3515" w:rsidRPr="004C09FC">
              <w:rPr>
                <w:rFonts w:cs="Arial"/>
              </w:rPr>
              <w:t xml:space="preserve">comma 5 </w:t>
            </w:r>
            <w:r w:rsidR="00F73F58" w:rsidRPr="004C09FC">
              <w:rPr>
                <w:rFonts w:cs="Arial"/>
              </w:rPr>
              <w:t xml:space="preserve">e art. </w:t>
            </w:r>
            <w:r w:rsidR="002D3515" w:rsidRPr="004C09FC">
              <w:rPr>
                <w:rFonts w:cs="Arial"/>
              </w:rPr>
              <w:t>16</w:t>
            </w:r>
            <w:r w:rsidR="00F73F58" w:rsidRPr="004C09FC">
              <w:rPr>
                <w:rFonts w:cs="Arial"/>
              </w:rPr>
              <w:t xml:space="preserve"> del D.Lgs. n. </w:t>
            </w:r>
            <w:r w:rsidR="002D3515" w:rsidRPr="004C09FC">
              <w:rPr>
                <w:rFonts w:cs="Arial"/>
              </w:rPr>
              <w:t>36/2023; ; art. 35-bis D.Lgs. 165/2001;</w:t>
            </w:r>
            <w:r w:rsidR="00F73F58" w:rsidRPr="004C09FC">
              <w:rPr>
                <w:rFonts w:cs="Arial"/>
              </w:rPr>
              <w:t xml:space="preserve"> art</w:t>
            </w:r>
            <w:r w:rsidR="002D3515" w:rsidRPr="004C09FC">
              <w:rPr>
                <w:rFonts w:cs="Arial"/>
              </w:rPr>
              <w:t>t</w:t>
            </w:r>
            <w:r w:rsidR="00F73F58" w:rsidRPr="004C09FC">
              <w:rPr>
                <w:rFonts w:cs="Arial"/>
              </w:rPr>
              <w:t>.</w:t>
            </w:r>
            <w:r w:rsidR="002D3515" w:rsidRPr="004C09FC">
              <w:rPr>
                <w:rFonts w:cs="Arial"/>
              </w:rPr>
              <w:t xml:space="preserve"> </w:t>
            </w:r>
            <w:r w:rsidR="002D3515">
              <w:rPr>
                <w:rFonts w:cs="Arial"/>
              </w:rPr>
              <w:t>2, comma 3,</w:t>
            </w:r>
            <w:r w:rsidR="00F73F58" w:rsidRPr="003C023F">
              <w:rPr>
                <w:rFonts w:cs="Arial"/>
              </w:rPr>
              <w:t xml:space="preserve"> 6 e art. 7 del D.P.R. n. 62/2013 (Regolamento recante Codice di comportamento dei dipendenti pubblici)</w:t>
            </w:r>
            <w:r w:rsidR="00AF5D80" w:rsidRPr="003C023F">
              <w:rPr>
                <w:rFonts w:cs="Arial"/>
              </w:rPr>
              <w:t>,</w:t>
            </w:r>
            <w:r w:rsidR="00F73F58" w:rsidRPr="003C023F">
              <w:rPr>
                <w:rFonts w:cs="Arial"/>
              </w:rPr>
              <w:t xml:space="preserve"> art. 6-bis della Legge n. 241/1990.</w:t>
            </w:r>
          </w:p>
        </w:tc>
      </w:tr>
      <w:tr w:rsidR="00F73F58" w14:paraId="4020876C" w14:textId="77777777" w:rsidTr="007240D3">
        <w:tblPrEx>
          <w:tblCellMar>
            <w:left w:w="70" w:type="dxa"/>
            <w:right w:w="70" w:type="dxa"/>
          </w:tblCellMar>
        </w:tblPrEx>
        <w:trPr>
          <w:trHeight w:val="172"/>
        </w:trPr>
        <w:tc>
          <w:tcPr>
            <w:tcW w:w="4139" w:type="dxa"/>
          </w:tcPr>
          <w:p w14:paraId="09F1490F" w14:textId="4190B7D3" w:rsidR="00F73F58" w:rsidRDefault="00F73F58" w:rsidP="004C09FC">
            <w:pPr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361" w:type="dxa"/>
          </w:tcPr>
          <w:p w14:paraId="088C6F63" w14:textId="77777777" w:rsidR="00F73F58" w:rsidRDefault="00F73F58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0E99DF84" w14:textId="77777777" w:rsidR="00F73F58" w:rsidRDefault="00F73F58">
            <w:pPr>
              <w:ind w:left="-70"/>
              <w:jc w:val="both"/>
              <w:rPr>
                <w:rFonts w:cs="Arial"/>
              </w:rPr>
            </w:pPr>
          </w:p>
        </w:tc>
      </w:tr>
      <w:tr w:rsidR="00F73F58" w14:paraId="7DDEBCC7" w14:textId="77777777" w:rsidTr="007240D3">
        <w:tblPrEx>
          <w:tblCellMar>
            <w:left w:w="70" w:type="dxa"/>
            <w:right w:w="70" w:type="dxa"/>
          </w:tblCellMar>
        </w:tblPrEx>
        <w:trPr>
          <w:trHeight w:val="172"/>
        </w:trPr>
        <w:tc>
          <w:tcPr>
            <w:tcW w:w="4139" w:type="dxa"/>
          </w:tcPr>
          <w:p w14:paraId="3AF8041D" w14:textId="4C2D5A71" w:rsidR="00F73F58" w:rsidRPr="00E37336" w:rsidRDefault="00F73F58">
            <w:pPr>
              <w:ind w:left="-70"/>
              <w:jc w:val="both"/>
              <w:rPr>
                <w:rFonts w:cs="Arial"/>
                <w:lang w:val="de-DE"/>
              </w:rPr>
            </w:pPr>
            <w:r w:rsidRPr="00E37336">
              <w:rPr>
                <w:rFonts w:cs="Arial"/>
                <w:lang w:val="de-DE"/>
              </w:rPr>
              <w:t xml:space="preserve">Das </w:t>
            </w:r>
            <w:r w:rsidR="00C438DE" w:rsidRPr="00E37336">
              <w:rPr>
                <w:rFonts w:cs="Arial"/>
                <w:lang w:val="de-DE"/>
              </w:rPr>
              <w:t>Nichtvorliegen</w:t>
            </w:r>
            <w:r w:rsidRPr="00E37336">
              <w:rPr>
                <w:rFonts w:cs="Arial"/>
                <w:lang w:val="de-DE"/>
              </w:rPr>
              <w:t xml:space="preserve"> von Unvereinbarkeits- und Enthaltungsgründen gemäß Art. </w:t>
            </w:r>
            <w:r w:rsidR="0044739F">
              <w:rPr>
                <w:rFonts w:cs="Arial"/>
                <w:lang w:val="de-DE"/>
              </w:rPr>
              <w:t>93</w:t>
            </w:r>
            <w:r w:rsidR="008162F1">
              <w:rPr>
                <w:rFonts w:cs="Arial"/>
                <w:lang w:val="de-DE"/>
              </w:rPr>
              <w:t>, Absatz 5 und Art. 16</w:t>
            </w:r>
            <w:r w:rsidRPr="00E37336">
              <w:rPr>
                <w:rFonts w:cs="Arial"/>
                <w:lang w:val="de-DE"/>
              </w:rPr>
              <w:t xml:space="preserve"> des G</w:t>
            </w:r>
            <w:r w:rsidR="00351CF8">
              <w:rPr>
                <w:rFonts w:cs="Arial"/>
                <w:lang w:val="de-DE"/>
              </w:rPr>
              <w:t>v</w:t>
            </w:r>
            <w:r w:rsidRPr="00E37336">
              <w:rPr>
                <w:rFonts w:cs="Arial"/>
                <w:lang w:val="de-DE"/>
              </w:rPr>
              <w:t xml:space="preserve">D Nr. </w:t>
            </w:r>
            <w:r w:rsidR="008162F1">
              <w:rPr>
                <w:rFonts w:cs="Arial"/>
                <w:lang w:val="de-DE"/>
              </w:rPr>
              <w:t>36/2023</w:t>
            </w:r>
            <w:r w:rsidRPr="00E37336">
              <w:rPr>
                <w:rFonts w:cs="Arial"/>
                <w:lang w:val="de-DE"/>
              </w:rPr>
              <w:t xml:space="preserve">, </w:t>
            </w:r>
            <w:r w:rsidR="00A43AAC">
              <w:rPr>
                <w:rFonts w:cs="Arial"/>
                <w:lang w:val="de-DE"/>
              </w:rPr>
              <w:t>Art. 35-bis GvD Nr. 36/2023,</w:t>
            </w:r>
            <w:r w:rsidRPr="00E37336">
              <w:rPr>
                <w:rFonts w:cs="Arial"/>
                <w:lang w:val="de-DE"/>
              </w:rPr>
              <w:t xml:space="preserve"> Art. </w:t>
            </w:r>
            <w:r w:rsidR="00A43AAC">
              <w:rPr>
                <w:rFonts w:cs="Arial"/>
                <w:lang w:val="de-DE"/>
              </w:rPr>
              <w:t>2, Absatz</w:t>
            </w:r>
            <w:r w:rsidR="00E64A3F">
              <w:rPr>
                <w:rFonts w:cs="Arial"/>
                <w:lang w:val="de-DE"/>
              </w:rPr>
              <w:t xml:space="preserve"> 3</w:t>
            </w:r>
            <w:r w:rsidR="00351CF8">
              <w:rPr>
                <w:rFonts w:cs="Arial"/>
                <w:lang w:val="de-DE"/>
              </w:rPr>
              <w:t xml:space="preserve"> und</w:t>
            </w:r>
            <w:r w:rsidR="00E64A3F">
              <w:rPr>
                <w:rFonts w:cs="Arial"/>
                <w:lang w:val="de-DE"/>
              </w:rPr>
              <w:t xml:space="preserve"> Art. </w:t>
            </w:r>
            <w:r w:rsidRPr="00E37336">
              <w:rPr>
                <w:rFonts w:cs="Arial"/>
                <w:lang w:val="de-DE"/>
              </w:rPr>
              <w:t>6 und 7 des DPR Nr. 62/2013 (Verordnung über die Verhaltensweise der öffentlich Bediensteten) und des Art. 6-bis des Gesetzes Nr. 241/1990 muss während der gesamten Dauer des Auftrages gegeben sein.</w:t>
            </w:r>
          </w:p>
        </w:tc>
        <w:tc>
          <w:tcPr>
            <w:tcW w:w="1361" w:type="dxa"/>
          </w:tcPr>
          <w:p w14:paraId="57C2AA1F" w14:textId="77777777" w:rsidR="00F73F58" w:rsidRPr="00E37336" w:rsidRDefault="00F73F5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62053C14" w14:textId="2F810056" w:rsidR="00F73F58" w:rsidRPr="00E37336" w:rsidRDefault="00F73F58">
            <w:pPr>
              <w:ind w:left="-70"/>
              <w:jc w:val="both"/>
              <w:rPr>
                <w:rFonts w:cs="Arial"/>
              </w:rPr>
            </w:pPr>
            <w:r w:rsidRPr="00E37336">
              <w:rPr>
                <w:rFonts w:cs="Arial"/>
              </w:rPr>
              <w:t xml:space="preserve">L'assenza di cause di incompatibilità e/o di astensione ai sensi </w:t>
            </w:r>
            <w:r w:rsidR="001D37A7" w:rsidRPr="00E37336">
              <w:rPr>
                <w:rFonts w:cs="Arial"/>
              </w:rPr>
              <w:t>degli artt.</w:t>
            </w:r>
            <w:r w:rsidR="002D3515">
              <w:rPr>
                <w:rFonts w:cs="Arial"/>
              </w:rPr>
              <w:t>93</w:t>
            </w:r>
            <w:r w:rsidRPr="00E37336">
              <w:rPr>
                <w:rFonts w:cs="Arial"/>
              </w:rPr>
              <w:t>,</w:t>
            </w:r>
            <w:r w:rsidR="002D3515">
              <w:rPr>
                <w:rFonts w:cs="Arial"/>
              </w:rPr>
              <w:t xml:space="preserve"> comma 5</w:t>
            </w:r>
            <w:r w:rsidRPr="00E37336">
              <w:rPr>
                <w:rFonts w:cs="Arial"/>
              </w:rPr>
              <w:t xml:space="preserve"> </w:t>
            </w:r>
            <w:r w:rsidR="00AF5D80" w:rsidRPr="00E37336">
              <w:rPr>
                <w:rFonts w:cs="Arial"/>
              </w:rPr>
              <w:t xml:space="preserve">e </w:t>
            </w:r>
            <w:r w:rsidR="002D3515">
              <w:rPr>
                <w:rFonts w:cs="Arial"/>
              </w:rPr>
              <w:t>16</w:t>
            </w:r>
            <w:r w:rsidR="00AF5D80" w:rsidRPr="00E37336">
              <w:rPr>
                <w:rFonts w:cs="Arial"/>
              </w:rPr>
              <w:t xml:space="preserve"> del D.Lgs. n. </w:t>
            </w:r>
            <w:r w:rsidR="002D3515">
              <w:rPr>
                <w:rFonts w:cs="Arial"/>
              </w:rPr>
              <w:t>36/2023</w:t>
            </w:r>
            <w:r w:rsidR="00AF5D80" w:rsidRPr="00E37336">
              <w:rPr>
                <w:rFonts w:cs="Arial"/>
              </w:rPr>
              <w:t xml:space="preserve">, </w:t>
            </w:r>
            <w:r w:rsidR="002D3515">
              <w:rPr>
                <w:rFonts w:cs="Arial"/>
              </w:rPr>
              <w:t xml:space="preserve">dell’art. 35-bis D.Lgs. 165/2001, degli artt. </w:t>
            </w:r>
            <w:r w:rsidR="002D3515" w:rsidRPr="00E37336">
              <w:rPr>
                <w:rFonts w:cs="Arial"/>
              </w:rPr>
              <w:t>A</w:t>
            </w:r>
            <w:r w:rsidRPr="00E37336">
              <w:rPr>
                <w:rFonts w:cs="Arial"/>
              </w:rPr>
              <w:t>rt</w:t>
            </w:r>
            <w:r w:rsidR="002D3515">
              <w:rPr>
                <w:rFonts w:cs="Arial"/>
              </w:rPr>
              <w:t>t</w:t>
            </w:r>
            <w:r w:rsidRPr="00E37336">
              <w:rPr>
                <w:rFonts w:cs="Arial"/>
              </w:rPr>
              <w:t>.</w:t>
            </w:r>
            <w:r w:rsidR="002D3515">
              <w:rPr>
                <w:rFonts w:cs="Arial"/>
              </w:rPr>
              <w:t xml:space="preserve"> 2, comma 3,</w:t>
            </w:r>
            <w:r w:rsidRPr="00E37336">
              <w:rPr>
                <w:rFonts w:cs="Arial"/>
              </w:rPr>
              <w:t xml:space="preserve"> 6 e art. 7 del D.P.R. n. 62/2013 (Regolamento recante Codice di comport</w:t>
            </w:r>
            <w:r w:rsidR="00AF5D80" w:rsidRPr="00E37336">
              <w:rPr>
                <w:rFonts w:cs="Arial"/>
              </w:rPr>
              <w:t>amento dei dipendenti pubblici),</w:t>
            </w:r>
            <w:r w:rsidRPr="00E37336">
              <w:rPr>
                <w:rFonts w:cs="Arial"/>
              </w:rPr>
              <w:t xml:space="preserve"> </w:t>
            </w:r>
            <w:r w:rsidR="002D3515">
              <w:rPr>
                <w:rFonts w:cs="Arial"/>
              </w:rPr>
              <w:t>dell’</w:t>
            </w:r>
            <w:r w:rsidRPr="00E37336">
              <w:rPr>
                <w:rFonts w:cs="Arial"/>
              </w:rPr>
              <w:t xml:space="preserve">art. 6-bis </w:t>
            </w:r>
            <w:r w:rsidR="00AF5D80" w:rsidRPr="00E37336">
              <w:rPr>
                <w:rFonts w:cs="Arial"/>
              </w:rPr>
              <w:t>della Legge</w:t>
            </w:r>
            <w:r w:rsidRPr="00E37336">
              <w:rPr>
                <w:rFonts w:cs="Arial"/>
              </w:rPr>
              <w:t xml:space="preserve"> n. 241/1990 deve permanere per tutta la durata dell'incarico.</w:t>
            </w:r>
          </w:p>
        </w:tc>
      </w:tr>
      <w:tr w:rsidR="00F73F58" w14:paraId="3B7DA320" w14:textId="77777777" w:rsidTr="007240D3">
        <w:tblPrEx>
          <w:tblCellMar>
            <w:left w:w="70" w:type="dxa"/>
            <w:right w:w="70" w:type="dxa"/>
          </w:tblCellMar>
        </w:tblPrEx>
        <w:trPr>
          <w:trHeight w:val="172"/>
        </w:trPr>
        <w:tc>
          <w:tcPr>
            <w:tcW w:w="4139" w:type="dxa"/>
          </w:tcPr>
          <w:p w14:paraId="64FD259D" w14:textId="77777777" w:rsidR="00F73F58" w:rsidRDefault="00F73F58">
            <w:pPr>
              <w:ind w:left="-70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361" w:type="dxa"/>
          </w:tcPr>
          <w:p w14:paraId="5E98D3AC" w14:textId="77777777" w:rsidR="00F73F58" w:rsidRDefault="00F73F58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27FD4CF2" w14:textId="77777777" w:rsidR="00F73F58" w:rsidRDefault="00F73F58">
            <w:pPr>
              <w:ind w:left="-70"/>
              <w:jc w:val="both"/>
              <w:rPr>
                <w:rFonts w:cs="Arial"/>
              </w:rPr>
            </w:pPr>
          </w:p>
        </w:tc>
      </w:tr>
      <w:tr w:rsidR="00F73F58" w14:paraId="1EB5BB03" w14:textId="77777777" w:rsidTr="007240D3">
        <w:tblPrEx>
          <w:tblCellMar>
            <w:left w:w="70" w:type="dxa"/>
            <w:right w:w="70" w:type="dxa"/>
          </w:tblCellMar>
        </w:tblPrEx>
        <w:trPr>
          <w:trHeight w:val="1022"/>
        </w:trPr>
        <w:tc>
          <w:tcPr>
            <w:tcW w:w="4139" w:type="dxa"/>
          </w:tcPr>
          <w:p w14:paraId="5DE7D9D7" w14:textId="77777777" w:rsidR="00F73F58" w:rsidRDefault="00F73F58">
            <w:pPr>
              <w:ind w:left="-7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Die Kommission muss eine von allen Mitgliedern </w:t>
            </w:r>
            <w:r w:rsidRPr="00A90106">
              <w:rPr>
                <w:rFonts w:cs="Arial"/>
                <w:lang w:val="de-DE"/>
              </w:rPr>
              <w:t>digital</w:t>
            </w:r>
            <w:r>
              <w:rPr>
                <w:rFonts w:cs="Arial"/>
                <w:lang w:val="de-DE"/>
              </w:rPr>
              <w:t xml:space="preserve"> unterschriebene Niederschrift der technischen Bewertung verfassen, aus welcher die vergebenen Punkte für jedes Kriterium hervorgehen.</w:t>
            </w:r>
          </w:p>
        </w:tc>
        <w:tc>
          <w:tcPr>
            <w:tcW w:w="1361" w:type="dxa"/>
          </w:tcPr>
          <w:p w14:paraId="229CF76E" w14:textId="77777777" w:rsidR="00F73F58" w:rsidRDefault="00F73F5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7ACD0722" w14:textId="77777777" w:rsidR="00F73F58" w:rsidRDefault="00F73F58">
            <w:pPr>
              <w:ind w:left="-7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La Commissione deve redigere un verbale di valutazione tecnica sottoscritto </w:t>
            </w:r>
            <w:r w:rsidRPr="00A90106">
              <w:rPr>
                <w:rFonts w:cs="Arial"/>
              </w:rPr>
              <w:t>digitalmente</w:t>
            </w:r>
            <w:r>
              <w:rPr>
                <w:rFonts w:cs="Arial"/>
              </w:rPr>
              <w:t xml:space="preserve"> da tutti i membri, dal quale risultino i punteggi assegnati per ciascun criterio.</w:t>
            </w:r>
          </w:p>
          <w:p w14:paraId="26978AD4" w14:textId="77777777" w:rsidR="00F73F58" w:rsidRDefault="00F73F58">
            <w:pPr>
              <w:jc w:val="both"/>
              <w:rPr>
                <w:rFonts w:cs="Arial"/>
              </w:rPr>
            </w:pPr>
          </w:p>
        </w:tc>
      </w:tr>
      <w:tr w:rsidR="00182E3E" w14:paraId="5F2D3FB5" w14:textId="77777777" w:rsidTr="007240D3">
        <w:tblPrEx>
          <w:tblCellMar>
            <w:left w:w="70" w:type="dxa"/>
            <w:right w:w="70" w:type="dxa"/>
          </w:tblCellMar>
        </w:tblPrEx>
        <w:tc>
          <w:tcPr>
            <w:tcW w:w="4139" w:type="dxa"/>
          </w:tcPr>
          <w:p w14:paraId="3CD42D52" w14:textId="77777777" w:rsidR="00182E3E" w:rsidRPr="00182E3E" w:rsidRDefault="00182E3E">
            <w:pPr>
              <w:ind w:left="-70"/>
              <w:jc w:val="both"/>
              <w:rPr>
                <w:rFonts w:cs="Arial"/>
              </w:rPr>
            </w:pPr>
          </w:p>
        </w:tc>
        <w:tc>
          <w:tcPr>
            <w:tcW w:w="1361" w:type="dxa"/>
          </w:tcPr>
          <w:p w14:paraId="32DB645A" w14:textId="77777777" w:rsidR="00182E3E" w:rsidRPr="00182E3E" w:rsidRDefault="00182E3E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25A5A810" w14:textId="77777777" w:rsidR="00182E3E" w:rsidRDefault="00182E3E">
            <w:pPr>
              <w:ind w:left="-70"/>
              <w:jc w:val="both"/>
              <w:rPr>
                <w:rFonts w:cs="Arial"/>
              </w:rPr>
            </w:pPr>
          </w:p>
        </w:tc>
      </w:tr>
      <w:tr w:rsidR="00F73F58" w14:paraId="3DE6D1ED" w14:textId="77777777" w:rsidTr="007240D3">
        <w:tblPrEx>
          <w:tblCellMar>
            <w:left w:w="70" w:type="dxa"/>
            <w:right w:w="70" w:type="dxa"/>
          </w:tblCellMar>
        </w:tblPrEx>
        <w:trPr>
          <w:trHeight w:val="490"/>
        </w:trPr>
        <w:tc>
          <w:tcPr>
            <w:tcW w:w="4139" w:type="dxa"/>
          </w:tcPr>
          <w:p w14:paraId="22CEA6AC" w14:textId="77777777" w:rsidR="00F73F58" w:rsidRPr="00AB383F" w:rsidRDefault="00F73F58">
            <w:pPr>
              <w:ind w:left="-70"/>
              <w:jc w:val="both"/>
              <w:rPr>
                <w:rFonts w:cs="Arial"/>
                <w:lang w:val="de-DE"/>
              </w:rPr>
            </w:pPr>
            <w:r w:rsidRPr="00AB383F">
              <w:rPr>
                <w:rFonts w:cs="Arial"/>
                <w:lang w:val="de-DE"/>
              </w:rPr>
              <w:t>Die Niederschrift muss auch die Begründungen der zugeteilten Punkte beinhalten.</w:t>
            </w:r>
          </w:p>
          <w:p w14:paraId="65F1F10C" w14:textId="6156A277" w:rsidR="00326EA1" w:rsidRPr="00AB383F" w:rsidRDefault="00326EA1">
            <w:pPr>
              <w:ind w:left="-70"/>
              <w:jc w:val="both"/>
              <w:rPr>
                <w:rFonts w:cs="Arial"/>
                <w:lang w:val="de-DE"/>
              </w:rPr>
            </w:pPr>
            <w:r w:rsidRPr="00AB383F">
              <w:rPr>
                <w:rFonts w:cs="Arial"/>
                <w:lang w:val="de-DE"/>
              </w:rPr>
              <w:t xml:space="preserve">Die Punktzahl ergibt sich aus der Synthese der </w:t>
            </w:r>
            <w:r w:rsidRPr="00AB383F">
              <w:rPr>
                <w:rFonts w:cs="Arial"/>
                <w:u w:val="single"/>
                <w:lang w:val="de-DE"/>
              </w:rPr>
              <w:t xml:space="preserve">von den </w:t>
            </w:r>
            <w:r w:rsidRPr="00AB383F">
              <w:rPr>
                <w:rFonts w:cs="Arial"/>
                <w:b/>
                <w:bCs/>
                <w:i/>
                <w:iCs/>
                <w:u w:val="single"/>
                <w:lang w:val="de-DE"/>
              </w:rPr>
              <w:t>einzelnen</w:t>
            </w:r>
            <w:r w:rsidRPr="00AB383F">
              <w:rPr>
                <w:rFonts w:cs="Arial"/>
                <w:u w:val="single"/>
                <w:lang w:val="de-DE"/>
              </w:rPr>
              <w:t xml:space="preserve"> Mitgliedern vorgenommenen Bewertungen.</w:t>
            </w:r>
          </w:p>
        </w:tc>
        <w:tc>
          <w:tcPr>
            <w:tcW w:w="1361" w:type="dxa"/>
          </w:tcPr>
          <w:p w14:paraId="0DB94197" w14:textId="77777777" w:rsidR="00F73F58" w:rsidRPr="00AB383F" w:rsidRDefault="00F73F5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582BF6D7" w14:textId="77777777" w:rsidR="00326EA1" w:rsidRPr="00AB383F" w:rsidRDefault="00F73F58" w:rsidP="00326EA1">
            <w:pPr>
              <w:ind w:left="-70"/>
              <w:jc w:val="both"/>
              <w:rPr>
                <w:rFonts w:cs="Arial"/>
              </w:rPr>
            </w:pPr>
            <w:r w:rsidRPr="00AB383F">
              <w:rPr>
                <w:rFonts w:cs="Arial"/>
              </w:rPr>
              <w:t>Il verbale deve contenere inoltre le motivazioni sottese all’attribuzione dei punteggi.</w:t>
            </w:r>
            <w:r w:rsidR="00326EA1" w:rsidRPr="00AB383F">
              <w:rPr>
                <w:rFonts w:cs="Arial"/>
              </w:rPr>
              <w:t xml:space="preserve"> </w:t>
            </w:r>
          </w:p>
          <w:p w14:paraId="29A9859A" w14:textId="77777777" w:rsidR="00326EA1" w:rsidRPr="00AB383F" w:rsidRDefault="00326EA1" w:rsidP="00326EA1">
            <w:pPr>
              <w:ind w:left="-70"/>
              <w:jc w:val="both"/>
              <w:rPr>
                <w:rFonts w:cs="Arial"/>
              </w:rPr>
            </w:pPr>
            <w:r w:rsidRPr="00AB383F">
              <w:rPr>
                <w:rFonts w:cs="Arial"/>
              </w:rPr>
              <w:t xml:space="preserve">Il punteggio è il risultato della sintesi delle </w:t>
            </w:r>
            <w:r w:rsidRPr="00AB383F">
              <w:rPr>
                <w:rFonts w:cs="Arial"/>
                <w:u w:val="single"/>
              </w:rPr>
              <w:t xml:space="preserve">valutazioni svolte </w:t>
            </w:r>
            <w:r w:rsidRPr="00AB383F">
              <w:rPr>
                <w:rFonts w:cs="Arial"/>
                <w:b/>
                <w:bCs/>
                <w:i/>
                <w:iCs/>
                <w:u w:val="single"/>
              </w:rPr>
              <w:t>individualmente</w:t>
            </w:r>
            <w:r w:rsidRPr="00AB383F">
              <w:rPr>
                <w:rFonts w:cs="Arial"/>
                <w:u w:val="single"/>
              </w:rPr>
              <w:t xml:space="preserve"> dai singoli membri</w:t>
            </w:r>
            <w:r w:rsidRPr="00AB383F">
              <w:rPr>
                <w:rFonts w:cs="Arial"/>
              </w:rPr>
              <w:t>.</w:t>
            </w:r>
          </w:p>
          <w:p w14:paraId="1715E45F" w14:textId="67773A36" w:rsidR="00F73F58" w:rsidRPr="00AB383F" w:rsidRDefault="00F73F58">
            <w:pPr>
              <w:ind w:left="-70"/>
              <w:jc w:val="both"/>
              <w:rPr>
                <w:rFonts w:cs="Arial"/>
              </w:rPr>
            </w:pPr>
          </w:p>
        </w:tc>
      </w:tr>
      <w:tr w:rsidR="00F73F58" w14:paraId="099195E3" w14:textId="77777777" w:rsidTr="007240D3">
        <w:tblPrEx>
          <w:tblCellMar>
            <w:left w:w="70" w:type="dxa"/>
            <w:right w:w="70" w:type="dxa"/>
          </w:tblCellMar>
        </w:tblPrEx>
        <w:trPr>
          <w:trHeight w:val="60"/>
        </w:trPr>
        <w:tc>
          <w:tcPr>
            <w:tcW w:w="4139" w:type="dxa"/>
          </w:tcPr>
          <w:p w14:paraId="5B103A87" w14:textId="77777777" w:rsidR="00F73F58" w:rsidRPr="00345CFD" w:rsidRDefault="00F73F58">
            <w:pPr>
              <w:ind w:left="-70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361" w:type="dxa"/>
          </w:tcPr>
          <w:p w14:paraId="18A2272F" w14:textId="77777777" w:rsidR="00F73F58" w:rsidRPr="00345CFD" w:rsidRDefault="00F73F58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1FC5FD42" w14:textId="77777777" w:rsidR="00F73F58" w:rsidRDefault="00F73F58">
            <w:pPr>
              <w:ind w:left="-70"/>
              <w:jc w:val="both"/>
              <w:rPr>
                <w:rFonts w:cs="Arial"/>
              </w:rPr>
            </w:pPr>
          </w:p>
        </w:tc>
      </w:tr>
      <w:tr w:rsidR="00F73F58" w14:paraId="230B278F" w14:textId="77777777" w:rsidTr="007240D3">
        <w:tblPrEx>
          <w:tblCellMar>
            <w:left w:w="70" w:type="dxa"/>
            <w:right w:w="70" w:type="dxa"/>
          </w:tblCellMar>
        </w:tblPrEx>
        <w:trPr>
          <w:trHeight w:val="1155"/>
        </w:trPr>
        <w:tc>
          <w:tcPr>
            <w:tcW w:w="4139" w:type="dxa"/>
          </w:tcPr>
          <w:p w14:paraId="312FCED4" w14:textId="77777777" w:rsidR="00EF0199" w:rsidRDefault="00F73F58" w:rsidP="00410AB5">
            <w:pPr>
              <w:ind w:left="-75"/>
              <w:jc w:val="both"/>
              <w:rPr>
                <w:rFonts w:cs="Arial"/>
                <w:lang w:val="de-DE"/>
              </w:rPr>
            </w:pPr>
            <w:r w:rsidRPr="006A6A11">
              <w:rPr>
                <w:rFonts w:cs="Arial"/>
                <w:lang w:val="de-DE"/>
              </w:rPr>
              <w:lastRenderedPageBreak/>
              <w:t>Die Niedersch</w:t>
            </w:r>
            <w:r w:rsidR="00EF0199">
              <w:rPr>
                <w:rFonts w:cs="Arial"/>
                <w:lang w:val="de-DE"/>
              </w:rPr>
              <w:t xml:space="preserve">rift der technischen Bewertung </w:t>
            </w:r>
            <w:r w:rsidRPr="006A6A11">
              <w:rPr>
                <w:rFonts w:cs="Arial"/>
                <w:lang w:val="de-DE"/>
              </w:rPr>
              <w:t xml:space="preserve">muss </w:t>
            </w:r>
            <w:r w:rsidR="00A90106" w:rsidRPr="006A6A11">
              <w:rPr>
                <w:rFonts w:cs="Arial"/>
                <w:lang w:val="de-DE"/>
              </w:rPr>
              <w:t>in digitalem</w:t>
            </w:r>
            <w:r w:rsidRPr="006A6A11">
              <w:rPr>
                <w:rFonts w:cs="Arial"/>
                <w:lang w:val="de-DE"/>
              </w:rPr>
              <w:t xml:space="preserve"> Format </w:t>
            </w:r>
            <w:r w:rsidR="00EF0199" w:rsidRPr="006A6A11">
              <w:rPr>
                <w:rFonts w:cs="Arial"/>
                <w:lang w:val="de-DE"/>
              </w:rPr>
              <w:t xml:space="preserve">innerhalb </w:t>
            </w:r>
            <w:r w:rsidR="00115058">
              <w:rPr>
                <w:rFonts w:cs="Arial"/>
                <w:lang w:val="de-DE"/>
              </w:rPr>
              <w:t xml:space="preserve">vom </w:t>
            </w:r>
            <w:r w:rsidR="006C3BC4">
              <w:rPr>
                <w:rFonts w:cs="Arial"/>
                <w:lang w:val="de-DE"/>
              </w:rPr>
              <w:t>fünf Tagen</w:t>
            </w:r>
            <w:r w:rsidR="00EF0199" w:rsidRPr="006A6A11">
              <w:rPr>
                <w:rFonts w:cs="Arial"/>
                <w:lang w:val="de-DE"/>
              </w:rPr>
              <w:t xml:space="preserve"> vor dem Tag der Öffnung der wirtschaftlichen Angebote </w:t>
            </w:r>
            <w:r w:rsidR="00A90106" w:rsidRPr="006A6A11">
              <w:rPr>
                <w:rFonts w:cs="Arial"/>
                <w:lang w:val="de-DE"/>
              </w:rPr>
              <w:t>an die</w:t>
            </w:r>
            <w:r w:rsidRPr="006A6A11">
              <w:rPr>
                <w:rFonts w:cs="Arial"/>
                <w:lang w:val="de-DE"/>
              </w:rPr>
              <w:t xml:space="preserve"> </w:t>
            </w:r>
            <w:r w:rsidR="00EF0199">
              <w:rPr>
                <w:rFonts w:cs="Arial"/>
                <w:lang w:val="de-DE"/>
              </w:rPr>
              <w:t xml:space="preserve">folgende </w:t>
            </w:r>
            <w:r w:rsidR="007240D3">
              <w:rPr>
                <w:rFonts w:cs="Arial"/>
                <w:lang w:val="de-DE"/>
              </w:rPr>
              <w:t>PEC</w:t>
            </w:r>
            <w:r w:rsidR="00EF0199">
              <w:rPr>
                <w:rFonts w:cs="Arial"/>
                <w:lang w:val="de-DE"/>
              </w:rPr>
              <w:t xml:space="preserve"> der Ver</w:t>
            </w:r>
            <w:r w:rsidRPr="006A6A11">
              <w:rPr>
                <w:rFonts w:cs="Arial"/>
                <w:lang w:val="de-DE"/>
              </w:rPr>
              <w:t xml:space="preserve">gabestelle </w:t>
            </w:r>
            <w:r w:rsidR="00EF0199" w:rsidRPr="006A6A11">
              <w:rPr>
                <w:rFonts w:cs="Arial"/>
                <w:lang w:val="de-DE"/>
              </w:rPr>
              <w:t>eintr</w:t>
            </w:r>
            <w:r w:rsidR="00EF0199">
              <w:rPr>
                <w:rFonts w:cs="Arial"/>
                <w:lang w:val="de-DE"/>
              </w:rPr>
              <w:t>effen:</w:t>
            </w:r>
          </w:p>
          <w:p w14:paraId="121E58AF" w14:textId="77777777" w:rsidR="00EF0199" w:rsidRPr="00EF0199" w:rsidRDefault="00AA65FB" w:rsidP="00EF0199">
            <w:pPr>
              <w:rPr>
                <w:color w:val="FF0000"/>
                <w:lang w:val="de-DE"/>
              </w:rPr>
            </w:pPr>
            <w:hyperlink r:id="rId7" w:history="1">
              <w:r w:rsidR="00EF0199" w:rsidRPr="00EF0199">
                <w:rPr>
                  <w:rStyle w:val="Collegamentoipertestuale"/>
                  <w:color w:val="FF0000"/>
                  <w:lang w:val="de-DE"/>
                </w:rPr>
                <w:t>aov-acp.works@pec.prov.bz.it</w:t>
              </w:r>
            </w:hyperlink>
          </w:p>
          <w:p w14:paraId="4243C855" w14:textId="77777777" w:rsidR="00F73F58" w:rsidRPr="00731A29" w:rsidRDefault="00AA65FB" w:rsidP="00193F39">
            <w:pPr>
              <w:pStyle w:val="VersandformundAdresse"/>
              <w:rPr>
                <w:rStyle w:val="Collegamentoipertestuale"/>
                <w:color w:val="FF0000"/>
                <w:lang w:val="de-DE"/>
              </w:rPr>
            </w:pPr>
            <w:hyperlink r:id="rId8" w:history="1">
              <w:r w:rsidR="00EF0199" w:rsidRPr="00EF0199">
                <w:rPr>
                  <w:rStyle w:val="Collegamentoipertestuale"/>
                  <w:color w:val="FF0000"/>
                  <w:lang w:val="de-DE"/>
                </w:rPr>
                <w:t>aov-acp.servicesupply@pec.prov.bz.it</w:t>
              </w:r>
            </w:hyperlink>
            <w:r w:rsidR="00A90106" w:rsidRPr="00731A29">
              <w:rPr>
                <w:rStyle w:val="Collegamentoipertestuale"/>
                <w:color w:val="FF0000"/>
                <w:lang w:val="de-DE"/>
              </w:rPr>
              <w:t xml:space="preserve"> </w:t>
            </w:r>
          </w:p>
          <w:p w14:paraId="155A9F6E" w14:textId="77777777" w:rsidR="003125D9" w:rsidRPr="003125D9" w:rsidRDefault="00AA65FB" w:rsidP="003125D9">
            <w:pPr>
              <w:pStyle w:val="VersandformundAdresse"/>
              <w:rPr>
                <w:rStyle w:val="Collegamentoipertestuale"/>
                <w:color w:val="FF0000"/>
                <w:lang w:val="de-DE"/>
              </w:rPr>
            </w:pPr>
            <w:hyperlink r:id="rId9" w:history="1">
              <w:r w:rsidR="003125D9" w:rsidRPr="003125D9">
                <w:rPr>
                  <w:rStyle w:val="Collegamentoipertestuale"/>
                  <w:color w:val="FF0000"/>
                  <w:lang w:val="de-DE"/>
                </w:rPr>
                <w:t>aov-acp.arch-ing@pec.prov.bz.it</w:t>
              </w:r>
            </w:hyperlink>
          </w:p>
          <w:p w14:paraId="313CF7DC" w14:textId="6891F3D3" w:rsidR="003125D9" w:rsidRPr="006A6A11" w:rsidRDefault="003125D9" w:rsidP="00193F39">
            <w:pPr>
              <w:pStyle w:val="VersandformundAdresse"/>
              <w:rPr>
                <w:rFonts w:cs="Arial"/>
                <w:lang w:val="de-DE"/>
              </w:rPr>
            </w:pPr>
          </w:p>
        </w:tc>
        <w:tc>
          <w:tcPr>
            <w:tcW w:w="1361" w:type="dxa"/>
          </w:tcPr>
          <w:p w14:paraId="0AFD74F0" w14:textId="77777777" w:rsidR="00F73F58" w:rsidRPr="006A6A11" w:rsidRDefault="00F73F5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387BCFA3" w14:textId="77777777" w:rsidR="00A90106" w:rsidRDefault="00F73F58" w:rsidP="00A90106">
            <w:pPr>
              <w:ind w:left="-70"/>
              <w:jc w:val="both"/>
              <w:rPr>
                <w:rFonts w:cs="Arial"/>
              </w:rPr>
            </w:pPr>
            <w:r w:rsidRPr="006A6A11">
              <w:rPr>
                <w:rFonts w:cs="Arial"/>
              </w:rPr>
              <w:t>Il verbale di valutazione tecnica in formato digitale dovrà per</w:t>
            </w:r>
            <w:r w:rsidR="00F5726E" w:rsidRPr="006A6A11">
              <w:rPr>
                <w:rFonts w:cs="Arial"/>
              </w:rPr>
              <w:t xml:space="preserve">venire </w:t>
            </w:r>
            <w:r w:rsidRPr="006A6A11">
              <w:rPr>
                <w:rFonts w:cs="Arial"/>
              </w:rPr>
              <w:t xml:space="preserve">alla stazione appaltante </w:t>
            </w:r>
            <w:r w:rsidRPr="006C3BC4">
              <w:rPr>
                <w:rFonts w:cs="Arial"/>
              </w:rPr>
              <w:t xml:space="preserve">entro </w:t>
            </w:r>
            <w:r w:rsidR="006C3BC4" w:rsidRPr="006C3BC4">
              <w:rPr>
                <w:rFonts w:cs="Arial"/>
              </w:rPr>
              <w:t>cinque</w:t>
            </w:r>
            <w:r w:rsidRPr="006A6A11">
              <w:rPr>
                <w:rFonts w:cs="Arial"/>
              </w:rPr>
              <w:t xml:space="preserve"> </w:t>
            </w:r>
            <w:r w:rsidR="006C3BC4">
              <w:rPr>
                <w:rFonts w:cs="Arial"/>
              </w:rPr>
              <w:t xml:space="preserve">giorni </w:t>
            </w:r>
            <w:r w:rsidRPr="006A6A11">
              <w:rPr>
                <w:rFonts w:cs="Arial"/>
              </w:rPr>
              <w:t>precedent</w:t>
            </w:r>
            <w:r w:rsidR="006C3BC4">
              <w:rPr>
                <w:rFonts w:cs="Arial"/>
              </w:rPr>
              <w:t>i</w:t>
            </w:r>
            <w:r w:rsidRPr="006A6A11">
              <w:rPr>
                <w:rFonts w:cs="Arial"/>
              </w:rPr>
              <w:t xml:space="preserve"> l’ap</w:t>
            </w:r>
            <w:r w:rsidR="00A90106" w:rsidRPr="006A6A11">
              <w:rPr>
                <w:rFonts w:cs="Arial"/>
              </w:rPr>
              <w:t>ertu</w:t>
            </w:r>
            <w:r w:rsidR="00EF0199">
              <w:rPr>
                <w:rFonts w:cs="Arial"/>
              </w:rPr>
              <w:t xml:space="preserve">ra delle offerte economiche, al seguente </w:t>
            </w:r>
            <w:r w:rsidR="00A90106" w:rsidRPr="006A6A11">
              <w:rPr>
                <w:rFonts w:cs="Arial"/>
              </w:rPr>
              <w:t>indirizzo PEC</w:t>
            </w:r>
            <w:r w:rsidR="00EF0199">
              <w:rPr>
                <w:rFonts w:cs="Arial"/>
              </w:rPr>
              <w:t>:</w:t>
            </w:r>
          </w:p>
          <w:p w14:paraId="00D97FC1" w14:textId="77777777" w:rsidR="00EF0199" w:rsidRPr="005C6C97" w:rsidRDefault="00AA65FB" w:rsidP="00EF0199">
            <w:pPr>
              <w:rPr>
                <w:color w:val="FF0000"/>
              </w:rPr>
            </w:pPr>
            <w:hyperlink r:id="rId10" w:history="1">
              <w:r w:rsidR="00EF0199" w:rsidRPr="005C6C97">
                <w:rPr>
                  <w:rStyle w:val="Collegamentoipertestuale"/>
                  <w:color w:val="FF0000"/>
                </w:rPr>
                <w:t>aov-acp.works@pec.prov.bz.it</w:t>
              </w:r>
            </w:hyperlink>
          </w:p>
          <w:p w14:paraId="507D0E14" w14:textId="77777777" w:rsidR="00A90106" w:rsidRDefault="00AA65FB" w:rsidP="00182E3E">
            <w:pPr>
              <w:pStyle w:val="VersandformundAdresse"/>
              <w:rPr>
                <w:rStyle w:val="Collegamentoipertestuale"/>
                <w:color w:val="FF0000"/>
              </w:rPr>
            </w:pPr>
            <w:hyperlink r:id="rId11" w:history="1">
              <w:r w:rsidR="00EF0199" w:rsidRPr="00480663">
                <w:rPr>
                  <w:rStyle w:val="Collegamentoipertestuale"/>
                  <w:color w:val="FF0000"/>
                </w:rPr>
                <w:t>aov-acp.servicesupply@pec.prov.bz.it</w:t>
              </w:r>
            </w:hyperlink>
          </w:p>
          <w:p w14:paraId="196CBFD4" w14:textId="77777777" w:rsidR="003125D9" w:rsidRPr="003125D9" w:rsidRDefault="00AA65FB" w:rsidP="003125D9">
            <w:pPr>
              <w:pStyle w:val="VersandformundAdresse"/>
              <w:rPr>
                <w:rStyle w:val="Collegamentoipertestuale"/>
                <w:color w:val="FF0000"/>
              </w:rPr>
            </w:pPr>
            <w:hyperlink r:id="rId12" w:history="1">
              <w:r w:rsidR="003125D9" w:rsidRPr="003125D9">
                <w:rPr>
                  <w:rStyle w:val="Collegamentoipertestuale"/>
                  <w:color w:val="FF0000"/>
                </w:rPr>
                <w:t>aov-acp.arch-ing@pec.prov.bz.it</w:t>
              </w:r>
            </w:hyperlink>
          </w:p>
          <w:p w14:paraId="3306B2EE" w14:textId="524587F1" w:rsidR="003125D9" w:rsidRPr="00182E3E" w:rsidRDefault="003125D9" w:rsidP="00182E3E">
            <w:pPr>
              <w:pStyle w:val="VersandformundAdresse"/>
              <w:rPr>
                <w:i/>
                <w:color w:val="FF0000"/>
              </w:rPr>
            </w:pPr>
          </w:p>
        </w:tc>
      </w:tr>
      <w:tr w:rsidR="00F73F58" w14:paraId="49F0C648" w14:textId="77777777" w:rsidTr="007240D3">
        <w:tblPrEx>
          <w:tblCellMar>
            <w:left w:w="70" w:type="dxa"/>
            <w:right w:w="70" w:type="dxa"/>
          </w:tblCellMar>
        </w:tblPrEx>
        <w:trPr>
          <w:trHeight w:val="176"/>
        </w:trPr>
        <w:tc>
          <w:tcPr>
            <w:tcW w:w="4139" w:type="dxa"/>
          </w:tcPr>
          <w:p w14:paraId="7DF968C8" w14:textId="77777777" w:rsidR="00F73F58" w:rsidRDefault="00F73F58">
            <w:pPr>
              <w:ind w:left="-70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361" w:type="dxa"/>
          </w:tcPr>
          <w:p w14:paraId="6435C251" w14:textId="77777777" w:rsidR="00F73F58" w:rsidRDefault="00F73F58">
            <w:pPr>
              <w:jc w:val="both"/>
              <w:rPr>
                <w:rFonts w:cs="Arial"/>
                <w:highlight w:val="lightGray"/>
              </w:rPr>
            </w:pPr>
          </w:p>
        </w:tc>
        <w:tc>
          <w:tcPr>
            <w:tcW w:w="4139" w:type="dxa"/>
          </w:tcPr>
          <w:p w14:paraId="7D6C972E" w14:textId="77777777" w:rsidR="00F73F58" w:rsidRDefault="00F73F58">
            <w:pPr>
              <w:ind w:left="-70"/>
              <w:jc w:val="both"/>
              <w:rPr>
                <w:rFonts w:cs="Arial"/>
              </w:rPr>
            </w:pPr>
          </w:p>
        </w:tc>
      </w:tr>
      <w:tr w:rsidR="00F73F58" w14:paraId="1015C854" w14:textId="77777777" w:rsidTr="007240D3">
        <w:tblPrEx>
          <w:tblCellMar>
            <w:left w:w="70" w:type="dxa"/>
            <w:right w:w="70" w:type="dxa"/>
          </w:tblCellMar>
        </w:tblPrEx>
        <w:trPr>
          <w:trHeight w:val="1155"/>
        </w:trPr>
        <w:tc>
          <w:tcPr>
            <w:tcW w:w="4139" w:type="dxa"/>
          </w:tcPr>
          <w:p w14:paraId="5187C93A" w14:textId="77777777" w:rsidR="001C32C1" w:rsidRPr="006D203B" w:rsidRDefault="001C32C1" w:rsidP="001C32C1">
            <w:pPr>
              <w:ind w:left="-70"/>
              <w:jc w:val="both"/>
              <w:rPr>
                <w:rFonts w:cs="Arial"/>
                <w:lang w:val="de-DE"/>
              </w:rPr>
            </w:pPr>
            <w:r w:rsidRPr="006D203B">
              <w:rPr>
                <w:rFonts w:cs="Arial"/>
                <w:lang w:val="de-DE"/>
              </w:rPr>
              <w:t xml:space="preserve">Gemäß Artikel 101, Absatz 3, </w:t>
            </w:r>
            <w:r>
              <w:rPr>
                <w:rFonts w:cs="Arial"/>
                <w:lang w:val="de-DE"/>
              </w:rPr>
              <w:t>GvD</w:t>
            </w:r>
            <w:r w:rsidRPr="006D203B">
              <w:rPr>
                <w:rFonts w:cs="Arial"/>
                <w:lang w:val="de-DE"/>
              </w:rPr>
              <w:t xml:space="preserve"> Nr. 36/2023 kann die Kommission über die </w:t>
            </w:r>
            <w:r>
              <w:rPr>
                <w:rFonts w:cs="Arial"/>
                <w:lang w:val="de-DE"/>
              </w:rPr>
              <w:t>Vergabestelle</w:t>
            </w:r>
            <w:r w:rsidRPr="006D203B">
              <w:rPr>
                <w:rFonts w:cs="Arial"/>
                <w:lang w:val="de-DE"/>
              </w:rPr>
              <w:t xml:space="preserve"> jederzeit Klarstellungen zu den Inhalten des technischen Angebots und den entsprechenden Anhängen verlangen. Der Wirtschaftsteilnehmer ist verpflichtet, innerhalb der von der </w:t>
            </w:r>
            <w:r>
              <w:rPr>
                <w:rFonts w:cs="Arial"/>
                <w:lang w:val="de-DE"/>
              </w:rPr>
              <w:t>Vergabestelle</w:t>
            </w:r>
            <w:r w:rsidRPr="006D203B">
              <w:rPr>
                <w:rFonts w:cs="Arial"/>
                <w:lang w:val="de-DE"/>
              </w:rPr>
              <w:t xml:space="preserve"> festgesetzten Frist zu antworten, die nicht weniger als fünf (5) Tage und nicht mehr als zehn (10) Tage betragen darf.</w:t>
            </w:r>
          </w:p>
          <w:p w14:paraId="613F9F1E" w14:textId="77777777" w:rsidR="001C32C1" w:rsidRPr="006D203B" w:rsidRDefault="001C32C1" w:rsidP="001C32C1">
            <w:pPr>
              <w:ind w:left="-70"/>
              <w:jc w:val="both"/>
              <w:rPr>
                <w:rFonts w:cs="Arial"/>
                <w:lang w:val="de-DE"/>
              </w:rPr>
            </w:pPr>
            <w:r w:rsidRPr="006D203B">
              <w:rPr>
                <w:rFonts w:cs="Arial"/>
                <w:lang w:val="de-DE"/>
              </w:rPr>
              <w:t>Die vom Wirtschaftsteilnehmer gegebenen Klarstellungen dürfen den Inhalt des technischen Angebots nicht verändern.</w:t>
            </w:r>
          </w:p>
          <w:p w14:paraId="60C83510" w14:textId="2579FB99" w:rsidR="001C32C1" w:rsidRPr="006D203B" w:rsidRDefault="001C32C1" w:rsidP="001C32C1">
            <w:pPr>
              <w:ind w:left="-70"/>
              <w:jc w:val="both"/>
              <w:rPr>
                <w:rFonts w:cs="Arial"/>
                <w:lang w:val="de-DE"/>
              </w:rPr>
            </w:pPr>
            <w:r w:rsidRPr="006D203B">
              <w:rPr>
                <w:rFonts w:cs="Arial"/>
                <w:lang w:val="de-DE"/>
              </w:rPr>
              <w:t xml:space="preserve">In diesem Zusammenhang wird klargestellt, dass gemäß Artikel 101 </w:t>
            </w:r>
            <w:r>
              <w:rPr>
                <w:rFonts w:cs="Arial"/>
                <w:lang w:val="de-DE"/>
              </w:rPr>
              <w:t>GvD</w:t>
            </w:r>
            <w:r w:rsidRPr="006D203B">
              <w:rPr>
                <w:rFonts w:cs="Arial"/>
                <w:lang w:val="de-DE"/>
              </w:rPr>
              <w:t xml:space="preserve"> Nr. 36/2023 die Berichtigung von etwaigen materiellen Fehlern im technischen oder wirtschaftlichen Angebot, die der Wirtschaftsteilnehmer nach Ablauf der Frist für ihre Einreichung festgestellt hat, </w:t>
            </w:r>
            <w:r w:rsidR="00891B3F">
              <w:rPr>
                <w:rFonts w:cs="Arial"/>
                <w:lang w:val="de-DE"/>
              </w:rPr>
              <w:t xml:space="preserve">kann </w:t>
            </w:r>
            <w:r w:rsidR="00D178FE">
              <w:rPr>
                <w:rFonts w:cs="Arial"/>
                <w:lang w:val="de-DE"/>
              </w:rPr>
              <w:t>wie folgt b</w:t>
            </w:r>
            <w:r w:rsidRPr="006D203B">
              <w:rPr>
                <w:rFonts w:cs="Arial"/>
                <w:lang w:val="de-DE"/>
              </w:rPr>
              <w:t>eantragt werden:</w:t>
            </w:r>
          </w:p>
          <w:p w14:paraId="7BA8879E" w14:textId="77777777" w:rsidR="001C32C1" w:rsidRPr="006D203B" w:rsidRDefault="001C32C1" w:rsidP="001C32C1">
            <w:pPr>
              <w:ind w:left="-70"/>
              <w:jc w:val="both"/>
              <w:rPr>
                <w:rFonts w:cs="Arial"/>
                <w:lang w:val="de-DE"/>
              </w:rPr>
            </w:pPr>
            <w:r w:rsidRPr="006D203B">
              <w:rPr>
                <w:rFonts w:cs="Arial"/>
                <w:lang w:val="de-DE"/>
              </w:rPr>
              <w:t>- bis zum Tag der Eröffnung des technischen oder wirtschaftlichen Angebots;</w:t>
            </w:r>
          </w:p>
          <w:p w14:paraId="0B67AC51" w14:textId="77777777" w:rsidR="001C32C1" w:rsidRPr="006D203B" w:rsidRDefault="001C32C1" w:rsidP="001C32C1">
            <w:pPr>
              <w:ind w:left="-70"/>
              <w:jc w:val="both"/>
              <w:rPr>
                <w:rFonts w:cs="Arial"/>
                <w:lang w:val="de-DE"/>
              </w:rPr>
            </w:pPr>
            <w:r w:rsidRPr="006D203B">
              <w:rPr>
                <w:rFonts w:cs="Arial"/>
                <w:lang w:val="de-DE"/>
              </w:rPr>
              <w:t>- unter denselben Modalitäten wie die Einreichung des Teilnahmeantrags;</w:t>
            </w:r>
          </w:p>
          <w:p w14:paraId="234A52E7" w14:textId="77777777" w:rsidR="001C32C1" w:rsidRDefault="001C32C1" w:rsidP="001C32C1">
            <w:pPr>
              <w:ind w:left="-70"/>
              <w:jc w:val="both"/>
              <w:rPr>
                <w:rFonts w:cs="Arial"/>
                <w:lang w:val="de-DE"/>
              </w:rPr>
            </w:pPr>
            <w:r w:rsidRPr="006D203B">
              <w:rPr>
                <w:rFonts w:cs="Arial"/>
                <w:lang w:val="de-DE"/>
              </w:rPr>
              <w:t>- vorausgesetzt, dass die Berichtigung nicht zur Vorlage eines neuen Angebots oder einer wesentlichen Änderung desselben führt und die Anonymität gewährleistet bleibt.</w:t>
            </w:r>
          </w:p>
          <w:p w14:paraId="755B3996" w14:textId="77777777" w:rsidR="001C32C1" w:rsidRDefault="001C32C1" w:rsidP="001C32C1">
            <w:pPr>
              <w:jc w:val="both"/>
              <w:rPr>
                <w:rFonts w:cs="Arial"/>
                <w:lang w:val="de-DE"/>
              </w:rPr>
            </w:pPr>
          </w:p>
          <w:p w14:paraId="5104CE62" w14:textId="54998735" w:rsidR="00500AC0" w:rsidRDefault="001C32C1" w:rsidP="0071087E">
            <w:pPr>
              <w:ind w:left="-7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Eventuelle Anfragen um Erläuterungen</w:t>
            </w:r>
            <w:r w:rsidR="00267DF9">
              <w:rPr>
                <w:rFonts w:cs="Arial"/>
                <w:lang w:val="de-DE"/>
              </w:rPr>
              <w:t xml:space="preserve"> and den Bietern</w:t>
            </w:r>
            <w:r>
              <w:rPr>
                <w:rFonts w:cs="Arial"/>
                <w:lang w:val="de-DE"/>
              </w:rPr>
              <w:t xml:space="preserve">, welche für eine korrekte Punktezuweisung erforderlich sind, </w:t>
            </w:r>
            <w:r w:rsidRPr="00BF4329">
              <w:rPr>
                <w:rFonts w:cs="Arial"/>
                <w:lang w:val="de-DE"/>
              </w:rPr>
              <w:t xml:space="preserve">müssen an die </w:t>
            </w:r>
            <w:r w:rsidR="007F2057">
              <w:rPr>
                <w:rFonts w:cs="Arial"/>
                <w:lang w:val="de-DE"/>
              </w:rPr>
              <w:t>Wettbewerb</w:t>
            </w:r>
            <w:r w:rsidRPr="00BF4329">
              <w:rPr>
                <w:rFonts w:cs="Arial"/>
                <w:lang w:val="de-DE"/>
              </w:rPr>
              <w:t>sbehörde</w:t>
            </w:r>
            <w:r>
              <w:rPr>
                <w:rFonts w:cs="Arial"/>
                <w:lang w:val="de-DE"/>
              </w:rPr>
              <w:t xml:space="preserve"> übermittelt werden, welche die</w:t>
            </w:r>
            <w:r w:rsidR="007F2057">
              <w:rPr>
                <w:rFonts w:cs="Arial"/>
                <w:lang w:val="de-DE"/>
              </w:rPr>
              <w:t>selben</w:t>
            </w:r>
            <w:r>
              <w:rPr>
                <w:rFonts w:cs="Arial"/>
                <w:lang w:val="de-DE"/>
              </w:rPr>
              <w:t xml:space="preserve"> Anfrage </w:t>
            </w:r>
            <w:r w:rsidR="00BE5FED" w:rsidRPr="00294586">
              <w:rPr>
                <w:rFonts w:cs="Arial"/>
                <w:lang w:val="de-DE"/>
              </w:rPr>
              <w:t>formalisieren und weiterleiten</w:t>
            </w:r>
            <w:r>
              <w:rPr>
                <w:rFonts w:cs="Arial"/>
                <w:lang w:val="de-DE"/>
              </w:rPr>
              <w:t xml:space="preserve"> wird.</w:t>
            </w:r>
          </w:p>
          <w:p w14:paraId="2CFD961D" w14:textId="2C75F430" w:rsidR="00F73F58" w:rsidRDefault="00F73F58">
            <w:pPr>
              <w:ind w:left="-7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 </w:t>
            </w:r>
          </w:p>
        </w:tc>
        <w:tc>
          <w:tcPr>
            <w:tcW w:w="1361" w:type="dxa"/>
          </w:tcPr>
          <w:p w14:paraId="177499B6" w14:textId="77777777" w:rsidR="00F73F58" w:rsidRDefault="00F73F5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06A86375" w14:textId="77777777" w:rsidR="00500AC0" w:rsidRPr="00500AC0" w:rsidRDefault="00500AC0" w:rsidP="00500AC0">
            <w:pPr>
              <w:ind w:left="-70"/>
              <w:jc w:val="both"/>
              <w:rPr>
                <w:rFonts w:cs="Arial"/>
              </w:rPr>
            </w:pPr>
            <w:r w:rsidRPr="00500AC0">
              <w:rPr>
                <w:rFonts w:cs="Arial"/>
              </w:rPr>
              <w:t>Ai sensi dell´art. 101, comma 3, D.Lgs. n. 36/2023 la Commissione, per tramite della stazione appaltante, può sempre richiedere chiarimenti sui contenuti dell’offerta tecnica e su ogni loro allegato. L’operatore economico è tenuto a fornire risposta nel termine fissato dalla stazione appaltante, che non può essere inferiore a cinque (5) giorni e superiore a dieci (10) giorni.</w:t>
            </w:r>
          </w:p>
          <w:p w14:paraId="04FC377B" w14:textId="77777777" w:rsidR="00500AC0" w:rsidRPr="00500AC0" w:rsidRDefault="00500AC0" w:rsidP="00500AC0">
            <w:pPr>
              <w:ind w:left="-70"/>
              <w:jc w:val="both"/>
              <w:rPr>
                <w:rFonts w:cs="Arial"/>
              </w:rPr>
            </w:pPr>
            <w:r w:rsidRPr="00500AC0">
              <w:rPr>
                <w:rFonts w:cs="Arial"/>
              </w:rPr>
              <w:t>I chiarimenti resi dall’operatore economico non possono modificare il contenuto dell’offerta tecnica.</w:t>
            </w:r>
          </w:p>
          <w:p w14:paraId="5AE91118" w14:textId="77777777" w:rsidR="00500AC0" w:rsidRPr="00500AC0" w:rsidRDefault="00500AC0" w:rsidP="00500AC0">
            <w:pPr>
              <w:ind w:left="-70"/>
              <w:jc w:val="both"/>
              <w:rPr>
                <w:rFonts w:cs="Arial"/>
              </w:rPr>
            </w:pPr>
            <w:r w:rsidRPr="00500AC0">
              <w:rPr>
                <w:rFonts w:cs="Arial"/>
              </w:rPr>
              <w:t>A tal riguardo, si precisa che, ai sensi dell’art. 101 comma D.Lgs. 36/2023, la rettifica di eventuali errori materiali contenuti nell’offerta tecnica o nell’offerta economica di cui l’operatore economico si sia avveduto dopo la scadenza del termine per la loro presentazione può essere richiesta:</w:t>
            </w:r>
          </w:p>
          <w:p w14:paraId="3A41B463" w14:textId="77777777" w:rsidR="00500AC0" w:rsidRPr="00500AC0" w:rsidRDefault="00500AC0" w:rsidP="00500AC0">
            <w:pPr>
              <w:ind w:left="-70"/>
              <w:jc w:val="both"/>
              <w:rPr>
                <w:rFonts w:cs="Arial"/>
              </w:rPr>
            </w:pPr>
            <w:r w:rsidRPr="00500AC0">
              <w:rPr>
                <w:rFonts w:cs="Arial"/>
              </w:rPr>
              <w:t>-</w:t>
            </w:r>
            <w:r w:rsidRPr="00500AC0">
              <w:rPr>
                <w:rFonts w:cs="Arial"/>
              </w:rPr>
              <w:tab/>
              <w:t>fino al giorno fissato per l’apertura dell’offerta tecnica o dell’offerta economica;</w:t>
            </w:r>
          </w:p>
          <w:p w14:paraId="05B21EAC" w14:textId="77777777" w:rsidR="00500AC0" w:rsidRPr="00500AC0" w:rsidRDefault="00500AC0" w:rsidP="00500AC0">
            <w:pPr>
              <w:ind w:left="-70"/>
              <w:jc w:val="both"/>
              <w:rPr>
                <w:rFonts w:cs="Arial"/>
              </w:rPr>
            </w:pPr>
            <w:r w:rsidRPr="00500AC0">
              <w:rPr>
                <w:rFonts w:cs="Arial"/>
              </w:rPr>
              <w:t>-</w:t>
            </w:r>
            <w:r w:rsidRPr="00500AC0">
              <w:rPr>
                <w:rFonts w:cs="Arial"/>
              </w:rPr>
              <w:tab/>
              <w:t>con le stesse modalità di presentazione della domanda di partecipazione;</w:t>
            </w:r>
          </w:p>
          <w:p w14:paraId="5A1E1E26" w14:textId="1D4F64C2" w:rsidR="00500AC0" w:rsidRDefault="00500AC0" w:rsidP="00500AC0">
            <w:pPr>
              <w:ind w:left="-70"/>
              <w:jc w:val="both"/>
              <w:rPr>
                <w:rFonts w:cs="Arial"/>
              </w:rPr>
            </w:pPr>
            <w:r w:rsidRPr="00500AC0">
              <w:rPr>
                <w:rFonts w:cs="Arial"/>
              </w:rPr>
              <w:t>-</w:t>
            </w:r>
            <w:r w:rsidRPr="00500AC0">
              <w:rPr>
                <w:rFonts w:cs="Arial"/>
              </w:rPr>
              <w:tab/>
              <w:t>a condizione che la rettifica non comporti la presentazione di una nuova offerta, o comunque la sua modifica sostanziale, e che resti comunque assicurato l’anonimato.</w:t>
            </w:r>
          </w:p>
          <w:p w14:paraId="4D69B469" w14:textId="77777777" w:rsidR="00500AC0" w:rsidRDefault="00500AC0">
            <w:pPr>
              <w:ind w:left="-70"/>
              <w:jc w:val="both"/>
              <w:rPr>
                <w:rFonts w:cs="Arial"/>
              </w:rPr>
            </w:pPr>
          </w:p>
          <w:p w14:paraId="6F399BAA" w14:textId="24CF47D5" w:rsidR="00F73F58" w:rsidRDefault="00F73F58">
            <w:pPr>
              <w:ind w:left="-70"/>
              <w:jc w:val="both"/>
              <w:rPr>
                <w:rFonts w:cs="Arial"/>
              </w:rPr>
            </w:pPr>
            <w:r>
              <w:rPr>
                <w:rFonts w:cs="Arial"/>
              </w:rPr>
              <w:t>Eventuali richieste di chiarimenti ai concorrenti in gara necessari ai fini una corretta assegnazione de</w:t>
            </w:r>
            <w:r w:rsidR="00B46D4A">
              <w:rPr>
                <w:rFonts w:cs="Arial"/>
              </w:rPr>
              <w:t>i punteggi vanno trasmesse all’A</w:t>
            </w:r>
            <w:r>
              <w:rPr>
                <w:rFonts w:cs="Arial"/>
              </w:rPr>
              <w:t>utorità di gara, che provvederà alla formalizzazione e trasmis</w:t>
            </w:r>
            <w:r w:rsidR="00C046FE">
              <w:rPr>
                <w:rFonts w:cs="Arial"/>
              </w:rPr>
              <w:softHyphen/>
            </w:r>
            <w:r>
              <w:rPr>
                <w:rFonts w:cs="Arial"/>
              </w:rPr>
              <w:t>sione delle richieste medesime.</w:t>
            </w:r>
          </w:p>
        </w:tc>
      </w:tr>
      <w:tr w:rsidR="00F73F58" w14:paraId="3C53AB34" w14:textId="77777777" w:rsidTr="007240D3">
        <w:tblPrEx>
          <w:tblCellMar>
            <w:left w:w="70" w:type="dxa"/>
            <w:right w:w="70" w:type="dxa"/>
          </w:tblCellMar>
        </w:tblPrEx>
        <w:trPr>
          <w:trHeight w:val="60"/>
        </w:trPr>
        <w:tc>
          <w:tcPr>
            <w:tcW w:w="4139" w:type="dxa"/>
          </w:tcPr>
          <w:p w14:paraId="2EB2E841" w14:textId="77777777" w:rsidR="00F73F58" w:rsidRPr="00B46D4A" w:rsidRDefault="00F73F58">
            <w:pPr>
              <w:ind w:left="-70"/>
              <w:jc w:val="both"/>
              <w:rPr>
                <w:rFonts w:cs="Arial"/>
                <w:highlight w:val="yellow"/>
              </w:rPr>
            </w:pPr>
          </w:p>
        </w:tc>
        <w:tc>
          <w:tcPr>
            <w:tcW w:w="1361" w:type="dxa"/>
          </w:tcPr>
          <w:p w14:paraId="2084BFC3" w14:textId="77777777" w:rsidR="00F73F58" w:rsidRPr="00B46D4A" w:rsidRDefault="00F73F58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1FBD4D85" w14:textId="77777777" w:rsidR="00F73F58" w:rsidRDefault="00F73F58">
            <w:pPr>
              <w:ind w:left="-70"/>
              <w:jc w:val="both"/>
              <w:rPr>
                <w:rFonts w:cs="Arial"/>
              </w:rPr>
            </w:pPr>
          </w:p>
        </w:tc>
      </w:tr>
      <w:tr w:rsidR="00F73F58" w14:paraId="7655993C" w14:textId="77777777" w:rsidTr="007240D3">
        <w:tblPrEx>
          <w:tblCellMar>
            <w:left w:w="70" w:type="dxa"/>
            <w:right w:w="70" w:type="dxa"/>
          </w:tblCellMar>
        </w:tblPrEx>
        <w:trPr>
          <w:trHeight w:val="60"/>
        </w:trPr>
        <w:tc>
          <w:tcPr>
            <w:tcW w:w="4139" w:type="dxa"/>
          </w:tcPr>
          <w:p w14:paraId="70DBB318" w14:textId="77777777" w:rsidR="00F73F58" w:rsidRDefault="00F73F58">
            <w:pPr>
              <w:ind w:left="-7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Die Ernennung als Mitglied der Kommission ist bis </w:t>
            </w:r>
            <w:r w:rsidR="00345CFD">
              <w:rPr>
                <w:rFonts w:cs="Arial"/>
                <w:lang w:val="de-DE"/>
              </w:rPr>
              <w:t>zum Zuschlag der Aus</w:t>
            </w:r>
            <w:r w:rsidR="00C046FE">
              <w:rPr>
                <w:rFonts w:cs="Arial"/>
                <w:lang w:val="de-DE"/>
              </w:rPr>
              <w:t xml:space="preserve">schreibung </w:t>
            </w:r>
            <w:r>
              <w:rPr>
                <w:rFonts w:cs="Arial"/>
                <w:lang w:val="de-DE"/>
              </w:rPr>
              <w:t xml:space="preserve">wirksam. </w:t>
            </w:r>
          </w:p>
        </w:tc>
        <w:tc>
          <w:tcPr>
            <w:tcW w:w="1361" w:type="dxa"/>
          </w:tcPr>
          <w:p w14:paraId="37728B51" w14:textId="77777777" w:rsidR="00F73F58" w:rsidRDefault="00F73F5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405775F9" w14:textId="77777777" w:rsidR="00F73F58" w:rsidRDefault="00F73F58">
            <w:pPr>
              <w:ind w:left="-7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La nomina quale membro della Commissione sarà efficace fino </w:t>
            </w:r>
            <w:r w:rsidR="00C046FE">
              <w:rPr>
                <w:rFonts w:cs="Arial"/>
              </w:rPr>
              <w:t>all’aggiudicazione della gara</w:t>
            </w:r>
            <w:r>
              <w:rPr>
                <w:rFonts w:cs="Arial"/>
              </w:rPr>
              <w:t>.</w:t>
            </w:r>
          </w:p>
        </w:tc>
      </w:tr>
      <w:tr w:rsidR="00182E3E" w14:paraId="148C65B6" w14:textId="77777777" w:rsidTr="007240D3">
        <w:tblPrEx>
          <w:tblCellMar>
            <w:left w:w="70" w:type="dxa"/>
            <w:right w:w="70" w:type="dxa"/>
          </w:tblCellMar>
        </w:tblPrEx>
        <w:trPr>
          <w:trHeight w:val="60"/>
        </w:trPr>
        <w:tc>
          <w:tcPr>
            <w:tcW w:w="4139" w:type="dxa"/>
          </w:tcPr>
          <w:p w14:paraId="4CE49373" w14:textId="77777777" w:rsidR="00182E3E" w:rsidRPr="00182E3E" w:rsidRDefault="00182E3E">
            <w:pPr>
              <w:ind w:left="-70"/>
              <w:jc w:val="both"/>
              <w:rPr>
                <w:rFonts w:cs="Arial"/>
              </w:rPr>
            </w:pPr>
          </w:p>
        </w:tc>
        <w:tc>
          <w:tcPr>
            <w:tcW w:w="1361" w:type="dxa"/>
          </w:tcPr>
          <w:p w14:paraId="77F977F8" w14:textId="77777777" w:rsidR="00182E3E" w:rsidRPr="00182E3E" w:rsidRDefault="00182E3E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387C5317" w14:textId="77777777" w:rsidR="00182E3E" w:rsidRDefault="00182E3E">
            <w:pPr>
              <w:ind w:left="-70"/>
              <w:jc w:val="both"/>
              <w:rPr>
                <w:rFonts w:cs="Arial"/>
              </w:rPr>
            </w:pPr>
          </w:p>
        </w:tc>
      </w:tr>
      <w:tr w:rsidR="00F73F58" w14:paraId="33D50D0C" w14:textId="77777777" w:rsidTr="007240D3">
        <w:tblPrEx>
          <w:tblCellMar>
            <w:left w:w="70" w:type="dxa"/>
            <w:right w:w="70" w:type="dxa"/>
          </w:tblCellMar>
        </w:tblPrEx>
        <w:trPr>
          <w:trHeight w:val="143"/>
        </w:trPr>
        <w:tc>
          <w:tcPr>
            <w:tcW w:w="4139" w:type="dxa"/>
          </w:tcPr>
          <w:p w14:paraId="6926AE1D" w14:textId="263B7CA5" w:rsidR="00F73F58" w:rsidRDefault="00F73F58">
            <w:pPr>
              <w:ind w:left="-70"/>
              <w:jc w:val="both"/>
              <w:rPr>
                <w:rFonts w:cs="Arial"/>
                <w:lang w:val="de-DE"/>
              </w:rPr>
            </w:pPr>
            <w:r w:rsidRPr="007211F0">
              <w:rPr>
                <w:rFonts w:cs="Arial"/>
                <w:lang w:val="de-DE"/>
              </w:rPr>
              <w:t xml:space="preserve">Es wird darauf aufmerksam gemacht, dass </w:t>
            </w:r>
            <w:r w:rsidR="00A919DB">
              <w:rPr>
                <w:rFonts w:cs="Arial"/>
                <w:lang w:val="de-DE"/>
              </w:rPr>
              <w:t>die/</w:t>
            </w:r>
            <w:r w:rsidRPr="007211F0">
              <w:rPr>
                <w:rFonts w:cs="Arial"/>
                <w:lang w:val="de-DE"/>
              </w:rPr>
              <w:t xml:space="preserve">der </w:t>
            </w:r>
            <w:r w:rsidR="00345CFD" w:rsidRPr="007211F0">
              <w:rPr>
                <w:rFonts w:cs="Arial"/>
                <w:lang w:val="de-DE"/>
              </w:rPr>
              <w:t>Einzige</w:t>
            </w:r>
            <w:r w:rsidR="0071087E" w:rsidRPr="004C09FC">
              <w:rPr>
                <w:rFonts w:cs="Arial"/>
                <w:color w:val="FF0000"/>
                <w:lang w:val="de-DE"/>
              </w:rPr>
              <w:t>r</w:t>
            </w:r>
            <w:r w:rsidR="00345CFD" w:rsidRPr="007211F0">
              <w:rPr>
                <w:rFonts w:cs="Arial"/>
                <w:lang w:val="de-DE"/>
              </w:rPr>
              <w:t xml:space="preserve"> </w:t>
            </w:r>
            <w:r w:rsidR="00A919DB">
              <w:rPr>
                <w:rFonts w:cs="Arial"/>
                <w:lang w:val="de-DE"/>
              </w:rPr>
              <w:t>Projekt</w:t>
            </w:r>
            <w:r w:rsidR="00A919DB" w:rsidRPr="007211F0">
              <w:rPr>
                <w:rFonts w:cs="Arial"/>
                <w:lang w:val="de-DE"/>
              </w:rPr>
              <w:t>verantwortliche</w:t>
            </w:r>
            <w:r w:rsidR="00A919DB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>(</w:t>
            </w:r>
            <w:r w:rsidR="00A919DB">
              <w:rPr>
                <w:rFonts w:cs="Arial"/>
                <w:lang w:val="de-DE"/>
              </w:rPr>
              <w:t>EPV</w:t>
            </w:r>
            <w:r>
              <w:rPr>
                <w:rFonts w:cs="Arial"/>
                <w:lang w:val="de-DE"/>
              </w:rPr>
              <w:t>) zur Überprüfung der ungewöhnlich niedrigen Ange</w:t>
            </w:r>
            <w:r>
              <w:rPr>
                <w:rFonts w:cs="Arial"/>
                <w:lang w:val="de-DE"/>
              </w:rPr>
              <w:softHyphen/>
              <w:t>bote die</w:t>
            </w:r>
            <w:r w:rsidR="00547ACA">
              <w:rPr>
                <w:rFonts w:cs="Arial"/>
                <w:lang w:val="de-DE"/>
              </w:rPr>
              <w:t>,</w:t>
            </w:r>
            <w:r>
              <w:rPr>
                <w:rFonts w:cs="Arial"/>
                <w:lang w:val="de-DE"/>
              </w:rPr>
              <w:t xml:space="preserve"> laut Art. </w:t>
            </w:r>
            <w:r w:rsidR="00A919DB">
              <w:rPr>
                <w:rFonts w:cs="Arial"/>
                <w:lang w:val="de-DE"/>
              </w:rPr>
              <w:t xml:space="preserve">93 </w:t>
            </w:r>
            <w:r>
              <w:rPr>
                <w:rFonts w:cs="Arial"/>
                <w:lang w:val="de-DE"/>
              </w:rPr>
              <w:t xml:space="preserve">des GVD Nr. </w:t>
            </w:r>
            <w:r w:rsidR="00A919DB">
              <w:rPr>
                <w:rFonts w:cs="Arial"/>
                <w:lang w:val="de-DE"/>
              </w:rPr>
              <w:t>36/2023</w:t>
            </w:r>
            <w:r w:rsidR="0015724B">
              <w:rPr>
                <w:rFonts w:cs="Arial"/>
                <w:lang w:val="de-DE"/>
              </w:rPr>
              <w:t xml:space="preserve">, </w:t>
            </w:r>
            <w:r>
              <w:rPr>
                <w:rFonts w:cs="Arial"/>
                <w:lang w:val="de-DE"/>
              </w:rPr>
              <w:t>er</w:t>
            </w:r>
            <w:r>
              <w:rPr>
                <w:rFonts w:cs="Arial"/>
                <w:lang w:val="de-DE"/>
              </w:rPr>
              <w:softHyphen/>
              <w:t>nannte Kommission in Anspruch nimmt.</w:t>
            </w:r>
          </w:p>
          <w:p w14:paraId="0BF274D1" w14:textId="77777777" w:rsidR="00E83015" w:rsidRDefault="00E83015">
            <w:pPr>
              <w:ind w:left="-70"/>
              <w:jc w:val="both"/>
              <w:rPr>
                <w:rFonts w:cs="Arial"/>
                <w:lang w:val="de-DE"/>
              </w:rPr>
            </w:pPr>
          </w:p>
          <w:p w14:paraId="6F782714" w14:textId="7D7258B7" w:rsidR="00E83015" w:rsidRPr="00A75A61" w:rsidRDefault="00E83015" w:rsidP="00E83015">
            <w:pPr>
              <w:ind w:left="-70"/>
              <w:jc w:val="both"/>
              <w:rPr>
                <w:rFonts w:cs="Arial"/>
                <w:lang w:val="de-DE"/>
              </w:rPr>
            </w:pPr>
            <w:r w:rsidRPr="00A75A61">
              <w:rPr>
                <w:rFonts w:cs="Arial"/>
                <w:lang w:val="de-DE"/>
              </w:rPr>
              <w:lastRenderedPageBreak/>
              <w:t>Die Kommissionsmitglieder gelten gemäß Art</w:t>
            </w:r>
            <w:r w:rsidR="00547ACA">
              <w:rPr>
                <w:rFonts w:cs="Arial"/>
                <w:lang w:val="de-DE"/>
              </w:rPr>
              <w:t>.</w:t>
            </w:r>
            <w:r w:rsidRPr="00A75A61">
              <w:rPr>
                <w:rFonts w:cs="Arial"/>
                <w:lang w:val="de-DE"/>
              </w:rPr>
              <w:t xml:space="preserve"> </w:t>
            </w:r>
            <w:r w:rsidR="00A919DB">
              <w:rPr>
                <w:rFonts w:cs="Arial"/>
                <w:lang w:val="de-DE"/>
              </w:rPr>
              <w:t>24</w:t>
            </w:r>
            <w:r w:rsidR="00A919DB" w:rsidRPr="00A75A61">
              <w:rPr>
                <w:rFonts w:cs="Arial"/>
                <w:lang w:val="de-DE"/>
              </w:rPr>
              <w:t xml:space="preserve"> </w:t>
            </w:r>
            <w:r w:rsidR="00F970E7">
              <w:rPr>
                <w:rFonts w:cs="Arial"/>
                <w:lang w:val="de-DE"/>
              </w:rPr>
              <w:t xml:space="preserve">ff. </w:t>
            </w:r>
            <w:r w:rsidRPr="00A75A61">
              <w:rPr>
                <w:rFonts w:cs="Arial"/>
                <w:lang w:val="de-DE"/>
              </w:rPr>
              <w:t xml:space="preserve">der </w:t>
            </w:r>
            <w:r w:rsidR="00A919DB">
              <w:rPr>
                <w:rFonts w:cs="Arial"/>
                <w:lang w:val="de-DE"/>
              </w:rPr>
              <w:t>Verordnung</w:t>
            </w:r>
            <w:r w:rsidR="00A919DB" w:rsidRPr="00A75A61">
              <w:rPr>
                <w:rFonts w:cs="Arial"/>
                <w:lang w:val="de-DE"/>
              </w:rPr>
              <w:t xml:space="preserve"> </w:t>
            </w:r>
            <w:r w:rsidR="00A919DB">
              <w:rPr>
                <w:rFonts w:cs="Arial"/>
                <w:lang w:val="de-DE"/>
              </w:rPr>
              <w:t>(</w:t>
            </w:r>
            <w:r w:rsidRPr="00A75A61">
              <w:rPr>
                <w:rFonts w:cs="Arial"/>
                <w:lang w:val="de-DE"/>
              </w:rPr>
              <w:t>EU</w:t>
            </w:r>
            <w:r w:rsidR="00A919DB">
              <w:rPr>
                <w:rFonts w:cs="Arial"/>
                <w:lang w:val="de-DE"/>
              </w:rPr>
              <w:t>)</w:t>
            </w:r>
            <w:r w:rsidR="00681D34">
              <w:rPr>
                <w:rFonts w:cs="Arial"/>
                <w:lang w:val="de-DE"/>
              </w:rPr>
              <w:t xml:space="preserve"> Nr.</w:t>
            </w:r>
            <w:r w:rsidRPr="00A75A61">
              <w:rPr>
                <w:rFonts w:cs="Arial"/>
                <w:lang w:val="de-DE"/>
              </w:rPr>
              <w:t xml:space="preserve"> 2016/679 als weitere Auftragsverarbeiter. Die Verarbeitung kann die</w:t>
            </w:r>
            <w:r w:rsidRPr="00A75A61">
              <w:rPr>
                <w:lang w:val="de-DE"/>
              </w:rPr>
              <w:t xml:space="preserve"> auch in elektronischer Form vom Verantwortli</w:t>
            </w:r>
            <w:r w:rsidRPr="00A75A61">
              <w:rPr>
                <w:lang w:val="de-DE"/>
              </w:rPr>
              <w:softHyphen/>
              <w:t>chen für die Verarbeitung und/oder vom Auf</w:t>
            </w:r>
            <w:r w:rsidRPr="00A75A61">
              <w:rPr>
                <w:lang w:val="de-DE"/>
              </w:rPr>
              <w:softHyphen/>
              <w:t xml:space="preserve">tragsverarbeiter </w:t>
            </w:r>
            <w:r w:rsidRPr="00A75A61">
              <w:rPr>
                <w:rFonts w:cs="Arial"/>
                <w:lang w:val="de-DE"/>
              </w:rPr>
              <w:t>übermittelten Daten zum Ge</w:t>
            </w:r>
            <w:r w:rsidRPr="00A75A61">
              <w:rPr>
                <w:rFonts w:cs="Arial"/>
                <w:lang w:val="de-DE"/>
              </w:rPr>
              <w:softHyphen/>
              <w:t>genstand haben und wird ausschließlich für die Erfüllung der von den einschlägigen Bestim</w:t>
            </w:r>
            <w:r w:rsidRPr="00A75A61">
              <w:rPr>
                <w:rFonts w:cs="Arial"/>
                <w:lang w:val="de-DE"/>
              </w:rPr>
              <w:softHyphen/>
              <w:t>mungen in den Bereichen der</w:t>
            </w:r>
            <w:r w:rsidRPr="00A75A61">
              <w:rPr>
                <w:lang w:val="de-DE"/>
              </w:rPr>
              <w:t xml:space="preserve"> </w:t>
            </w:r>
            <w:r w:rsidRPr="00A75A61">
              <w:rPr>
                <w:rFonts w:cs="Arial"/>
                <w:lang w:val="de-DE"/>
              </w:rPr>
              <w:t>Auftragsvergabe und des öffentlichen Vertragswesens vorgese</w:t>
            </w:r>
            <w:r w:rsidRPr="00A75A61">
              <w:rPr>
                <w:rFonts w:cs="Arial"/>
                <w:lang w:val="de-DE"/>
              </w:rPr>
              <w:softHyphen/>
              <w:t>henen gesetzlichen Verpflichtungen stattfin</w:t>
            </w:r>
            <w:r w:rsidRPr="00A75A61">
              <w:rPr>
                <w:rFonts w:cs="Arial"/>
                <w:lang w:val="de-DE"/>
              </w:rPr>
              <w:softHyphen/>
              <w:t>den und zwar einzig zum Zweck der Ausfüh</w:t>
            </w:r>
            <w:r w:rsidRPr="00A75A61">
              <w:rPr>
                <w:rFonts w:cs="Arial"/>
                <w:lang w:val="de-DE"/>
              </w:rPr>
              <w:softHyphen/>
              <w:t>rung der in die Zuständigkeit der technischen Kommission in der Ausschreibungsphase fal</w:t>
            </w:r>
            <w:r w:rsidRPr="00A75A61">
              <w:rPr>
                <w:rFonts w:cs="Arial"/>
                <w:lang w:val="de-DE"/>
              </w:rPr>
              <w:softHyphen/>
              <w:t>lenden Tätigkeiten, sowie der damit verbunde</w:t>
            </w:r>
            <w:r w:rsidRPr="00A75A61">
              <w:rPr>
                <w:rFonts w:cs="Arial"/>
                <w:lang w:val="de-DE"/>
              </w:rPr>
              <w:softHyphen/>
              <w:t xml:space="preserve">nen und daraus folgenden Tätigkeiten. </w:t>
            </w:r>
          </w:p>
          <w:p w14:paraId="6F800A19" w14:textId="26C255B3" w:rsidR="00E83015" w:rsidRPr="00A75A61" w:rsidRDefault="00E83015" w:rsidP="00E83015">
            <w:pPr>
              <w:ind w:left="-70"/>
              <w:jc w:val="both"/>
              <w:rPr>
                <w:rFonts w:cs="Arial"/>
                <w:lang w:val="de-DE"/>
              </w:rPr>
            </w:pPr>
            <w:r w:rsidRPr="00A75A61">
              <w:rPr>
                <w:rFonts w:cs="Arial"/>
                <w:lang w:val="de-DE"/>
              </w:rPr>
              <w:t>Die Mitglieder der Kommission verpflichten sich, nach Abschluss des Ausschreibungsver</w:t>
            </w:r>
            <w:r w:rsidRPr="00A75A61">
              <w:rPr>
                <w:rFonts w:cs="Arial"/>
                <w:lang w:val="de-DE"/>
              </w:rPr>
              <w:softHyphen/>
              <w:t>fahrens alle personenbezogenen und beson</w:t>
            </w:r>
            <w:r w:rsidRPr="00A75A61">
              <w:rPr>
                <w:rFonts w:cs="Arial"/>
                <w:lang w:val="de-DE"/>
              </w:rPr>
              <w:softHyphen/>
              <w:t>deren personenbezogenen Daten entweder zu löschen oder zurückzugeben sowie die even</w:t>
            </w:r>
            <w:r w:rsidRPr="00A75A61">
              <w:rPr>
                <w:rFonts w:cs="Arial"/>
                <w:lang w:val="de-DE"/>
              </w:rPr>
              <w:softHyphen/>
              <w:t>tuell vorhandenen Kopien zu löschen. Sie sind darüber hinaus an die Verschwiegenheits</w:t>
            </w:r>
            <w:r w:rsidRPr="00A75A61">
              <w:rPr>
                <w:rFonts w:cs="Arial"/>
                <w:lang w:val="de-DE"/>
              </w:rPr>
              <w:softHyphen/>
              <w:t>pflicht und im Allgemeinen an alle Verpflichtun</w:t>
            </w:r>
            <w:r w:rsidRPr="00A75A61">
              <w:rPr>
                <w:rFonts w:cs="Arial"/>
                <w:lang w:val="de-DE"/>
              </w:rPr>
              <w:softHyphen/>
              <w:t xml:space="preserve">gen gemäß </w:t>
            </w:r>
            <w:r w:rsidR="00681D34">
              <w:rPr>
                <w:rFonts w:cs="Arial"/>
                <w:lang w:val="de-DE"/>
              </w:rPr>
              <w:t>Verordnung (EU) Nr.</w:t>
            </w:r>
            <w:r w:rsidRPr="00A75A61">
              <w:rPr>
                <w:rFonts w:cs="Arial"/>
                <w:lang w:val="de-DE"/>
              </w:rPr>
              <w:t xml:space="preserve"> 2016/679, sowie, falls sie Landesbedienstete sind, an die Einhaltung des Verhaltenskodexes für das Personal des Landes, genehmigt mit Beschluss der Landes</w:t>
            </w:r>
            <w:r w:rsidRPr="00A75A61">
              <w:rPr>
                <w:rFonts w:cs="Arial"/>
                <w:lang w:val="de-DE"/>
              </w:rPr>
              <w:softHyphen/>
              <w:t>regierung Nr. 938 vom 29. Juli 2014, gehalten.</w:t>
            </w:r>
          </w:p>
          <w:p w14:paraId="1E104736" w14:textId="77777777" w:rsidR="00E83015" w:rsidRDefault="00E83015">
            <w:pPr>
              <w:ind w:left="-70"/>
              <w:jc w:val="both"/>
              <w:rPr>
                <w:rFonts w:cs="Arial"/>
                <w:lang w:val="de-DE"/>
              </w:rPr>
            </w:pPr>
          </w:p>
        </w:tc>
        <w:tc>
          <w:tcPr>
            <w:tcW w:w="1361" w:type="dxa"/>
          </w:tcPr>
          <w:p w14:paraId="7188AC45" w14:textId="77777777" w:rsidR="00F73F58" w:rsidRDefault="00F73F5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2345C21D" w14:textId="0186AC5C" w:rsidR="00F73F58" w:rsidRDefault="00F73F58">
            <w:pPr>
              <w:ind w:left="-70"/>
              <w:jc w:val="both"/>
              <w:rPr>
                <w:rFonts w:cs="Arial"/>
              </w:rPr>
            </w:pPr>
            <w:r>
              <w:rPr>
                <w:rFonts w:cs="Arial"/>
              </w:rPr>
              <w:t>Si fa presente che</w:t>
            </w:r>
            <w:r w:rsidRPr="007211F0">
              <w:rPr>
                <w:rFonts w:cs="Arial"/>
              </w:rPr>
              <w:t xml:space="preserve"> il</w:t>
            </w:r>
            <w:r w:rsidR="00822044">
              <w:rPr>
                <w:rFonts w:cs="Arial"/>
              </w:rPr>
              <w:t>/la</w:t>
            </w:r>
            <w:r>
              <w:rPr>
                <w:rFonts w:cs="Arial"/>
              </w:rPr>
              <w:t xml:space="preserve"> Responsabile unico</w:t>
            </w:r>
            <w:r w:rsidR="00822044">
              <w:rPr>
                <w:rFonts w:cs="Arial"/>
              </w:rPr>
              <w:t>/unica</w:t>
            </w:r>
            <w:r>
              <w:rPr>
                <w:rFonts w:cs="Arial"/>
              </w:rPr>
              <w:t xml:space="preserve"> del </w:t>
            </w:r>
            <w:r w:rsidR="00822044">
              <w:rPr>
                <w:rFonts w:cs="Arial"/>
              </w:rPr>
              <w:t>progetto</w:t>
            </w:r>
            <w:r>
              <w:rPr>
                <w:rFonts w:cs="Arial"/>
              </w:rPr>
              <w:t xml:space="preserve"> (RUP) si avvale del supporto della Commissione nominata ex articolo </w:t>
            </w:r>
            <w:r w:rsidR="00822044">
              <w:rPr>
                <w:rFonts w:cs="Arial"/>
              </w:rPr>
              <w:t>93</w:t>
            </w:r>
            <w:r>
              <w:rPr>
                <w:rFonts w:cs="Arial"/>
              </w:rPr>
              <w:t xml:space="preserve"> del D.Lgs. n. </w:t>
            </w:r>
            <w:r w:rsidR="00822044">
              <w:rPr>
                <w:rFonts w:cs="Arial"/>
              </w:rPr>
              <w:t>36/2023</w:t>
            </w:r>
            <w:r>
              <w:rPr>
                <w:rFonts w:cs="Arial"/>
              </w:rPr>
              <w:t xml:space="preserve"> per il controllo delle offerte anomale.</w:t>
            </w:r>
          </w:p>
          <w:p w14:paraId="46348D81" w14:textId="77777777" w:rsidR="00E83015" w:rsidRDefault="00E83015">
            <w:pPr>
              <w:ind w:left="-70"/>
              <w:jc w:val="both"/>
              <w:rPr>
                <w:rFonts w:cs="Arial"/>
              </w:rPr>
            </w:pPr>
          </w:p>
          <w:p w14:paraId="692565D4" w14:textId="55F24119" w:rsidR="00E83015" w:rsidRPr="00A75A61" w:rsidRDefault="00E83015" w:rsidP="00E83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9"/>
              </w:tabs>
              <w:ind w:left="-81"/>
              <w:jc w:val="both"/>
              <w:rPr>
                <w:rFonts w:eastAsia="Arial" w:cs="Arial"/>
              </w:rPr>
            </w:pPr>
            <w:r w:rsidRPr="00A75A61">
              <w:rPr>
                <w:rFonts w:cs="Arial"/>
              </w:rPr>
              <w:t>I componenti della Commissione sono conside</w:t>
            </w:r>
            <w:r w:rsidRPr="00A75A61">
              <w:rPr>
                <w:rFonts w:cs="Arial"/>
              </w:rPr>
              <w:softHyphen/>
              <w:t xml:space="preserve">rati ex </w:t>
            </w:r>
            <w:r w:rsidR="00500AC0">
              <w:rPr>
                <w:rFonts w:cs="Arial"/>
              </w:rPr>
              <w:t>artt. 24 e ss.</w:t>
            </w:r>
            <w:r w:rsidRPr="00A75A61">
              <w:rPr>
                <w:rFonts w:cs="Arial"/>
              </w:rPr>
              <w:t xml:space="preserve"> del </w:t>
            </w:r>
            <w:r w:rsidR="00500AC0">
              <w:rPr>
                <w:rFonts w:cs="Arial"/>
              </w:rPr>
              <w:t>R</w:t>
            </w:r>
            <w:r w:rsidR="00500AC0" w:rsidRPr="00FB4D32">
              <w:rPr>
                <w:rFonts w:cs="Arial"/>
              </w:rPr>
              <w:t xml:space="preserve">egolamento </w:t>
            </w:r>
            <w:r w:rsidR="00500AC0" w:rsidRPr="00FB4D32">
              <w:rPr>
                <w:rFonts w:cs="Arial"/>
              </w:rPr>
              <w:lastRenderedPageBreak/>
              <w:t>(UE) n. 2016/679</w:t>
            </w:r>
            <w:r w:rsidR="00500AC0" w:rsidRPr="002C6765">
              <w:rPr>
                <w:rFonts w:cs="Arial"/>
              </w:rPr>
              <w:t>.</w:t>
            </w:r>
            <w:r w:rsidRPr="00A75A61">
              <w:rPr>
                <w:rFonts w:cs="Arial"/>
              </w:rPr>
              <w:t>, quali sub-responsabili al trattamento dei dati perso</w:t>
            </w:r>
            <w:r w:rsidRPr="00A75A61">
              <w:rPr>
                <w:rFonts w:cs="Arial"/>
              </w:rPr>
              <w:softHyphen/>
              <w:t xml:space="preserve">nali. Il trattamento potrà avere ad oggetto i dati conferiti </w:t>
            </w:r>
            <w:r w:rsidRPr="00A75A61">
              <w:rPr>
                <w:rFonts w:eastAsia="Arial" w:cs="Arial"/>
              </w:rPr>
              <w:t>anche in forma elettronica</w:t>
            </w:r>
            <w:r w:rsidRPr="00A75A61">
              <w:rPr>
                <w:rFonts w:cs="Arial"/>
              </w:rPr>
              <w:t xml:space="preserve"> dal Titolare e/o Responsabile del Trattamento ed avverrà esclusivamente </w:t>
            </w:r>
            <w:r w:rsidRPr="00A75A61">
              <w:rPr>
                <w:rFonts w:eastAsia="Arial" w:cs="Arial"/>
              </w:rPr>
              <w:t>in adempimento di precisi ob</w:t>
            </w:r>
            <w:r w:rsidRPr="00A75A61">
              <w:rPr>
                <w:rFonts w:eastAsia="Arial" w:cs="Arial"/>
              </w:rPr>
              <w:softHyphen/>
              <w:t>blighi di legge derivanti dalla normativa in ma</w:t>
            </w:r>
            <w:r w:rsidRPr="00A75A61">
              <w:rPr>
                <w:rFonts w:eastAsia="Arial" w:cs="Arial"/>
              </w:rPr>
              <w:softHyphen/>
              <w:t>teria di appalti e contrattualistica pubblica ed unicamente ai fini dell’espletamento delle atti</w:t>
            </w:r>
            <w:r w:rsidRPr="00A75A61">
              <w:rPr>
                <w:rFonts w:eastAsia="Arial" w:cs="Arial"/>
              </w:rPr>
              <w:softHyphen/>
              <w:t>vità di competenza della Commissione in fase di gara, nonché delle attività ad essa correlate e conseguenti.</w:t>
            </w:r>
          </w:p>
          <w:p w14:paraId="5AC0594B" w14:textId="49B83CDA" w:rsidR="00E83015" w:rsidRPr="00A75A61" w:rsidRDefault="00E83015" w:rsidP="00E83015">
            <w:pPr>
              <w:ind w:left="-70"/>
              <w:jc w:val="both"/>
              <w:rPr>
                <w:rFonts w:cs="Arial"/>
              </w:rPr>
            </w:pPr>
            <w:r w:rsidRPr="00A75A61">
              <w:rPr>
                <w:rFonts w:cs="Arial"/>
              </w:rPr>
              <w:t>I componenti della commissione si impegnano a cancellare o restituire tutti i dati personali e particolari dopo che è terminata la procedura di gara e a cancellarne eventuali copie esistenti. Sono tenuti altresì ad attenersi all’obbligo di ri</w:t>
            </w:r>
            <w:r w:rsidRPr="00A75A61">
              <w:rPr>
                <w:rFonts w:cs="Arial"/>
              </w:rPr>
              <w:softHyphen/>
              <w:t xml:space="preserve">servatezza ed in generale ed a tutti gli obblighi di cui al </w:t>
            </w:r>
            <w:r w:rsidR="00500AC0">
              <w:rPr>
                <w:rFonts w:cs="Arial"/>
              </w:rPr>
              <w:t>R</w:t>
            </w:r>
            <w:r w:rsidR="00500AC0" w:rsidRPr="00FB4D32">
              <w:rPr>
                <w:rFonts w:cs="Arial"/>
              </w:rPr>
              <w:t>egolamento (UE) n. 2016/679</w:t>
            </w:r>
            <w:r w:rsidR="00500AC0" w:rsidRPr="002C6765">
              <w:rPr>
                <w:rFonts w:cs="Arial"/>
              </w:rPr>
              <w:t>.</w:t>
            </w:r>
            <w:r w:rsidRPr="00A75A61">
              <w:rPr>
                <w:rFonts w:cs="Arial"/>
              </w:rPr>
              <w:t>, nonché, ove di</w:t>
            </w:r>
            <w:r w:rsidRPr="00A75A61">
              <w:rPr>
                <w:rFonts w:cs="Arial"/>
              </w:rPr>
              <w:softHyphen/>
              <w:t>pendenti dell</w:t>
            </w:r>
            <w:r w:rsidR="00BB1A2D">
              <w:rPr>
                <w:rFonts w:cs="Arial"/>
              </w:rPr>
              <w:t>’</w:t>
            </w:r>
            <w:r w:rsidRPr="00A75A61">
              <w:rPr>
                <w:rFonts w:cs="Arial"/>
              </w:rPr>
              <w:t>Amministrazione Provinciale, al Codice di comportamento del personale della Provincia, approvato con delibera della Giunta provinciale n. 938 del 29 luglio 2014.</w:t>
            </w:r>
          </w:p>
          <w:p w14:paraId="202E85F0" w14:textId="77777777" w:rsidR="00E83015" w:rsidRDefault="00E83015">
            <w:pPr>
              <w:ind w:left="-70"/>
              <w:jc w:val="both"/>
              <w:rPr>
                <w:rFonts w:cs="Arial"/>
              </w:rPr>
            </w:pPr>
          </w:p>
        </w:tc>
      </w:tr>
      <w:tr w:rsidR="00F73F58" w14:paraId="5E7A5818" w14:textId="77777777" w:rsidTr="007240D3">
        <w:tblPrEx>
          <w:tblCellMar>
            <w:left w:w="70" w:type="dxa"/>
            <w:right w:w="70" w:type="dxa"/>
          </w:tblCellMar>
        </w:tblPrEx>
        <w:trPr>
          <w:trHeight w:val="143"/>
        </w:trPr>
        <w:tc>
          <w:tcPr>
            <w:tcW w:w="4139" w:type="dxa"/>
          </w:tcPr>
          <w:p w14:paraId="0F625C6E" w14:textId="77777777" w:rsidR="00F73F58" w:rsidRDefault="00F73F58">
            <w:pPr>
              <w:ind w:left="-70"/>
              <w:jc w:val="both"/>
              <w:rPr>
                <w:rFonts w:cs="Arial"/>
                <w:b/>
              </w:rPr>
            </w:pPr>
          </w:p>
        </w:tc>
        <w:tc>
          <w:tcPr>
            <w:tcW w:w="1361" w:type="dxa"/>
          </w:tcPr>
          <w:p w14:paraId="4B809DFC" w14:textId="77777777" w:rsidR="00F73F58" w:rsidRDefault="00F73F58">
            <w:pPr>
              <w:jc w:val="both"/>
              <w:rPr>
                <w:rFonts w:cs="Arial"/>
                <w:b/>
              </w:rPr>
            </w:pPr>
          </w:p>
        </w:tc>
        <w:tc>
          <w:tcPr>
            <w:tcW w:w="4139" w:type="dxa"/>
          </w:tcPr>
          <w:p w14:paraId="2039A4F7" w14:textId="77777777" w:rsidR="00F73F58" w:rsidRDefault="00F73F58">
            <w:pPr>
              <w:ind w:left="-70"/>
              <w:jc w:val="both"/>
              <w:rPr>
                <w:rFonts w:cs="Arial"/>
                <w:b/>
              </w:rPr>
            </w:pPr>
          </w:p>
        </w:tc>
      </w:tr>
      <w:tr w:rsidR="00C046FE" w:rsidRPr="00BA6C26" w14:paraId="639EBB6F" w14:textId="77777777" w:rsidTr="007240D3">
        <w:tblPrEx>
          <w:tblCellMar>
            <w:left w:w="70" w:type="dxa"/>
            <w:right w:w="70" w:type="dxa"/>
          </w:tblCellMar>
        </w:tblPrEx>
        <w:trPr>
          <w:trHeight w:val="143"/>
        </w:trPr>
        <w:tc>
          <w:tcPr>
            <w:tcW w:w="4139" w:type="dxa"/>
          </w:tcPr>
          <w:p w14:paraId="16926BAF" w14:textId="6C5A6F05" w:rsidR="00130D16" w:rsidRPr="00182E3E" w:rsidRDefault="00DE7443" w:rsidP="00182E3E">
            <w:pPr>
              <w:ind w:left="-70"/>
              <w:jc w:val="both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Die Aufgaben des</w:t>
            </w:r>
            <w:r w:rsidR="00C046FE" w:rsidRPr="00196A7B">
              <w:rPr>
                <w:rFonts w:cs="Arial"/>
                <w:b/>
                <w:lang w:val="de-DE"/>
              </w:rPr>
              <w:t xml:space="preserve"> </w:t>
            </w:r>
            <w:r>
              <w:rPr>
                <w:rFonts w:cs="Arial"/>
                <w:b/>
                <w:lang w:val="de-DE"/>
              </w:rPr>
              <w:t>Mietgliedes</w:t>
            </w:r>
            <w:r w:rsidR="00C046FE" w:rsidRPr="00196A7B">
              <w:rPr>
                <w:rFonts w:cs="Arial"/>
                <w:b/>
                <w:lang w:val="de-DE"/>
              </w:rPr>
              <w:t>, welche</w:t>
            </w:r>
            <w:r>
              <w:rPr>
                <w:rFonts w:cs="Arial"/>
                <w:b/>
                <w:lang w:val="de-DE"/>
              </w:rPr>
              <w:t>s</w:t>
            </w:r>
            <w:r w:rsidR="00C046FE" w:rsidRPr="00196A7B">
              <w:rPr>
                <w:rFonts w:cs="Arial"/>
                <w:b/>
                <w:lang w:val="de-DE"/>
              </w:rPr>
              <w:t xml:space="preserve"> mit gegenständlicher Ernennung vor</w:t>
            </w:r>
            <w:r w:rsidR="00C046FE">
              <w:rPr>
                <w:rFonts w:cs="Arial"/>
                <w:b/>
                <w:lang w:val="de-DE"/>
              </w:rPr>
              <w:softHyphen/>
            </w:r>
            <w:r w:rsidR="00C046FE" w:rsidRPr="00196A7B">
              <w:rPr>
                <w:rFonts w:cs="Arial"/>
                <w:b/>
                <w:lang w:val="de-DE"/>
              </w:rPr>
              <w:t>gesehen sind, umfassen die Abgabe, auf An</w:t>
            </w:r>
            <w:r w:rsidR="00C046FE">
              <w:rPr>
                <w:rFonts w:cs="Arial"/>
                <w:b/>
                <w:lang w:val="de-DE"/>
              </w:rPr>
              <w:softHyphen/>
            </w:r>
            <w:r w:rsidR="00C046FE" w:rsidRPr="00196A7B">
              <w:rPr>
                <w:rFonts w:cs="Arial"/>
                <w:b/>
                <w:lang w:val="de-DE"/>
              </w:rPr>
              <w:t>frage der beauftragenden Körperschaft/der Vergabestelle, von Meinungen bzw. von Stel</w:t>
            </w:r>
            <w:r w:rsidR="00C046FE">
              <w:rPr>
                <w:rFonts w:cs="Arial"/>
                <w:b/>
                <w:lang w:val="de-DE"/>
              </w:rPr>
              <w:softHyphen/>
            </w:r>
            <w:r w:rsidR="00C046FE" w:rsidRPr="00196A7B">
              <w:rPr>
                <w:rFonts w:cs="Arial"/>
                <w:b/>
                <w:lang w:val="de-DE"/>
              </w:rPr>
              <w:t xml:space="preserve">lungnahmen betreffend ihre Tätigkeit im Falle von Rekursen, gemäß Art. </w:t>
            </w:r>
            <w:r w:rsidR="00D95E57" w:rsidRPr="00196A7B">
              <w:rPr>
                <w:rFonts w:cs="Arial"/>
                <w:b/>
                <w:lang w:val="de-DE"/>
              </w:rPr>
              <w:t>20</w:t>
            </w:r>
            <w:r w:rsidR="00D95E57">
              <w:rPr>
                <w:rFonts w:cs="Arial"/>
                <w:b/>
                <w:lang w:val="de-DE"/>
              </w:rPr>
              <w:t>9</w:t>
            </w:r>
            <w:r w:rsidR="00D95E57" w:rsidRPr="00196A7B">
              <w:rPr>
                <w:rFonts w:cs="Arial"/>
                <w:b/>
                <w:lang w:val="de-DE"/>
              </w:rPr>
              <w:t xml:space="preserve"> </w:t>
            </w:r>
            <w:r w:rsidR="00C046FE" w:rsidRPr="00196A7B">
              <w:rPr>
                <w:rFonts w:cs="Arial"/>
                <w:b/>
                <w:lang w:val="de-DE"/>
              </w:rPr>
              <w:t>des GV</w:t>
            </w:r>
            <w:r w:rsidR="00C046FE">
              <w:rPr>
                <w:rFonts w:cs="Arial"/>
                <w:b/>
                <w:lang w:val="de-DE"/>
              </w:rPr>
              <w:t>D</w:t>
            </w:r>
            <w:r w:rsidR="00C046FE" w:rsidRPr="00196A7B">
              <w:rPr>
                <w:rFonts w:cs="Arial"/>
                <w:b/>
                <w:lang w:val="de-DE"/>
              </w:rPr>
              <w:t xml:space="preserve"> Nr. </w:t>
            </w:r>
            <w:r w:rsidR="00D95E57">
              <w:rPr>
                <w:rFonts w:cs="Arial"/>
                <w:b/>
                <w:lang w:val="de-DE"/>
              </w:rPr>
              <w:t>36/2023</w:t>
            </w:r>
            <w:r w:rsidR="00C046FE" w:rsidRPr="00196A7B">
              <w:rPr>
                <w:rFonts w:cs="Arial"/>
                <w:b/>
                <w:lang w:val="de-DE"/>
              </w:rPr>
              <w:t>, welche von S</w:t>
            </w:r>
            <w:r w:rsidR="00C046FE">
              <w:rPr>
                <w:rFonts w:cs="Arial"/>
                <w:b/>
                <w:lang w:val="de-DE"/>
              </w:rPr>
              <w:t>eiten der Wirtschafts</w:t>
            </w:r>
            <w:r w:rsidR="00C046FE">
              <w:rPr>
                <w:rFonts w:cs="Arial"/>
                <w:b/>
                <w:lang w:val="de-DE"/>
              </w:rPr>
              <w:softHyphen/>
              <w:t>teilnehmer</w:t>
            </w:r>
            <w:r w:rsidR="00C046FE" w:rsidRPr="00196A7B">
              <w:rPr>
                <w:rFonts w:cs="Arial"/>
                <w:b/>
                <w:lang w:val="de-DE"/>
              </w:rPr>
              <w:t xml:space="preserve"> eingereicht wurden.</w:t>
            </w:r>
          </w:p>
        </w:tc>
        <w:tc>
          <w:tcPr>
            <w:tcW w:w="1361" w:type="dxa"/>
          </w:tcPr>
          <w:p w14:paraId="0A39DFAF" w14:textId="77777777" w:rsidR="00C046FE" w:rsidRPr="00BA6C26" w:rsidRDefault="00C046FE" w:rsidP="00846E5A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6946FE82" w14:textId="1C89F1BA" w:rsidR="00C046FE" w:rsidRPr="00BA6C26" w:rsidRDefault="00C046FE" w:rsidP="00846E5A">
            <w:pPr>
              <w:ind w:left="-70"/>
              <w:jc w:val="both"/>
              <w:rPr>
                <w:rFonts w:cs="Arial"/>
              </w:rPr>
            </w:pPr>
            <w:r w:rsidRPr="00BA6C26">
              <w:rPr>
                <w:rFonts w:cs="Arial"/>
                <w:b/>
                <w:bCs/>
              </w:rPr>
              <w:t xml:space="preserve">I compiti conferiti </w:t>
            </w:r>
            <w:r w:rsidR="00DE7443">
              <w:rPr>
                <w:rFonts w:cs="Arial"/>
                <w:b/>
                <w:bCs/>
              </w:rPr>
              <w:t>al membro</w:t>
            </w:r>
            <w:r w:rsidRPr="00BA6C26">
              <w:rPr>
                <w:rFonts w:cs="Arial"/>
                <w:b/>
                <w:bCs/>
              </w:rPr>
              <w:t xml:space="preserve"> con la presente nomina comprendono la reda</w:t>
            </w:r>
            <w:r>
              <w:rPr>
                <w:rFonts w:cs="Arial"/>
                <w:b/>
                <w:bCs/>
              </w:rPr>
              <w:softHyphen/>
            </w:r>
            <w:r w:rsidRPr="00BA6C26">
              <w:rPr>
                <w:rFonts w:cs="Arial"/>
                <w:b/>
                <w:bCs/>
              </w:rPr>
              <w:t>zione, su richiesta dell'Ente committen</w:t>
            </w:r>
            <w:r>
              <w:rPr>
                <w:rFonts w:cs="Arial"/>
                <w:b/>
                <w:bCs/>
              </w:rPr>
              <w:softHyphen/>
            </w:r>
            <w:r w:rsidRPr="00BA6C26">
              <w:rPr>
                <w:rFonts w:cs="Arial"/>
                <w:b/>
                <w:bCs/>
              </w:rPr>
              <w:t>te/Stazione appaltante, di pareri e/o prese di posizione in merito alla propria attività, nel caso in cui gli operatori economici propon</w:t>
            </w:r>
            <w:r>
              <w:rPr>
                <w:rFonts w:cs="Arial"/>
                <w:b/>
                <w:bCs/>
              </w:rPr>
              <w:softHyphen/>
            </w:r>
            <w:r w:rsidRPr="00BA6C26">
              <w:rPr>
                <w:rFonts w:cs="Arial"/>
                <w:b/>
                <w:bCs/>
              </w:rPr>
              <w:t xml:space="preserve">gano ricorso ai sensi dell'art. </w:t>
            </w:r>
            <w:r w:rsidR="005D33FF">
              <w:rPr>
                <w:rFonts w:cs="Arial"/>
                <w:b/>
                <w:bCs/>
              </w:rPr>
              <w:t>209</w:t>
            </w:r>
            <w:r w:rsidRPr="00BA6C26">
              <w:rPr>
                <w:rFonts w:cs="Arial"/>
                <w:b/>
                <w:bCs/>
              </w:rPr>
              <w:t xml:space="preserve"> D.Lgs. n. </w:t>
            </w:r>
            <w:r w:rsidR="005D33FF">
              <w:rPr>
                <w:rFonts w:cs="Arial"/>
                <w:b/>
                <w:bCs/>
              </w:rPr>
              <w:t>36/2023</w:t>
            </w:r>
            <w:r w:rsidRPr="00BA6C26">
              <w:rPr>
                <w:rFonts w:cs="Arial"/>
                <w:b/>
                <w:bCs/>
              </w:rPr>
              <w:t xml:space="preserve"> ovvero ricorsi giurisdizionali.</w:t>
            </w:r>
          </w:p>
        </w:tc>
      </w:tr>
      <w:tr w:rsidR="00182E3E" w:rsidRPr="00BA6C26" w14:paraId="77402DFB" w14:textId="77777777" w:rsidTr="007240D3">
        <w:tblPrEx>
          <w:tblCellMar>
            <w:left w:w="70" w:type="dxa"/>
            <w:right w:w="70" w:type="dxa"/>
          </w:tblCellMar>
        </w:tblPrEx>
        <w:trPr>
          <w:trHeight w:val="143"/>
        </w:trPr>
        <w:tc>
          <w:tcPr>
            <w:tcW w:w="4139" w:type="dxa"/>
          </w:tcPr>
          <w:p w14:paraId="5B8974FA" w14:textId="77777777" w:rsidR="00182E3E" w:rsidRDefault="00182E3E" w:rsidP="00846E5A">
            <w:pPr>
              <w:ind w:left="-70"/>
              <w:jc w:val="both"/>
              <w:rPr>
                <w:rFonts w:cs="Arial"/>
                <w:b/>
                <w:lang w:val="de-DE"/>
              </w:rPr>
            </w:pPr>
          </w:p>
        </w:tc>
        <w:tc>
          <w:tcPr>
            <w:tcW w:w="1361" w:type="dxa"/>
          </w:tcPr>
          <w:p w14:paraId="43598AFD" w14:textId="77777777" w:rsidR="00182E3E" w:rsidRPr="00BA6C26" w:rsidRDefault="00182E3E" w:rsidP="00846E5A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5D35E287" w14:textId="77777777" w:rsidR="00182E3E" w:rsidRPr="00BA6C26" w:rsidRDefault="00182E3E" w:rsidP="00846E5A">
            <w:pPr>
              <w:ind w:left="-70"/>
              <w:jc w:val="both"/>
              <w:rPr>
                <w:rFonts w:cs="Arial"/>
                <w:b/>
                <w:bCs/>
              </w:rPr>
            </w:pPr>
          </w:p>
        </w:tc>
      </w:tr>
      <w:tr w:rsidR="00C046FE" w:rsidRPr="0017487D" w14:paraId="265D060D" w14:textId="77777777" w:rsidTr="007240D3">
        <w:tblPrEx>
          <w:tblCellMar>
            <w:left w:w="70" w:type="dxa"/>
            <w:right w:w="70" w:type="dxa"/>
          </w:tblCellMar>
        </w:tblPrEx>
        <w:trPr>
          <w:trHeight w:val="143"/>
        </w:trPr>
        <w:tc>
          <w:tcPr>
            <w:tcW w:w="4139" w:type="dxa"/>
          </w:tcPr>
          <w:p w14:paraId="7430E753" w14:textId="77777777" w:rsidR="00C046FE" w:rsidRPr="00BA6C26" w:rsidRDefault="00C046FE" w:rsidP="00846E5A">
            <w:pPr>
              <w:ind w:left="-70"/>
              <w:jc w:val="both"/>
              <w:rPr>
                <w:rFonts w:cs="Arial"/>
                <w:b/>
                <w:lang w:val="de-DE"/>
              </w:rPr>
            </w:pPr>
            <w:r w:rsidRPr="00196A7B">
              <w:rPr>
                <w:rFonts w:cs="Arial"/>
                <w:b/>
                <w:lang w:val="de-DE"/>
              </w:rPr>
              <w:t>Das Entgelt für diese Tätigkeit ist in der Ver</w:t>
            </w:r>
            <w:r>
              <w:rPr>
                <w:rFonts w:cs="Arial"/>
                <w:b/>
                <w:lang w:val="de-DE"/>
              </w:rPr>
              <w:softHyphen/>
            </w:r>
            <w:r w:rsidRPr="00196A7B">
              <w:rPr>
                <w:rFonts w:cs="Arial"/>
                <w:b/>
                <w:lang w:val="de-DE"/>
              </w:rPr>
              <w:t>gütung, welche für die gegenständliche Be</w:t>
            </w:r>
            <w:r>
              <w:rPr>
                <w:rFonts w:cs="Arial"/>
                <w:b/>
                <w:lang w:val="de-DE"/>
              </w:rPr>
              <w:softHyphen/>
            </w:r>
            <w:r w:rsidRPr="00196A7B">
              <w:rPr>
                <w:rFonts w:cs="Arial"/>
                <w:b/>
                <w:lang w:val="de-DE"/>
              </w:rPr>
              <w:t>auftragung vorgesehen ist, inbegriffen.</w:t>
            </w:r>
          </w:p>
          <w:p w14:paraId="13273FC9" w14:textId="7918736E" w:rsidR="00C046FE" w:rsidRPr="0032458F" w:rsidRDefault="007211F0" w:rsidP="0032458F">
            <w:pPr>
              <w:ind w:left="-70"/>
              <w:jc w:val="both"/>
              <w:rPr>
                <w:rFonts w:cs="Arial"/>
                <w:b/>
                <w:lang w:val="de-DE"/>
              </w:rPr>
            </w:pPr>
            <w:r w:rsidRPr="001C1D4F">
              <w:rPr>
                <w:rFonts w:cs="Arial"/>
                <w:b/>
                <w:lang w:val="de-DE"/>
              </w:rPr>
              <w:t>Der Auftrag wird von der Auftrag gebende</w:t>
            </w:r>
            <w:r>
              <w:rPr>
                <w:rFonts w:cs="Arial"/>
                <w:b/>
                <w:lang w:val="de-DE"/>
              </w:rPr>
              <w:t>n</w:t>
            </w:r>
            <w:r w:rsidRPr="001C1D4F">
              <w:rPr>
                <w:rFonts w:cs="Arial"/>
                <w:b/>
                <w:lang w:val="de-DE"/>
              </w:rPr>
              <w:t xml:space="preserve"> Körperschaft erteilt und gilt auch für eine etwaige Bewertung der Angemessenheit der Angebote gemäß Art. </w:t>
            </w:r>
            <w:r w:rsidR="00D95E57">
              <w:rPr>
                <w:rFonts w:cs="Arial"/>
                <w:b/>
                <w:lang w:val="de-DE"/>
              </w:rPr>
              <w:t>110</w:t>
            </w:r>
            <w:r w:rsidR="00D95E57" w:rsidRPr="001C1D4F">
              <w:rPr>
                <w:rFonts w:cs="Arial"/>
                <w:b/>
                <w:lang w:val="de-DE"/>
              </w:rPr>
              <w:t xml:space="preserve"> </w:t>
            </w:r>
            <w:r w:rsidRPr="001C1D4F">
              <w:rPr>
                <w:rFonts w:cs="Arial"/>
                <w:b/>
                <w:lang w:val="de-DE"/>
              </w:rPr>
              <w:t xml:space="preserve">des GVD Nr. </w:t>
            </w:r>
            <w:r w:rsidR="00D95E57">
              <w:rPr>
                <w:rFonts w:cs="Arial"/>
                <w:b/>
                <w:lang w:val="de-DE"/>
              </w:rPr>
              <w:t>36/2023</w:t>
            </w:r>
            <w:r w:rsidRPr="001C1D4F">
              <w:rPr>
                <w:rFonts w:cs="Arial"/>
                <w:b/>
                <w:lang w:val="de-DE"/>
              </w:rPr>
              <w:t xml:space="preserve"> nach entsprechender schriftlicher Anfrage von Seiten des E</w:t>
            </w:r>
            <w:r w:rsidR="00B574B8">
              <w:rPr>
                <w:rFonts w:cs="Arial"/>
                <w:b/>
                <w:lang w:val="de-DE"/>
              </w:rPr>
              <w:t>P</w:t>
            </w:r>
            <w:r w:rsidRPr="001C1D4F">
              <w:rPr>
                <w:rFonts w:cs="Arial"/>
                <w:b/>
                <w:lang w:val="de-DE"/>
              </w:rPr>
              <w:t>V</w:t>
            </w:r>
            <w:r>
              <w:rPr>
                <w:rFonts w:cs="Arial"/>
                <w:b/>
                <w:lang w:val="de-DE"/>
              </w:rPr>
              <w:t>.</w:t>
            </w:r>
          </w:p>
        </w:tc>
        <w:tc>
          <w:tcPr>
            <w:tcW w:w="1361" w:type="dxa"/>
          </w:tcPr>
          <w:p w14:paraId="63C6B365" w14:textId="77777777" w:rsidR="00C046FE" w:rsidRPr="00BA6C26" w:rsidRDefault="00C046FE" w:rsidP="00846E5A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58DD1E6E" w14:textId="77777777" w:rsidR="00C046FE" w:rsidRPr="00BA6C26" w:rsidRDefault="00C046FE" w:rsidP="00846E5A">
            <w:pPr>
              <w:ind w:left="-70"/>
              <w:jc w:val="both"/>
              <w:rPr>
                <w:rFonts w:cs="Arial"/>
                <w:b/>
              </w:rPr>
            </w:pPr>
            <w:r w:rsidRPr="00196A7B">
              <w:rPr>
                <w:rFonts w:cs="Arial"/>
                <w:b/>
                <w:bCs/>
              </w:rPr>
              <w:t>Gli oneri di tali attività sono ricompresi nel compenso dell'incarico.</w:t>
            </w:r>
          </w:p>
          <w:p w14:paraId="35E53BA7" w14:textId="0A996F3B" w:rsidR="00C046FE" w:rsidRPr="00BA6C26" w:rsidRDefault="00C046FE" w:rsidP="00846E5A">
            <w:pPr>
              <w:ind w:left="-70"/>
              <w:jc w:val="both"/>
              <w:rPr>
                <w:rFonts w:cs="Arial"/>
                <w:b/>
              </w:rPr>
            </w:pPr>
            <w:r w:rsidRPr="00BA6C26">
              <w:rPr>
                <w:rFonts w:cs="Arial"/>
                <w:b/>
              </w:rPr>
              <w:t>L'incarico viene conferito da parte dell'En</w:t>
            </w:r>
            <w:r w:rsidR="0046108F">
              <w:rPr>
                <w:rFonts w:cs="Arial"/>
                <w:b/>
              </w:rPr>
              <w:softHyphen/>
            </w:r>
            <w:r w:rsidRPr="00BA6C26">
              <w:rPr>
                <w:rFonts w:cs="Arial"/>
                <w:b/>
              </w:rPr>
              <w:t xml:space="preserve">te committente e vale anche per l’eventuale esame di congruità delle offerte ai sensi dell’art. </w:t>
            </w:r>
            <w:r w:rsidR="00702B9D">
              <w:rPr>
                <w:rFonts w:cs="Arial"/>
                <w:b/>
              </w:rPr>
              <w:t>110</w:t>
            </w:r>
            <w:r w:rsidRPr="00BA6C26">
              <w:rPr>
                <w:rFonts w:cs="Arial"/>
                <w:b/>
              </w:rPr>
              <w:t xml:space="preserve"> D.Lgs. n. </w:t>
            </w:r>
            <w:r w:rsidR="00702B9D">
              <w:rPr>
                <w:rFonts w:cs="Arial"/>
                <w:b/>
              </w:rPr>
              <w:t>36/2023</w:t>
            </w:r>
            <w:r w:rsidRPr="00BA6C26">
              <w:rPr>
                <w:rFonts w:cs="Arial"/>
                <w:b/>
              </w:rPr>
              <w:t xml:space="preserve"> a seguito di spe</w:t>
            </w:r>
            <w:r>
              <w:rPr>
                <w:rFonts w:cs="Arial"/>
                <w:b/>
              </w:rPr>
              <w:softHyphen/>
            </w:r>
            <w:r w:rsidRPr="00BA6C26">
              <w:rPr>
                <w:rFonts w:cs="Arial"/>
                <w:b/>
              </w:rPr>
              <w:t>cifica richiesta scritta da parte del Responsa</w:t>
            </w:r>
            <w:r>
              <w:rPr>
                <w:rFonts w:cs="Arial"/>
                <w:b/>
              </w:rPr>
              <w:softHyphen/>
            </w:r>
            <w:r w:rsidRPr="00BA6C26">
              <w:rPr>
                <w:rFonts w:cs="Arial"/>
                <w:b/>
              </w:rPr>
              <w:t>bile unico del procedimento.</w:t>
            </w:r>
          </w:p>
          <w:p w14:paraId="362E3967" w14:textId="77777777" w:rsidR="00C046FE" w:rsidRPr="0017487D" w:rsidRDefault="00C046FE" w:rsidP="00846E5A">
            <w:pPr>
              <w:ind w:left="-70"/>
              <w:jc w:val="both"/>
              <w:rPr>
                <w:rFonts w:cs="Arial"/>
              </w:rPr>
            </w:pPr>
          </w:p>
        </w:tc>
      </w:tr>
      <w:tr w:rsidR="00C046FE" w14:paraId="2723EEF5" w14:textId="77777777" w:rsidTr="007240D3">
        <w:tblPrEx>
          <w:tblCellMar>
            <w:left w:w="70" w:type="dxa"/>
            <w:right w:w="70" w:type="dxa"/>
          </w:tblCellMar>
        </w:tblPrEx>
        <w:trPr>
          <w:trHeight w:val="193"/>
        </w:trPr>
        <w:tc>
          <w:tcPr>
            <w:tcW w:w="4139" w:type="dxa"/>
          </w:tcPr>
          <w:p w14:paraId="59BDEE33" w14:textId="77777777" w:rsidR="00C046FE" w:rsidRDefault="00C046FE" w:rsidP="00846E5A">
            <w:pPr>
              <w:jc w:val="both"/>
              <w:rPr>
                <w:rFonts w:cs="Arial"/>
                <w:b/>
                <w:highlight w:val="yellow"/>
              </w:rPr>
            </w:pPr>
          </w:p>
        </w:tc>
        <w:tc>
          <w:tcPr>
            <w:tcW w:w="1361" w:type="dxa"/>
          </w:tcPr>
          <w:p w14:paraId="6667ED52" w14:textId="77777777" w:rsidR="00C046FE" w:rsidRDefault="00C046FE" w:rsidP="00846E5A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3C0857FA" w14:textId="77777777" w:rsidR="00C046FE" w:rsidRDefault="00C046FE" w:rsidP="00846E5A">
            <w:pPr>
              <w:jc w:val="both"/>
              <w:rPr>
                <w:rFonts w:cs="Arial"/>
                <w:b/>
              </w:rPr>
            </w:pPr>
          </w:p>
        </w:tc>
      </w:tr>
      <w:tr w:rsidR="00C046FE" w14:paraId="4DBDB6E8" w14:textId="77777777" w:rsidTr="007240D3">
        <w:tblPrEx>
          <w:tblCellMar>
            <w:left w:w="70" w:type="dxa"/>
            <w:right w:w="70" w:type="dxa"/>
          </w:tblCellMar>
        </w:tblPrEx>
        <w:trPr>
          <w:trHeight w:val="410"/>
        </w:trPr>
        <w:tc>
          <w:tcPr>
            <w:tcW w:w="4139" w:type="dxa"/>
          </w:tcPr>
          <w:p w14:paraId="2892FE61" w14:textId="77777777" w:rsidR="00C046FE" w:rsidRDefault="00C046FE" w:rsidP="00846E5A">
            <w:pPr>
              <w:ind w:left="-70"/>
              <w:jc w:val="both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 xml:space="preserve">Es wird daran erinnert, dass </w:t>
            </w:r>
            <w:r w:rsidR="00F439B4">
              <w:rPr>
                <w:rFonts w:cs="Arial"/>
                <w:b/>
                <w:lang w:val="de-DE"/>
              </w:rPr>
              <w:t>das Mitglied</w:t>
            </w:r>
            <w:r>
              <w:rPr>
                <w:rFonts w:cs="Arial"/>
                <w:b/>
                <w:lang w:val="de-DE"/>
              </w:rPr>
              <w:t xml:space="preserve"> ihre Tätigkeit erst nach erfolgter Beauftra</w:t>
            </w:r>
            <w:r>
              <w:rPr>
                <w:rFonts w:cs="Arial"/>
                <w:b/>
                <w:lang w:val="de-DE"/>
              </w:rPr>
              <w:softHyphen/>
              <w:t>gung aufnehmen kann.</w:t>
            </w:r>
          </w:p>
        </w:tc>
        <w:tc>
          <w:tcPr>
            <w:tcW w:w="1361" w:type="dxa"/>
          </w:tcPr>
          <w:p w14:paraId="2A358CC2" w14:textId="77777777" w:rsidR="00C046FE" w:rsidRDefault="00C046FE" w:rsidP="00846E5A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6365A6D2" w14:textId="77777777" w:rsidR="00C046FE" w:rsidRDefault="00C046FE" w:rsidP="00846E5A">
            <w:pPr>
              <w:ind w:left="-7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Si ricorda che </w:t>
            </w:r>
            <w:r w:rsidR="00F439B4">
              <w:rPr>
                <w:rFonts w:cs="Arial"/>
                <w:b/>
              </w:rPr>
              <w:t>il membro</w:t>
            </w:r>
            <w:r>
              <w:rPr>
                <w:rFonts w:cs="Arial"/>
                <w:b/>
              </w:rPr>
              <w:t xml:space="preserve"> non può ini</w:t>
            </w:r>
            <w:r>
              <w:rPr>
                <w:rFonts w:cs="Arial"/>
                <w:b/>
              </w:rPr>
              <w:softHyphen/>
              <w:t>ziare la sua attività prima del conferimento dell’incarico.</w:t>
            </w:r>
          </w:p>
        </w:tc>
      </w:tr>
      <w:tr w:rsidR="00F73F58" w14:paraId="6F3127E4" w14:textId="77777777" w:rsidTr="007240D3">
        <w:tblPrEx>
          <w:tblCellMar>
            <w:left w:w="70" w:type="dxa"/>
            <w:right w:w="70" w:type="dxa"/>
          </w:tblCellMar>
        </w:tblPrEx>
        <w:trPr>
          <w:trHeight w:val="105"/>
        </w:trPr>
        <w:tc>
          <w:tcPr>
            <w:tcW w:w="4139" w:type="dxa"/>
          </w:tcPr>
          <w:p w14:paraId="021EBC59" w14:textId="77777777" w:rsidR="00F73F58" w:rsidRDefault="00F73F58" w:rsidP="00C046FE">
            <w:pPr>
              <w:rPr>
                <w:rFonts w:cs="Arial"/>
              </w:rPr>
            </w:pPr>
          </w:p>
        </w:tc>
        <w:tc>
          <w:tcPr>
            <w:tcW w:w="1361" w:type="dxa"/>
          </w:tcPr>
          <w:p w14:paraId="702C628B" w14:textId="77777777" w:rsidR="00F73F58" w:rsidRDefault="00F73F58">
            <w:pPr>
              <w:jc w:val="both"/>
              <w:rPr>
                <w:rFonts w:cs="Arial"/>
              </w:rPr>
            </w:pPr>
          </w:p>
        </w:tc>
        <w:tc>
          <w:tcPr>
            <w:tcW w:w="4139" w:type="dxa"/>
          </w:tcPr>
          <w:p w14:paraId="71CD61E3" w14:textId="77777777" w:rsidR="00F73F58" w:rsidRDefault="00F73F58">
            <w:pPr>
              <w:ind w:right="145"/>
              <w:jc w:val="both"/>
              <w:rPr>
                <w:rFonts w:cs="Arial"/>
              </w:rPr>
            </w:pPr>
          </w:p>
        </w:tc>
      </w:tr>
      <w:tr w:rsidR="00F73F58" w14:paraId="55480B76" w14:textId="77777777" w:rsidTr="007240D3">
        <w:tblPrEx>
          <w:tblCellMar>
            <w:left w:w="70" w:type="dxa"/>
            <w:right w:w="70" w:type="dxa"/>
          </w:tblCellMar>
        </w:tblPrEx>
        <w:tc>
          <w:tcPr>
            <w:tcW w:w="4139" w:type="dxa"/>
          </w:tcPr>
          <w:p w14:paraId="4BD43B5B" w14:textId="77777777" w:rsidR="00F73F58" w:rsidRDefault="00F73F58">
            <w:pPr>
              <w:ind w:left="-70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Mit freundlichen Grüßen</w:t>
            </w:r>
          </w:p>
        </w:tc>
        <w:tc>
          <w:tcPr>
            <w:tcW w:w="1361" w:type="dxa"/>
          </w:tcPr>
          <w:p w14:paraId="27F5F0B2" w14:textId="77777777" w:rsidR="00F73F58" w:rsidRDefault="00F73F5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4139" w:type="dxa"/>
          </w:tcPr>
          <w:p w14:paraId="211F9FF4" w14:textId="77777777" w:rsidR="00F73F58" w:rsidRDefault="00F73F58">
            <w:pPr>
              <w:ind w:left="-70" w:right="145"/>
              <w:jc w:val="both"/>
              <w:rPr>
                <w:rFonts w:cs="Arial"/>
              </w:rPr>
            </w:pPr>
            <w:r>
              <w:rPr>
                <w:rFonts w:cs="Arial"/>
              </w:rPr>
              <w:t>Distinti saluti</w:t>
            </w:r>
          </w:p>
        </w:tc>
      </w:tr>
      <w:tr w:rsidR="00F73F58" w14:paraId="59F94716" w14:textId="77777777" w:rsidTr="007240D3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3"/>
          </w:tcPr>
          <w:p w14:paraId="47EC9412" w14:textId="77777777" w:rsidR="00F73F58" w:rsidRDefault="00F73F58">
            <w:pPr>
              <w:ind w:left="-70" w:right="145"/>
              <w:jc w:val="center"/>
              <w:rPr>
                <w:rFonts w:cs="Arial"/>
                <w:lang w:val="de-DE"/>
              </w:rPr>
            </w:pPr>
          </w:p>
        </w:tc>
      </w:tr>
      <w:tr w:rsidR="00F73F58" w:rsidRPr="00326EA1" w14:paraId="02EDA323" w14:textId="77777777" w:rsidTr="007240D3">
        <w:tblPrEx>
          <w:tblCellMar>
            <w:left w:w="70" w:type="dxa"/>
            <w:right w:w="70" w:type="dxa"/>
          </w:tblCellMar>
        </w:tblPrEx>
        <w:trPr>
          <w:trHeight w:val="415"/>
        </w:trPr>
        <w:tc>
          <w:tcPr>
            <w:tcW w:w="9639" w:type="dxa"/>
            <w:gridSpan w:val="3"/>
          </w:tcPr>
          <w:p w14:paraId="4B28FAF2" w14:textId="77777777" w:rsidR="00ED4015" w:rsidRDefault="00CB5F18">
            <w:pPr>
              <w:ind w:right="145"/>
              <w:jc w:val="center"/>
              <w:rPr>
                <w:lang w:val="de-DE"/>
              </w:rPr>
            </w:pPr>
            <w:r w:rsidRPr="00CB5F18">
              <w:rPr>
                <w:lang w:val="de-DE"/>
              </w:rPr>
              <w:t>Die</w:t>
            </w:r>
            <w:r w:rsidR="00D46157" w:rsidRPr="00CB5F18">
              <w:rPr>
                <w:lang w:val="de-DE"/>
              </w:rPr>
              <w:t xml:space="preserve"> </w:t>
            </w:r>
            <w:r w:rsidR="00D46157">
              <w:rPr>
                <w:lang w:val="de-DE"/>
              </w:rPr>
              <w:t>Ausschreibungsbe</w:t>
            </w:r>
            <w:r>
              <w:rPr>
                <w:lang w:val="de-DE"/>
              </w:rPr>
              <w:t>hörde</w:t>
            </w:r>
            <w:r w:rsidR="00CA2271">
              <w:rPr>
                <w:lang w:val="de-DE"/>
              </w:rPr>
              <w:t xml:space="preserve"> / L’A</w:t>
            </w:r>
            <w:r w:rsidR="00F73F58">
              <w:rPr>
                <w:lang w:val="de-DE"/>
              </w:rPr>
              <w:t>utorità di gara</w:t>
            </w:r>
          </w:p>
          <w:bookmarkStart w:id="6" w:name="Text8"/>
          <w:p w14:paraId="7E2FFB97" w14:textId="77777777" w:rsidR="00F73F58" w:rsidRPr="00410AB5" w:rsidRDefault="00F73F58">
            <w:pPr>
              <w:ind w:right="145"/>
              <w:jc w:val="center"/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  <w:bookmarkEnd w:id="6"/>
            <w:r>
              <w:rPr>
                <w:lang w:val="de-DE"/>
              </w:rPr>
              <w:br/>
            </w:r>
            <w:r w:rsidRPr="00410AB5">
              <w:rPr>
                <w:sz w:val="18"/>
                <w:szCs w:val="18"/>
                <w:lang w:val="de-DE"/>
              </w:rPr>
              <w:t>(mit digitaler Unterschrift unterzeichnet / sottoscritto con firma digitale)</w:t>
            </w:r>
          </w:p>
          <w:p w14:paraId="11D3BC5B" w14:textId="77777777" w:rsidR="00F73F58" w:rsidRDefault="00F73F58">
            <w:pPr>
              <w:ind w:right="145"/>
              <w:rPr>
                <w:rFonts w:cs="Arial"/>
                <w:lang w:val="de-DE"/>
              </w:rPr>
            </w:pPr>
          </w:p>
        </w:tc>
      </w:tr>
      <w:tr w:rsidR="00182E3E" w:rsidRPr="00326EA1" w14:paraId="76D29E91" w14:textId="77777777" w:rsidTr="007240D3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3"/>
          </w:tcPr>
          <w:p w14:paraId="71983267" w14:textId="77777777" w:rsidR="00182E3E" w:rsidRPr="00CB5F18" w:rsidRDefault="00182E3E">
            <w:pPr>
              <w:ind w:right="145"/>
              <w:jc w:val="center"/>
              <w:rPr>
                <w:lang w:val="de-DE"/>
              </w:rPr>
            </w:pPr>
          </w:p>
        </w:tc>
      </w:tr>
      <w:tr w:rsidR="00F73F58" w14:paraId="425FAAE6" w14:textId="77777777" w:rsidTr="007240D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39" w:type="dxa"/>
          </w:tcPr>
          <w:p w14:paraId="091A08E8" w14:textId="77777777" w:rsidR="00F73F58" w:rsidRPr="00DA5BD5" w:rsidRDefault="00C046FE" w:rsidP="00DA5BD5">
            <w:pPr>
              <w:jc w:val="both"/>
              <w:rPr>
                <w:rFonts w:cs="Arial"/>
                <w:u w:val="single"/>
                <w:lang w:val="de-DE"/>
              </w:rPr>
            </w:pPr>
            <w:r w:rsidRPr="00DA5BD5">
              <w:rPr>
                <w:rFonts w:cs="Arial"/>
                <w:u w:val="single"/>
                <w:lang w:val="de-DE"/>
              </w:rPr>
              <w:t>Anlagen:</w:t>
            </w:r>
          </w:p>
          <w:p w14:paraId="46D452DF" w14:textId="77777777" w:rsidR="00F73F58" w:rsidRPr="00DA5BD5" w:rsidRDefault="00F73F58" w:rsidP="00DA5BD5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rFonts w:cs="Arial"/>
                <w:lang w:val="de-DE"/>
              </w:rPr>
            </w:pPr>
            <w:r w:rsidRPr="00DA5BD5">
              <w:rPr>
                <w:rFonts w:cs="Arial"/>
                <w:lang w:val="de-DE"/>
              </w:rPr>
              <w:t>Bekanntmachung;</w:t>
            </w:r>
          </w:p>
          <w:p w14:paraId="5A7BFD64" w14:textId="77777777" w:rsidR="00F73F58" w:rsidRPr="00DA5BD5" w:rsidRDefault="00F73F58" w:rsidP="00DA5BD5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rFonts w:cs="Arial"/>
                <w:lang w:val="de-DE"/>
              </w:rPr>
            </w:pPr>
            <w:r w:rsidRPr="00DA5BD5">
              <w:rPr>
                <w:rFonts w:cs="Arial"/>
                <w:lang w:val="de-DE"/>
              </w:rPr>
              <w:t>Ausschreibungsbedingungen;</w:t>
            </w:r>
          </w:p>
          <w:p w14:paraId="61B4D100" w14:textId="77777777" w:rsidR="00F73F58" w:rsidRPr="00DA5BD5" w:rsidRDefault="00F73F58" w:rsidP="00DA5BD5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rFonts w:cs="Arial"/>
                <w:lang w:val="de-DE"/>
              </w:rPr>
            </w:pPr>
            <w:r w:rsidRPr="00DA5BD5">
              <w:rPr>
                <w:rFonts w:cs="Arial"/>
                <w:lang w:val="de-DE"/>
              </w:rPr>
              <w:t>alle übermittelten Mit</w:t>
            </w:r>
            <w:r w:rsidR="003A474A">
              <w:rPr>
                <w:rFonts w:cs="Arial"/>
                <w:lang w:val="de-DE"/>
              </w:rPr>
              <w:t>teilungen/Richtigstel</w:t>
            </w:r>
            <w:r w:rsidR="00D25CEB">
              <w:rPr>
                <w:rFonts w:cs="Arial"/>
                <w:lang w:val="de-DE"/>
              </w:rPr>
              <w:softHyphen/>
            </w:r>
            <w:r w:rsidR="003A474A">
              <w:rPr>
                <w:rFonts w:cs="Arial"/>
                <w:lang w:val="de-DE"/>
              </w:rPr>
              <w:t>lun</w:t>
            </w:r>
            <w:r w:rsidR="00DA5BD5">
              <w:rPr>
                <w:rFonts w:cs="Arial"/>
                <w:lang w:val="de-DE"/>
              </w:rPr>
              <w:t>gen;</w:t>
            </w:r>
          </w:p>
          <w:p w14:paraId="70C2C783" w14:textId="77777777" w:rsidR="0012521C" w:rsidRPr="00DA5BD5" w:rsidRDefault="003A474A" w:rsidP="00DA5BD5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informatives Vademek</w:t>
            </w:r>
            <w:r w:rsidR="00DA5BD5">
              <w:rPr>
                <w:rFonts w:cs="Arial"/>
                <w:lang w:val="de-DE"/>
              </w:rPr>
              <w:t>um;</w:t>
            </w:r>
          </w:p>
          <w:p w14:paraId="7B6CD69C" w14:textId="77777777" w:rsidR="00C046FE" w:rsidRPr="00982D50" w:rsidRDefault="00C046FE" w:rsidP="00DA5BD5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ind w:left="318" w:right="-108" w:hanging="318"/>
              <w:jc w:val="both"/>
              <w:rPr>
                <w:rFonts w:cs="Arial"/>
                <w:color w:val="FF0000"/>
                <w:lang w:val="de-DE"/>
              </w:rPr>
            </w:pPr>
            <w:r w:rsidRPr="00982D50">
              <w:rPr>
                <w:rFonts w:cs="Arial"/>
                <w:color w:val="FF0000"/>
                <w:lang w:val="de-DE"/>
              </w:rPr>
              <w:t>Vorlagen für die Niederschriften</w:t>
            </w:r>
            <w:r w:rsidR="00DA5BD5" w:rsidRPr="00982D50">
              <w:rPr>
                <w:rFonts w:cs="Arial"/>
                <w:color w:val="FF0000"/>
                <w:lang w:val="de-DE"/>
              </w:rPr>
              <w:t>;</w:t>
            </w:r>
          </w:p>
          <w:p w14:paraId="19721FC7" w14:textId="77777777" w:rsidR="00C046FE" w:rsidRPr="00DA5BD5" w:rsidRDefault="00C046FE" w:rsidP="00086B77">
            <w:pPr>
              <w:numPr>
                <w:ilvl w:val="0"/>
                <w:numId w:val="9"/>
              </w:numPr>
              <w:tabs>
                <w:tab w:val="clear" w:pos="720"/>
                <w:tab w:val="num" w:pos="318"/>
              </w:tabs>
              <w:ind w:left="318" w:right="-36" w:hanging="318"/>
              <w:jc w:val="both"/>
              <w:rPr>
                <w:rFonts w:cs="Arial"/>
                <w:lang w:val="de-DE"/>
              </w:rPr>
            </w:pPr>
            <w:r w:rsidRPr="00982D50">
              <w:rPr>
                <w:rFonts w:cs="Arial"/>
                <w:color w:val="FF0000"/>
                <w:lang w:val="de-DE"/>
              </w:rPr>
              <w:t>Ersuchen um Stellungnahme zur Verweige</w:t>
            </w:r>
            <w:r w:rsidR="00086B77" w:rsidRPr="00982D50">
              <w:rPr>
                <w:rFonts w:cs="Arial"/>
                <w:color w:val="FF0000"/>
                <w:lang w:val="de-DE"/>
              </w:rPr>
              <w:softHyphen/>
            </w:r>
            <w:r w:rsidRPr="00982D50">
              <w:rPr>
                <w:rFonts w:cs="Arial"/>
                <w:color w:val="FF0000"/>
                <w:lang w:val="de-DE"/>
              </w:rPr>
              <w:t>rung der Akteneinsicht der Bieter</w:t>
            </w:r>
            <w:r w:rsidR="00DA5BD5" w:rsidRPr="00982D50">
              <w:rPr>
                <w:rFonts w:cs="Arial"/>
                <w:color w:val="FF0000"/>
                <w:lang w:val="de-DE"/>
              </w:rPr>
              <w:t>.</w:t>
            </w:r>
          </w:p>
        </w:tc>
        <w:tc>
          <w:tcPr>
            <w:tcW w:w="1361" w:type="dxa"/>
          </w:tcPr>
          <w:p w14:paraId="4A39C792" w14:textId="77777777" w:rsidR="00F73F58" w:rsidRPr="00DA5BD5" w:rsidRDefault="00F73F58" w:rsidP="00DA5BD5">
            <w:pPr>
              <w:jc w:val="both"/>
              <w:rPr>
                <w:rFonts w:cs="Arial"/>
                <w:u w:val="single"/>
                <w:lang w:val="de-DE"/>
              </w:rPr>
            </w:pPr>
          </w:p>
        </w:tc>
        <w:tc>
          <w:tcPr>
            <w:tcW w:w="4139" w:type="dxa"/>
          </w:tcPr>
          <w:p w14:paraId="25AA014F" w14:textId="77777777" w:rsidR="00F73F58" w:rsidRPr="00DA5BD5" w:rsidRDefault="00C046FE" w:rsidP="00DA5BD5">
            <w:pPr>
              <w:jc w:val="both"/>
              <w:rPr>
                <w:rFonts w:cs="Arial"/>
                <w:u w:val="single"/>
              </w:rPr>
            </w:pPr>
            <w:r w:rsidRPr="00DA5BD5">
              <w:rPr>
                <w:rFonts w:cs="Arial"/>
                <w:u w:val="single"/>
              </w:rPr>
              <w:t>Allegati:</w:t>
            </w:r>
          </w:p>
          <w:p w14:paraId="0601024E" w14:textId="77777777" w:rsidR="00F73F58" w:rsidRPr="00DA5BD5" w:rsidRDefault="00F73F58" w:rsidP="00DA5BD5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cs="Arial"/>
              </w:rPr>
            </w:pPr>
            <w:r w:rsidRPr="00DA5BD5">
              <w:rPr>
                <w:rFonts w:cs="Arial"/>
              </w:rPr>
              <w:t>bando di gara;</w:t>
            </w:r>
          </w:p>
          <w:p w14:paraId="6FC20C33" w14:textId="77777777" w:rsidR="00F73F58" w:rsidRPr="00DA5BD5" w:rsidRDefault="00F73F58" w:rsidP="00DA5BD5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cs="Arial"/>
              </w:rPr>
            </w:pPr>
            <w:r w:rsidRPr="00DA5BD5">
              <w:rPr>
                <w:rFonts w:cs="Arial"/>
              </w:rPr>
              <w:t>disciplinare di gara;</w:t>
            </w:r>
          </w:p>
          <w:p w14:paraId="025B04A1" w14:textId="77777777" w:rsidR="00F73F58" w:rsidRPr="00DA5BD5" w:rsidRDefault="00F73F58" w:rsidP="00DA5BD5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cs="Arial"/>
              </w:rPr>
            </w:pPr>
            <w:r w:rsidRPr="00DA5BD5">
              <w:rPr>
                <w:rFonts w:cs="Arial"/>
              </w:rPr>
              <w:t>tutte le c</w:t>
            </w:r>
            <w:r w:rsidR="00C046FE" w:rsidRPr="00DA5BD5">
              <w:rPr>
                <w:rFonts w:cs="Arial"/>
              </w:rPr>
              <w:t>omunicazioni/rettifiche inviate</w:t>
            </w:r>
            <w:r w:rsidR="00DA5BD5">
              <w:rPr>
                <w:rFonts w:cs="Arial"/>
              </w:rPr>
              <w:t>;</w:t>
            </w:r>
          </w:p>
          <w:p w14:paraId="78CD50F4" w14:textId="77777777" w:rsidR="0012521C" w:rsidRPr="00DA5BD5" w:rsidRDefault="0012521C" w:rsidP="00DA5BD5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cs="Arial"/>
                <w:color w:val="FF0000"/>
              </w:rPr>
            </w:pPr>
            <w:r w:rsidRPr="00DA5BD5">
              <w:rPr>
                <w:rFonts w:cs="Arial"/>
              </w:rPr>
              <w:t>Vademecum informativo</w:t>
            </w:r>
            <w:r w:rsidR="00DA5BD5">
              <w:rPr>
                <w:rFonts w:cs="Arial"/>
              </w:rPr>
              <w:t>;</w:t>
            </w:r>
          </w:p>
          <w:p w14:paraId="77A790E2" w14:textId="77777777" w:rsidR="00C046FE" w:rsidRPr="00DA5BD5" w:rsidRDefault="00C046FE" w:rsidP="00DA5BD5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cs="Arial"/>
                <w:color w:val="FF0000"/>
              </w:rPr>
            </w:pPr>
            <w:r w:rsidRPr="00DA5BD5">
              <w:rPr>
                <w:rFonts w:cs="Arial"/>
                <w:color w:val="FF0000"/>
              </w:rPr>
              <w:t>modelli verbali</w:t>
            </w:r>
            <w:r w:rsidR="0012521C" w:rsidRPr="00DA5BD5">
              <w:rPr>
                <w:rFonts w:cs="Arial"/>
                <w:color w:val="FF0000"/>
              </w:rPr>
              <w:t>;</w:t>
            </w:r>
          </w:p>
          <w:p w14:paraId="726E22C3" w14:textId="77777777" w:rsidR="0012521C" w:rsidRPr="00DA5BD5" w:rsidRDefault="00C046FE" w:rsidP="00DA5BD5">
            <w:pPr>
              <w:numPr>
                <w:ilvl w:val="0"/>
                <w:numId w:val="10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rFonts w:cs="Arial"/>
                <w:color w:val="FF0000"/>
              </w:rPr>
            </w:pPr>
            <w:r w:rsidRPr="00DA5BD5">
              <w:rPr>
                <w:rFonts w:cs="Arial"/>
                <w:color w:val="FF0000"/>
              </w:rPr>
              <w:t>richiesta presa posizione diniego accesso atti degli offerenti</w:t>
            </w:r>
            <w:r w:rsidR="00DA5BD5">
              <w:rPr>
                <w:rFonts w:cs="Arial"/>
                <w:color w:val="FF0000"/>
              </w:rPr>
              <w:t>.</w:t>
            </w:r>
          </w:p>
          <w:p w14:paraId="06388C01" w14:textId="77777777" w:rsidR="00F73F58" w:rsidRPr="00DA5BD5" w:rsidRDefault="00F73F58" w:rsidP="00DA5BD5">
            <w:pPr>
              <w:ind w:left="318"/>
              <w:jc w:val="both"/>
              <w:rPr>
                <w:rFonts w:cs="Arial"/>
                <w:u w:val="single"/>
              </w:rPr>
            </w:pPr>
          </w:p>
        </w:tc>
      </w:tr>
    </w:tbl>
    <w:p w14:paraId="6B2C1DA8" w14:textId="77777777" w:rsidR="00F73F58" w:rsidRDefault="00F73F58">
      <w:pPr>
        <w:tabs>
          <w:tab w:val="left" w:pos="5103"/>
        </w:tabs>
        <w:spacing w:line="240" w:lineRule="exact"/>
        <w:ind w:right="282"/>
        <w:jc w:val="both"/>
        <w:rPr>
          <w:rFonts w:cs="Arial"/>
        </w:rPr>
      </w:pPr>
    </w:p>
    <w:p w14:paraId="167AA9A6" w14:textId="77777777" w:rsidR="00F73F58" w:rsidRDefault="00F73F58">
      <w:pPr>
        <w:rPr>
          <w:rFonts w:cs="Arial"/>
        </w:rPr>
      </w:pPr>
    </w:p>
    <w:sectPr w:rsidR="00F73F5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F1DA" w14:textId="77777777" w:rsidR="001F28E1" w:rsidRDefault="001F28E1">
      <w:pPr>
        <w:rPr>
          <w:sz w:val="18"/>
          <w:szCs w:val="18"/>
        </w:rPr>
      </w:pPr>
      <w:r>
        <w:rPr>
          <w:sz w:val="18"/>
          <w:szCs w:val="18"/>
        </w:rPr>
        <w:separator/>
      </w:r>
    </w:p>
  </w:endnote>
  <w:endnote w:type="continuationSeparator" w:id="0">
    <w:p w14:paraId="1E7D600D" w14:textId="77777777" w:rsidR="001F28E1" w:rsidRDefault="001F28E1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A3A7" w14:textId="77777777" w:rsidR="00F73F58" w:rsidRDefault="00F73F58">
    <w:pPr>
      <w:pStyle w:val="Pidipagina"/>
      <w:tabs>
        <w:tab w:val="clear" w:pos="4536"/>
        <w:tab w:val="clear" w:pos="9072"/>
      </w:tabs>
      <w:spacing w:line="20" w:lineRule="exac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E6BC" w14:textId="77777777" w:rsidR="00F73F58" w:rsidRDefault="00F73F58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A11728" w:rsidRPr="005D094D" w14:paraId="1B9F1E65" w14:textId="77777777" w:rsidTr="003A7268">
      <w:trPr>
        <w:cantSplit/>
      </w:trPr>
      <w:tc>
        <w:tcPr>
          <w:tcW w:w="4990" w:type="dxa"/>
        </w:tcPr>
        <w:p w14:paraId="3E4DB64E" w14:textId="77777777" w:rsidR="00A11728" w:rsidRPr="004C09FC" w:rsidRDefault="00BB1A2D" w:rsidP="00A11728">
          <w:pPr>
            <w:spacing w:before="80" w:line="180" w:lineRule="exact"/>
            <w:jc w:val="right"/>
            <w:rPr>
              <w:sz w:val="16"/>
            </w:rPr>
          </w:pPr>
          <w:r w:rsidRPr="004C09FC">
            <w:rPr>
              <w:sz w:val="16"/>
            </w:rPr>
            <w:t>Südtiroler Straße 50</w:t>
          </w:r>
          <w:r w:rsidR="00A11728" w:rsidRPr="004C09FC">
            <w:rPr>
              <w:sz w:val="16"/>
            </w:rPr>
            <w:t xml:space="preserve"> </w:t>
          </w:r>
          <w:r w:rsidR="00A11728" w:rsidRPr="00162F77">
            <w:rPr>
              <w:rFonts w:ascii="Wingdings" w:hAnsi="Wingdings"/>
              <w:sz w:val="14"/>
            </w:rPr>
            <w:t></w:t>
          </w:r>
          <w:r w:rsidR="00A11728" w:rsidRPr="004C09FC">
            <w:rPr>
              <w:sz w:val="16"/>
            </w:rPr>
            <w:t xml:space="preserve"> 39100 Bozen</w:t>
          </w:r>
        </w:p>
        <w:p w14:paraId="4657997D" w14:textId="77777777" w:rsidR="00A11728" w:rsidRPr="004C09FC" w:rsidRDefault="00A11728" w:rsidP="00A11728">
          <w:pPr>
            <w:spacing w:line="180" w:lineRule="exact"/>
            <w:jc w:val="right"/>
            <w:rPr>
              <w:sz w:val="16"/>
            </w:rPr>
          </w:pPr>
          <w:r w:rsidRPr="004C09FC">
            <w:rPr>
              <w:sz w:val="16"/>
            </w:rPr>
            <w:t xml:space="preserve">Tel. 0471 41 40 </w:t>
          </w:r>
          <w:r w:rsidRPr="004C09FC">
            <w:rPr>
              <w:sz w:val="16"/>
              <w:highlight w:val="yellow"/>
            </w:rPr>
            <w:t xml:space="preserve">30 </w:t>
          </w:r>
          <w:r w:rsidRPr="004C09FC">
            <w:rPr>
              <w:sz w:val="16"/>
              <w:highlight w:val="magenta"/>
            </w:rPr>
            <w:t>10</w:t>
          </w:r>
          <w:r w:rsidRPr="004C09FC">
            <w:rPr>
              <w:sz w:val="16"/>
            </w:rPr>
            <w:t xml:space="preserve"> </w:t>
          </w:r>
          <w:r w:rsidRPr="00162F77">
            <w:rPr>
              <w:rFonts w:ascii="Wingdings" w:hAnsi="Wingdings"/>
              <w:sz w:val="14"/>
            </w:rPr>
            <w:t></w:t>
          </w:r>
          <w:r w:rsidRPr="004C09FC">
            <w:rPr>
              <w:sz w:val="16"/>
            </w:rPr>
            <w:t xml:space="preserve"> Fax 0471 41 40 09</w:t>
          </w:r>
        </w:p>
        <w:p w14:paraId="29A8315E" w14:textId="77777777" w:rsidR="000169BE" w:rsidRPr="004C09FC" w:rsidRDefault="000169BE" w:rsidP="00A11728">
          <w:pPr>
            <w:spacing w:line="180" w:lineRule="exact"/>
            <w:jc w:val="right"/>
            <w:rPr>
              <w:sz w:val="16"/>
              <w:highlight w:val="yellow"/>
            </w:rPr>
          </w:pPr>
          <w:r w:rsidRPr="004C09FC">
            <w:rPr>
              <w:sz w:val="16"/>
              <w:szCs w:val="16"/>
            </w:rPr>
            <w:t>http://aov.provinz.bz.it</w:t>
          </w:r>
          <w:r w:rsidRPr="004C09FC">
            <w:rPr>
              <w:sz w:val="16"/>
              <w:highlight w:val="yellow"/>
            </w:rPr>
            <w:t xml:space="preserve"> </w:t>
          </w:r>
        </w:p>
        <w:p w14:paraId="347ABEA3" w14:textId="77777777" w:rsidR="00A11728" w:rsidRPr="004C09FC" w:rsidRDefault="00A11728" w:rsidP="00A11728">
          <w:pPr>
            <w:spacing w:line="180" w:lineRule="exact"/>
            <w:jc w:val="right"/>
            <w:rPr>
              <w:sz w:val="16"/>
              <w:highlight w:val="yellow"/>
            </w:rPr>
          </w:pPr>
          <w:r w:rsidRPr="004C09FC">
            <w:rPr>
              <w:sz w:val="16"/>
              <w:highlight w:val="yellow"/>
            </w:rPr>
            <w:t>aov-acp.works@pec.prov.bz.it</w:t>
          </w:r>
        </w:p>
        <w:p w14:paraId="63F044BC" w14:textId="77777777" w:rsidR="00A11728" w:rsidRPr="004C09FC" w:rsidRDefault="00A11728" w:rsidP="00A11728">
          <w:pPr>
            <w:spacing w:line="180" w:lineRule="exact"/>
            <w:jc w:val="right"/>
            <w:rPr>
              <w:sz w:val="16"/>
            </w:rPr>
          </w:pPr>
          <w:r w:rsidRPr="004C09FC">
            <w:rPr>
              <w:sz w:val="16"/>
              <w:highlight w:val="yellow"/>
            </w:rPr>
            <w:t>aov.bau@provinz.bz.it</w:t>
          </w:r>
        </w:p>
        <w:p w14:paraId="1389D21E" w14:textId="77777777" w:rsidR="00A11728" w:rsidRPr="004C09FC" w:rsidRDefault="00A11728" w:rsidP="00A11728">
          <w:pPr>
            <w:spacing w:line="180" w:lineRule="exact"/>
            <w:jc w:val="right"/>
            <w:rPr>
              <w:sz w:val="16"/>
              <w:highlight w:val="magenta"/>
            </w:rPr>
          </w:pPr>
          <w:r w:rsidRPr="004C09FC">
            <w:rPr>
              <w:sz w:val="16"/>
              <w:highlight w:val="magenta"/>
            </w:rPr>
            <w:t>aov-acp.servicesupply@pec.prov.bz.it</w:t>
          </w:r>
        </w:p>
        <w:p w14:paraId="294E7901" w14:textId="77777777" w:rsidR="00A11728" w:rsidRPr="004C09FC" w:rsidRDefault="00A11728" w:rsidP="00A11728">
          <w:pPr>
            <w:spacing w:line="180" w:lineRule="exact"/>
            <w:jc w:val="right"/>
            <w:rPr>
              <w:sz w:val="16"/>
            </w:rPr>
          </w:pPr>
          <w:r w:rsidRPr="004C09FC">
            <w:rPr>
              <w:sz w:val="16"/>
              <w:highlight w:val="magenta"/>
            </w:rPr>
            <w:t>aov.dienst-lieferung@provinz.bz.it</w:t>
          </w:r>
        </w:p>
        <w:p w14:paraId="4DF0D9C9" w14:textId="77777777" w:rsidR="003125D9" w:rsidRPr="00997475" w:rsidRDefault="003125D9" w:rsidP="003125D9">
          <w:pPr>
            <w:spacing w:line="180" w:lineRule="exact"/>
            <w:jc w:val="right"/>
            <w:rPr>
              <w:sz w:val="16"/>
              <w:highlight w:val="green"/>
            </w:rPr>
          </w:pPr>
          <w:r w:rsidRPr="00997475">
            <w:rPr>
              <w:sz w:val="16"/>
              <w:highlight w:val="green"/>
            </w:rPr>
            <w:t>aov-acp.arch-ing@pec.prov.bz.it</w:t>
          </w:r>
        </w:p>
        <w:p w14:paraId="2BDFCE16" w14:textId="77777777" w:rsidR="003125D9" w:rsidRPr="00E521E7" w:rsidRDefault="003125D9" w:rsidP="003125D9">
          <w:pPr>
            <w:spacing w:line="180" w:lineRule="exact"/>
            <w:jc w:val="right"/>
            <w:rPr>
              <w:sz w:val="16"/>
            </w:rPr>
          </w:pPr>
          <w:r w:rsidRPr="00997475">
            <w:rPr>
              <w:sz w:val="16"/>
              <w:highlight w:val="green"/>
            </w:rPr>
            <w:t>aov.arch-ing@provinz.bz.it</w:t>
          </w:r>
        </w:p>
        <w:p w14:paraId="4284E65E" w14:textId="53792E8B" w:rsidR="00A11728" w:rsidRPr="00162F77" w:rsidRDefault="00A11728" w:rsidP="00A11728">
          <w:pPr>
            <w:spacing w:line="180" w:lineRule="exact"/>
            <w:jc w:val="right"/>
            <w:rPr>
              <w:sz w:val="16"/>
              <w:lang w:val="de-DE"/>
            </w:rPr>
          </w:pPr>
          <w:r w:rsidRPr="00162F77">
            <w:rPr>
              <w:sz w:val="16"/>
              <w:lang w:val="de-DE"/>
            </w:rPr>
            <w:t>Steuernr./Mwst.Nr. 94116410211</w:t>
          </w:r>
        </w:p>
      </w:tc>
      <w:tc>
        <w:tcPr>
          <w:tcW w:w="227" w:type="dxa"/>
          <w:vAlign w:val="center"/>
        </w:tcPr>
        <w:p w14:paraId="7F86772A" w14:textId="77777777" w:rsidR="00A11728" w:rsidRPr="00162F77" w:rsidRDefault="00A11728" w:rsidP="00A11728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64969059" w14:textId="77777777" w:rsidR="00A11728" w:rsidRPr="00162F77" w:rsidRDefault="00A11728" w:rsidP="00A11728">
          <w:pPr>
            <w:spacing w:before="80"/>
            <w:jc w:val="center"/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7F2C9D8A" w14:textId="77777777" w:rsidR="00A11728" w:rsidRPr="00162F77" w:rsidRDefault="00A11728" w:rsidP="00A11728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6DA4B6F5" w14:textId="77777777" w:rsidR="00A11728" w:rsidRPr="00162F77" w:rsidRDefault="00A11728" w:rsidP="00A11728">
          <w:pPr>
            <w:spacing w:before="80" w:line="180" w:lineRule="exact"/>
            <w:rPr>
              <w:sz w:val="16"/>
            </w:rPr>
          </w:pPr>
          <w:r w:rsidRPr="00162F77">
            <w:rPr>
              <w:sz w:val="16"/>
            </w:rPr>
            <w:t xml:space="preserve">via </w:t>
          </w:r>
          <w:r w:rsidR="00BB1A2D">
            <w:rPr>
              <w:sz w:val="16"/>
            </w:rPr>
            <w:t>Alto Adige 50</w:t>
          </w:r>
          <w:r w:rsidRPr="00162F77">
            <w:rPr>
              <w:sz w:val="16"/>
            </w:rPr>
            <w:t xml:space="preserve"> </w:t>
          </w:r>
          <w:r w:rsidRPr="00162F77">
            <w:rPr>
              <w:rFonts w:ascii="Wingdings" w:hAnsi="Wingdings"/>
              <w:sz w:val="14"/>
            </w:rPr>
            <w:t></w:t>
          </w:r>
          <w:r w:rsidRPr="00162F77">
            <w:rPr>
              <w:sz w:val="16"/>
            </w:rPr>
            <w:t xml:space="preserve"> 39100 Bolzano</w:t>
          </w:r>
        </w:p>
        <w:p w14:paraId="630BD0B5" w14:textId="77777777" w:rsidR="00A11728" w:rsidRPr="00162F77" w:rsidRDefault="00A11728" w:rsidP="00A11728">
          <w:pPr>
            <w:spacing w:line="180" w:lineRule="exact"/>
            <w:rPr>
              <w:sz w:val="16"/>
            </w:rPr>
          </w:pPr>
          <w:r w:rsidRPr="00162F77">
            <w:rPr>
              <w:sz w:val="16"/>
            </w:rPr>
            <w:t xml:space="preserve">Tel. 0471 41 40 </w:t>
          </w:r>
          <w:r w:rsidRPr="00162F77">
            <w:rPr>
              <w:sz w:val="16"/>
              <w:highlight w:val="yellow"/>
            </w:rPr>
            <w:t>30</w:t>
          </w:r>
          <w:r>
            <w:rPr>
              <w:sz w:val="16"/>
            </w:rPr>
            <w:t xml:space="preserve"> </w:t>
          </w:r>
          <w:r w:rsidRPr="00162F77">
            <w:rPr>
              <w:sz w:val="16"/>
              <w:highlight w:val="magenta"/>
            </w:rPr>
            <w:t>10</w:t>
          </w:r>
          <w:r w:rsidRPr="00162F77">
            <w:rPr>
              <w:sz w:val="16"/>
            </w:rPr>
            <w:t xml:space="preserve"> </w:t>
          </w:r>
          <w:r w:rsidRPr="00162F77">
            <w:rPr>
              <w:rFonts w:ascii="Wingdings" w:hAnsi="Wingdings"/>
              <w:sz w:val="14"/>
            </w:rPr>
            <w:t></w:t>
          </w:r>
          <w:r w:rsidRPr="00162F77">
            <w:rPr>
              <w:sz w:val="16"/>
            </w:rPr>
            <w:t xml:space="preserve"> Fax 0471 41 40 09</w:t>
          </w:r>
        </w:p>
        <w:p w14:paraId="5752ABC2" w14:textId="77777777" w:rsidR="000169BE" w:rsidRPr="002371BA" w:rsidRDefault="00AA65FB" w:rsidP="000169BE">
          <w:pPr>
            <w:rPr>
              <w:sz w:val="16"/>
            </w:rPr>
          </w:pPr>
          <w:hyperlink r:id="rId1" w:history="1">
            <w:r w:rsidR="000169BE" w:rsidRPr="002371BA">
              <w:rPr>
                <w:sz w:val="16"/>
              </w:rPr>
              <w:t>http://acp.provincia.bz.it</w:t>
            </w:r>
          </w:hyperlink>
        </w:p>
        <w:p w14:paraId="199422EC" w14:textId="77777777" w:rsidR="00A11728" w:rsidRPr="00E211EF" w:rsidRDefault="00A11728" w:rsidP="00A11728">
          <w:pPr>
            <w:spacing w:line="180" w:lineRule="exact"/>
            <w:rPr>
              <w:sz w:val="16"/>
              <w:szCs w:val="16"/>
              <w:highlight w:val="yellow"/>
            </w:rPr>
          </w:pPr>
          <w:r w:rsidRPr="00E211EF">
            <w:rPr>
              <w:sz w:val="16"/>
              <w:szCs w:val="16"/>
              <w:highlight w:val="yellow"/>
            </w:rPr>
            <w:t>aov-acp.works@pec.prov.bz.it</w:t>
          </w:r>
        </w:p>
        <w:p w14:paraId="630C6B5C" w14:textId="77777777" w:rsidR="00A11728" w:rsidRPr="00E211EF" w:rsidRDefault="00A11728" w:rsidP="00A11728">
          <w:pPr>
            <w:spacing w:line="180" w:lineRule="exact"/>
            <w:rPr>
              <w:sz w:val="16"/>
              <w:szCs w:val="16"/>
            </w:rPr>
          </w:pPr>
          <w:r w:rsidRPr="00E211EF">
            <w:rPr>
              <w:sz w:val="16"/>
              <w:szCs w:val="16"/>
              <w:highlight w:val="yellow"/>
            </w:rPr>
            <w:t>acp.lav@@provincia.bz.it</w:t>
          </w:r>
        </w:p>
        <w:p w14:paraId="6E7F8807" w14:textId="77777777" w:rsidR="00A11728" w:rsidRPr="00162F77" w:rsidRDefault="00A11728" w:rsidP="00A11728">
          <w:pPr>
            <w:spacing w:line="180" w:lineRule="exact"/>
            <w:rPr>
              <w:sz w:val="16"/>
              <w:highlight w:val="magenta"/>
            </w:rPr>
          </w:pPr>
          <w:r w:rsidRPr="00162F77">
            <w:rPr>
              <w:sz w:val="16"/>
              <w:highlight w:val="magenta"/>
            </w:rPr>
            <w:t>aov-acp.servicesupply@pec.prov.bz.it</w:t>
          </w:r>
        </w:p>
        <w:p w14:paraId="2D926C0E" w14:textId="77777777" w:rsidR="00A11728" w:rsidRPr="00162F77" w:rsidRDefault="00A11728" w:rsidP="00A11728">
          <w:pPr>
            <w:spacing w:line="180" w:lineRule="exact"/>
            <w:rPr>
              <w:sz w:val="16"/>
            </w:rPr>
          </w:pPr>
          <w:r w:rsidRPr="00162F77">
            <w:rPr>
              <w:sz w:val="16"/>
              <w:highlight w:val="magenta"/>
            </w:rPr>
            <w:t>acp.serv-forniture@provincia.bz.it</w:t>
          </w:r>
        </w:p>
        <w:p w14:paraId="4C1B7AC7" w14:textId="77777777" w:rsidR="003125D9" w:rsidRPr="00997475" w:rsidRDefault="003125D9" w:rsidP="003125D9">
          <w:pPr>
            <w:spacing w:line="180" w:lineRule="exact"/>
            <w:rPr>
              <w:sz w:val="16"/>
              <w:highlight w:val="green"/>
            </w:rPr>
          </w:pPr>
          <w:r w:rsidRPr="00997475">
            <w:rPr>
              <w:sz w:val="16"/>
              <w:highlight w:val="green"/>
            </w:rPr>
            <w:t>aov-acp.arch-ing@pec.prov.bz.it</w:t>
          </w:r>
        </w:p>
        <w:p w14:paraId="554210A3" w14:textId="77777777" w:rsidR="003125D9" w:rsidRPr="00845B6A" w:rsidRDefault="003125D9" w:rsidP="003125D9">
          <w:pPr>
            <w:spacing w:line="180" w:lineRule="exact"/>
            <w:rPr>
              <w:sz w:val="16"/>
            </w:rPr>
          </w:pPr>
          <w:r w:rsidRPr="00997475">
            <w:rPr>
              <w:sz w:val="16"/>
              <w:highlight w:val="green"/>
            </w:rPr>
            <w:t>acp.arch-ing@provincia.bz.it</w:t>
          </w:r>
        </w:p>
        <w:p w14:paraId="65482422" w14:textId="492E09F3" w:rsidR="00A11728" w:rsidRPr="00162F77" w:rsidRDefault="00A11728" w:rsidP="00A11728">
          <w:pPr>
            <w:spacing w:line="180" w:lineRule="exact"/>
            <w:rPr>
              <w:sz w:val="16"/>
            </w:rPr>
          </w:pPr>
          <w:r w:rsidRPr="00162F77">
            <w:rPr>
              <w:sz w:val="16"/>
            </w:rPr>
            <w:t>Codice fiscale/Partita Iva 94116410211</w:t>
          </w:r>
        </w:p>
      </w:tc>
    </w:tr>
  </w:tbl>
  <w:p w14:paraId="425DCDB3" w14:textId="77777777" w:rsidR="00F73F58" w:rsidRDefault="00F73F5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C5DF" w14:textId="77777777" w:rsidR="001F28E1" w:rsidRDefault="001F28E1">
      <w:pPr>
        <w:rPr>
          <w:sz w:val="18"/>
          <w:szCs w:val="18"/>
        </w:rPr>
      </w:pPr>
      <w:r>
        <w:rPr>
          <w:sz w:val="18"/>
          <w:szCs w:val="18"/>
        </w:rPr>
        <w:separator/>
      </w:r>
    </w:p>
  </w:footnote>
  <w:footnote w:type="continuationSeparator" w:id="0">
    <w:p w14:paraId="0BCFDAA8" w14:textId="77777777" w:rsidR="001F28E1" w:rsidRDefault="001F28E1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F73F58" w14:paraId="629EE966" w14:textId="77777777">
      <w:trPr>
        <w:cantSplit/>
        <w:trHeight w:hRule="exact" w:val="460"/>
      </w:trPr>
      <w:tc>
        <w:tcPr>
          <w:tcW w:w="5245" w:type="dxa"/>
        </w:tcPr>
        <w:p w14:paraId="29C125C9" w14:textId="77777777" w:rsidR="00F73F58" w:rsidRPr="00A11728" w:rsidRDefault="00F73F58">
          <w:pPr>
            <w:spacing w:before="220" w:after="60"/>
            <w:jc w:val="right"/>
            <w:rPr>
              <w:spacing w:val="2"/>
              <w:sz w:val="13"/>
              <w:szCs w:val="13"/>
            </w:rPr>
          </w:pPr>
          <w:r w:rsidRPr="00A11728">
            <w:rPr>
              <w:spacing w:val="2"/>
              <w:sz w:val="13"/>
              <w:szCs w:val="13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71D34B36" w14:textId="3064ACEA" w:rsidR="00F73F58" w:rsidRPr="00A11728" w:rsidRDefault="00B80672">
          <w:pPr>
            <w:jc w:val="center"/>
            <w:rPr>
              <w:sz w:val="13"/>
              <w:szCs w:val="13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C35CFE2" wp14:editId="5E4FA473">
                <wp:extent cx="285750" cy="37147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51F9437D" w14:textId="77777777" w:rsidR="00F73F58" w:rsidRPr="00A11728" w:rsidRDefault="00F73F58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3"/>
              <w:szCs w:val="13"/>
            </w:rPr>
          </w:pPr>
          <w:r w:rsidRPr="00A11728">
            <w:rPr>
              <w:spacing w:val="-2"/>
              <w:sz w:val="13"/>
              <w:szCs w:val="13"/>
            </w:rPr>
            <w:t>PROVINCIA AUTONOMA DI BOLZANO - ALTO ADIGE</w:t>
          </w:r>
        </w:p>
      </w:tc>
    </w:tr>
    <w:tr w:rsidR="00F73F58" w14:paraId="4140F6ED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056CE9D7" w14:textId="77777777" w:rsidR="00F73F58" w:rsidRDefault="00F73F58">
          <w:pPr>
            <w:spacing w:before="80" w:line="180" w:lineRule="exact"/>
            <w:jc w:val="right"/>
            <w:rPr>
              <w:color w:val="FF0000"/>
              <w:sz w:val="14"/>
              <w:szCs w:val="14"/>
            </w:rPr>
          </w:pPr>
        </w:p>
      </w:tc>
      <w:tc>
        <w:tcPr>
          <w:tcW w:w="851" w:type="dxa"/>
          <w:vMerge/>
        </w:tcPr>
        <w:p w14:paraId="3E539347" w14:textId="77777777" w:rsidR="00F73F58" w:rsidRDefault="00F73F58">
          <w:pPr>
            <w:spacing w:line="180" w:lineRule="exact"/>
            <w:jc w:val="center"/>
            <w:rPr>
              <w:color w:val="FF0000"/>
              <w:sz w:val="14"/>
              <w:szCs w:val="14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2745F126" w14:textId="77777777" w:rsidR="00F73F58" w:rsidRPr="00A11728" w:rsidRDefault="00F73F58">
          <w:pPr>
            <w:spacing w:before="80" w:line="180" w:lineRule="exact"/>
            <w:ind w:right="856"/>
            <w:jc w:val="right"/>
            <w:rPr>
              <w:sz w:val="14"/>
              <w:szCs w:val="14"/>
            </w:rPr>
          </w:pPr>
          <w:r w:rsidRPr="00A11728">
            <w:rPr>
              <w:rStyle w:val="Numeropagina"/>
              <w:sz w:val="14"/>
              <w:szCs w:val="14"/>
            </w:rPr>
            <w:t>Seite /</w:t>
          </w:r>
          <w:r w:rsidRPr="00A11728">
            <w:rPr>
              <w:sz w:val="14"/>
              <w:szCs w:val="14"/>
            </w:rPr>
            <w:t xml:space="preserve"> </w:t>
          </w:r>
          <w:r w:rsidRPr="00A11728">
            <w:rPr>
              <w:rStyle w:val="Numeropagina"/>
              <w:sz w:val="14"/>
              <w:szCs w:val="14"/>
            </w:rPr>
            <w:t xml:space="preserve">Pag. </w:t>
          </w:r>
          <w:r w:rsidRPr="00A11728">
            <w:rPr>
              <w:rStyle w:val="Numeropagina"/>
              <w:sz w:val="14"/>
              <w:szCs w:val="14"/>
            </w:rPr>
            <w:fldChar w:fldCharType="begin"/>
          </w:r>
          <w:r w:rsidRPr="00A11728">
            <w:rPr>
              <w:rStyle w:val="Numeropagina"/>
              <w:sz w:val="14"/>
              <w:szCs w:val="14"/>
            </w:rPr>
            <w:instrText xml:space="preserve"> PAGE </w:instrText>
          </w:r>
          <w:r w:rsidRPr="00A11728">
            <w:rPr>
              <w:rStyle w:val="Numeropagina"/>
              <w:sz w:val="14"/>
              <w:szCs w:val="14"/>
            </w:rPr>
            <w:fldChar w:fldCharType="separate"/>
          </w:r>
          <w:r w:rsidR="009556A3">
            <w:rPr>
              <w:rStyle w:val="Numeropagina"/>
              <w:noProof/>
              <w:sz w:val="14"/>
              <w:szCs w:val="14"/>
            </w:rPr>
            <w:t>4</w:t>
          </w:r>
          <w:r w:rsidRPr="00A11728">
            <w:rPr>
              <w:rStyle w:val="Numeropagina"/>
              <w:sz w:val="14"/>
              <w:szCs w:val="14"/>
            </w:rPr>
            <w:fldChar w:fldCharType="end"/>
          </w:r>
        </w:p>
      </w:tc>
    </w:tr>
  </w:tbl>
  <w:p w14:paraId="744DBDCF" w14:textId="77777777" w:rsidR="00F73F58" w:rsidRDefault="00F73F58">
    <w:pPr>
      <w:pStyle w:val="Intestazione"/>
      <w:tabs>
        <w:tab w:val="clear" w:pos="4536"/>
        <w:tab w:val="clear" w:pos="9072"/>
      </w:tabs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207288" w:rsidRPr="00D94B89" w14:paraId="663DCE13" w14:textId="77777777" w:rsidTr="003A7268">
      <w:trPr>
        <w:cantSplit/>
        <w:trHeight w:hRule="exact" w:val="460"/>
      </w:trPr>
      <w:tc>
        <w:tcPr>
          <w:tcW w:w="4990" w:type="dxa"/>
          <w:tcBorders>
            <w:bottom w:val="single" w:sz="4" w:space="0" w:color="auto"/>
          </w:tcBorders>
        </w:tcPr>
        <w:p w14:paraId="6463BFC0" w14:textId="77777777" w:rsidR="00207288" w:rsidRPr="006545EC" w:rsidRDefault="00207288" w:rsidP="00207288">
          <w:pPr>
            <w:pStyle w:val="NameNachname"/>
            <w:spacing w:before="200" w:after="40" w:line="240" w:lineRule="auto"/>
            <w:rPr>
              <w:spacing w:val="2"/>
            </w:rPr>
          </w:pPr>
          <w:r w:rsidRPr="006545EC"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  <w:tcBorders>
            <w:bottom w:val="single" w:sz="4" w:space="0" w:color="auto"/>
          </w:tcBorders>
        </w:tcPr>
        <w:p w14:paraId="61C00B0E" w14:textId="33712590" w:rsidR="00207288" w:rsidRPr="006545EC" w:rsidRDefault="00B80672" w:rsidP="00207288">
          <w:pPr>
            <w:jc w:val="center"/>
          </w:pPr>
          <w:r>
            <w:rPr>
              <w:noProof/>
            </w:rPr>
            <w:drawing>
              <wp:inline distT="0" distB="0" distL="0" distR="0" wp14:anchorId="37751726" wp14:editId="7185C205">
                <wp:extent cx="571500" cy="742950"/>
                <wp:effectExtent l="0" t="0" r="0" b="0"/>
                <wp:docPr id="2" name="Grafik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tcBorders>
            <w:bottom w:val="single" w:sz="4" w:space="0" w:color="auto"/>
          </w:tcBorders>
        </w:tcPr>
        <w:p w14:paraId="1F74FDEA" w14:textId="77777777" w:rsidR="00207288" w:rsidRPr="006545EC" w:rsidRDefault="00207288" w:rsidP="00207288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</w:rPr>
          </w:pPr>
          <w:r w:rsidRPr="006545EC">
            <w:rPr>
              <w:spacing w:val="-2"/>
            </w:rPr>
            <w:t>PROVINCIA AUTONOMA DI BOLZANO - ALTO ADIGE</w:t>
          </w:r>
        </w:p>
      </w:tc>
    </w:tr>
    <w:tr w:rsidR="00207288" w:rsidRPr="00D94B89" w14:paraId="624FCBC3" w14:textId="77777777" w:rsidTr="003A7268">
      <w:trPr>
        <w:cantSplit/>
        <w:trHeight w:hRule="exact" w:val="1532"/>
      </w:trPr>
      <w:tc>
        <w:tcPr>
          <w:tcW w:w="4990" w:type="dxa"/>
          <w:tcBorders>
            <w:top w:val="single" w:sz="4" w:space="0" w:color="auto"/>
          </w:tcBorders>
        </w:tcPr>
        <w:p w14:paraId="6C17A776" w14:textId="30271D2F" w:rsidR="00207288" w:rsidRPr="006545EC" w:rsidRDefault="00207288" w:rsidP="00207288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6545EC">
            <w:rPr>
              <w:b/>
              <w:sz w:val="18"/>
              <w:lang w:val="de-DE"/>
            </w:rPr>
            <w:t xml:space="preserve">Agentur für öffentliche </w:t>
          </w:r>
          <w:r w:rsidR="00AE2ACA">
            <w:rPr>
              <w:b/>
              <w:sz w:val="18"/>
              <w:lang w:val="de-DE"/>
            </w:rPr>
            <w:t>Verträge - AOV</w:t>
          </w:r>
        </w:p>
        <w:p w14:paraId="62803DAB" w14:textId="77777777" w:rsidR="00207288" w:rsidRPr="00E211EF" w:rsidRDefault="00207288" w:rsidP="00207288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E211EF">
            <w:rPr>
              <w:bCs/>
              <w:sz w:val="18"/>
              <w:highlight w:val="yellow"/>
              <w:lang w:val="de-DE"/>
            </w:rPr>
            <w:t>EVS A</w:t>
          </w:r>
          <w:r w:rsidRPr="006545EC">
            <w:rPr>
              <w:bCs/>
              <w:sz w:val="18"/>
              <w:highlight w:val="yellow"/>
              <w:lang w:val="de-DE"/>
            </w:rPr>
            <w:t xml:space="preserve"> </w:t>
          </w:r>
          <w:r w:rsidRPr="00E211EF">
            <w:rPr>
              <w:bCs/>
              <w:sz w:val="18"/>
              <w:highlight w:val="yellow"/>
              <w:lang w:val="de-DE"/>
            </w:rPr>
            <w:t>- Einheitliche Vergabestelle Bauaufträge</w:t>
          </w:r>
        </w:p>
        <w:p w14:paraId="6CCAC739" w14:textId="5E239DC6" w:rsidR="00207288" w:rsidRDefault="00207288" w:rsidP="00207288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6545EC">
            <w:rPr>
              <w:sz w:val="18"/>
              <w:highlight w:val="magenta"/>
              <w:lang w:val="de-DE"/>
            </w:rPr>
            <w:t>EVS DL - Einheitliche Vergabestelle Dienstleistungen und Lieferungen</w:t>
          </w:r>
        </w:p>
        <w:p w14:paraId="365D4766" w14:textId="77777777" w:rsidR="00AE2ACA" w:rsidRDefault="00AE2ACA" w:rsidP="00AE2ACA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7A0BCF">
            <w:rPr>
              <w:sz w:val="18"/>
              <w:highlight w:val="green"/>
              <w:lang w:val="de-DE"/>
            </w:rPr>
            <w:t>EVS AI - Einheitliche Vergabestelle Architektur- und Ingenieurwesen</w:t>
          </w:r>
        </w:p>
        <w:p w14:paraId="1768966A" w14:textId="77777777" w:rsidR="00AE2ACA" w:rsidRDefault="00AE2ACA" w:rsidP="00207288">
          <w:pPr>
            <w:spacing w:before="70" w:line="200" w:lineRule="exact"/>
            <w:jc w:val="right"/>
            <w:rPr>
              <w:sz w:val="18"/>
              <w:lang w:val="de-DE"/>
            </w:rPr>
          </w:pPr>
        </w:p>
        <w:p w14:paraId="18DBB4AE" w14:textId="3FAF2A8A" w:rsidR="00AE2ACA" w:rsidRDefault="00AE2ACA" w:rsidP="00207288">
          <w:pPr>
            <w:spacing w:before="70" w:line="200" w:lineRule="exact"/>
            <w:jc w:val="right"/>
            <w:rPr>
              <w:sz w:val="18"/>
              <w:lang w:val="de-DE"/>
            </w:rPr>
          </w:pPr>
        </w:p>
        <w:p w14:paraId="3DFFB3DE" w14:textId="77777777" w:rsidR="00AE2ACA" w:rsidRPr="006545EC" w:rsidRDefault="00AE2ACA" w:rsidP="00207288">
          <w:pPr>
            <w:spacing w:before="70" w:line="200" w:lineRule="exact"/>
            <w:jc w:val="right"/>
            <w:rPr>
              <w:sz w:val="18"/>
              <w:lang w:val="de-DE"/>
            </w:rPr>
          </w:pPr>
        </w:p>
        <w:p w14:paraId="3A49CA72" w14:textId="77777777" w:rsidR="00207288" w:rsidRPr="006545EC" w:rsidRDefault="00207288" w:rsidP="00207288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  <w:tcBorders>
            <w:top w:val="single" w:sz="4" w:space="0" w:color="auto"/>
          </w:tcBorders>
        </w:tcPr>
        <w:p w14:paraId="3BE85141" w14:textId="77777777" w:rsidR="00207288" w:rsidRPr="006545EC" w:rsidRDefault="00207288" w:rsidP="00207288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4" w:space="0" w:color="auto"/>
          </w:tcBorders>
        </w:tcPr>
        <w:p w14:paraId="5B316A43" w14:textId="07CE5066" w:rsidR="00AE2ACA" w:rsidRDefault="00207288" w:rsidP="00AE2ACA">
          <w:pPr>
            <w:spacing w:before="70" w:line="200" w:lineRule="exact"/>
            <w:rPr>
              <w:b/>
              <w:sz w:val="18"/>
            </w:rPr>
          </w:pPr>
          <w:r w:rsidRPr="006545EC">
            <w:rPr>
              <w:b/>
              <w:sz w:val="18"/>
            </w:rPr>
            <w:t xml:space="preserve">Agenzia per i contratti pubblici </w:t>
          </w:r>
          <w:r w:rsidR="00AE2ACA">
            <w:rPr>
              <w:b/>
              <w:sz w:val="18"/>
            </w:rPr>
            <w:t>– ACP</w:t>
          </w:r>
        </w:p>
        <w:p w14:paraId="47B855E9" w14:textId="74256F72" w:rsidR="00207288" w:rsidRPr="006545EC" w:rsidRDefault="00207288" w:rsidP="00AE2ACA">
          <w:pPr>
            <w:spacing w:before="70" w:line="200" w:lineRule="exact"/>
            <w:rPr>
              <w:sz w:val="18"/>
            </w:rPr>
          </w:pPr>
          <w:r w:rsidRPr="00E211EF">
            <w:rPr>
              <w:bCs/>
              <w:sz w:val="18"/>
              <w:highlight w:val="yellow"/>
            </w:rPr>
            <w:t>SUA L</w:t>
          </w:r>
          <w:r w:rsidRPr="006545EC">
            <w:rPr>
              <w:bCs/>
              <w:sz w:val="18"/>
              <w:highlight w:val="yellow"/>
            </w:rPr>
            <w:t xml:space="preserve"> </w:t>
          </w:r>
          <w:r w:rsidRPr="00E211EF">
            <w:rPr>
              <w:bCs/>
              <w:sz w:val="18"/>
              <w:highlight w:val="yellow"/>
            </w:rPr>
            <w:t>- Stazione Unica Appaltante Lavori</w:t>
          </w:r>
        </w:p>
        <w:p w14:paraId="3CA11C03" w14:textId="77777777" w:rsidR="00207288" w:rsidRDefault="00207288" w:rsidP="00207288">
          <w:pPr>
            <w:spacing w:before="60" w:line="200" w:lineRule="exact"/>
            <w:rPr>
              <w:sz w:val="18"/>
            </w:rPr>
          </w:pPr>
          <w:r w:rsidRPr="006545EC">
            <w:rPr>
              <w:sz w:val="18"/>
              <w:highlight w:val="magenta"/>
            </w:rPr>
            <w:t>SUA SF - Stazione Unica Appaltante Servizi e Forniture</w:t>
          </w:r>
        </w:p>
        <w:p w14:paraId="56EB65FB" w14:textId="77777777" w:rsidR="00AE2ACA" w:rsidRPr="007A0BCF" w:rsidRDefault="00AE2ACA" w:rsidP="00AE2ACA">
          <w:pPr>
            <w:spacing w:before="60" w:line="200" w:lineRule="exact"/>
            <w:rPr>
              <w:color w:val="FF0000"/>
              <w:sz w:val="18"/>
              <w:highlight w:val="green"/>
            </w:rPr>
          </w:pPr>
          <w:r w:rsidRPr="007A0BCF">
            <w:rPr>
              <w:color w:val="FF0000"/>
              <w:sz w:val="18"/>
              <w:highlight w:val="green"/>
            </w:rPr>
            <w:t>SUA SAI - Stazione Unica Appaltante Servizi di architettura e ingegneria</w:t>
          </w:r>
        </w:p>
        <w:p w14:paraId="05C499E0" w14:textId="10EF050A" w:rsidR="00AE2ACA" w:rsidRPr="006545EC" w:rsidRDefault="00AE2ACA" w:rsidP="00207288">
          <w:pPr>
            <w:spacing w:before="60" w:line="200" w:lineRule="exact"/>
            <w:rPr>
              <w:b/>
              <w:sz w:val="18"/>
            </w:rPr>
          </w:pPr>
        </w:p>
      </w:tc>
    </w:tr>
  </w:tbl>
  <w:p w14:paraId="2A48EA2F" w14:textId="77777777" w:rsidR="00F73F58" w:rsidRDefault="00F73F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0009"/>
    <w:multiLevelType w:val="hybridMultilevel"/>
    <w:tmpl w:val="32AEB402"/>
    <w:lvl w:ilvl="0" w:tplc="8304B3B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64B7A"/>
    <w:multiLevelType w:val="hybridMultilevel"/>
    <w:tmpl w:val="8AA6694E"/>
    <w:lvl w:ilvl="0" w:tplc="8AC8A68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4220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701916"/>
    <w:multiLevelType w:val="hybridMultilevel"/>
    <w:tmpl w:val="42F07372"/>
    <w:lvl w:ilvl="0" w:tplc="6D280CA8">
      <w:start w:val="1"/>
      <w:numFmt w:val="upperLetter"/>
      <w:lvlText w:val="%1."/>
      <w:lvlJc w:val="left"/>
      <w:pPr>
        <w:tabs>
          <w:tab w:val="num" w:pos="1413"/>
        </w:tabs>
        <w:ind w:left="57" w:hanging="57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D2214"/>
    <w:multiLevelType w:val="hybridMultilevel"/>
    <w:tmpl w:val="0C9AE14A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729C1"/>
    <w:multiLevelType w:val="hybridMultilevel"/>
    <w:tmpl w:val="3692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1C4"/>
    <w:multiLevelType w:val="hybridMultilevel"/>
    <w:tmpl w:val="FBB64106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E309ED"/>
    <w:multiLevelType w:val="hybridMultilevel"/>
    <w:tmpl w:val="FEF0093A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B47648"/>
    <w:multiLevelType w:val="hybridMultilevel"/>
    <w:tmpl w:val="E1B8F0C8"/>
    <w:lvl w:ilvl="0" w:tplc="DBEC7DD6">
      <w:start w:val="1"/>
      <w:numFmt w:val="upperLetter"/>
      <w:lvlText w:val="%1."/>
      <w:lvlJc w:val="left"/>
      <w:pPr>
        <w:tabs>
          <w:tab w:val="num" w:pos="1413"/>
        </w:tabs>
        <w:ind w:left="57" w:hanging="57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F97C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4BA6572"/>
    <w:multiLevelType w:val="hybridMultilevel"/>
    <w:tmpl w:val="239EE4CC"/>
    <w:lvl w:ilvl="0" w:tplc="C1045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FD6DCA"/>
    <w:multiLevelType w:val="hybridMultilevel"/>
    <w:tmpl w:val="47505702"/>
    <w:lvl w:ilvl="0" w:tplc="CD28F0B8">
      <w:start w:val="1"/>
      <w:numFmt w:val="decimal"/>
      <w:lvlText w:val="%1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1E483D"/>
    <w:multiLevelType w:val="hybridMultilevel"/>
    <w:tmpl w:val="13142B2E"/>
    <w:lvl w:ilvl="0" w:tplc="6A98B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8B2E57"/>
    <w:multiLevelType w:val="hybridMultilevel"/>
    <w:tmpl w:val="59F80CE4"/>
    <w:lvl w:ilvl="0" w:tplc="050E2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AC8A68A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942441"/>
    <w:multiLevelType w:val="hybridMultilevel"/>
    <w:tmpl w:val="6FF217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C8A68A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910DA"/>
    <w:multiLevelType w:val="hybridMultilevel"/>
    <w:tmpl w:val="79820A38"/>
    <w:lvl w:ilvl="0" w:tplc="C1045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1E3C1F"/>
    <w:multiLevelType w:val="hybridMultilevel"/>
    <w:tmpl w:val="411C51A2"/>
    <w:lvl w:ilvl="0" w:tplc="D89EADB8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F601E"/>
    <w:multiLevelType w:val="hybridMultilevel"/>
    <w:tmpl w:val="3BA0D80E"/>
    <w:lvl w:ilvl="0" w:tplc="9DEE312A">
      <w:start w:val="1"/>
      <w:numFmt w:val="bullet"/>
      <w:lvlText w:val="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366364">
    <w:abstractNumId w:val="9"/>
  </w:num>
  <w:num w:numId="2" w16cid:durableId="1773939389">
    <w:abstractNumId w:val="2"/>
  </w:num>
  <w:num w:numId="3" w16cid:durableId="884945482">
    <w:abstractNumId w:val="0"/>
  </w:num>
  <w:num w:numId="4" w16cid:durableId="2143308500">
    <w:abstractNumId w:val="16"/>
  </w:num>
  <w:num w:numId="5" w16cid:durableId="166553780">
    <w:abstractNumId w:val="3"/>
  </w:num>
  <w:num w:numId="6" w16cid:durableId="1013069886">
    <w:abstractNumId w:val="17"/>
  </w:num>
  <w:num w:numId="7" w16cid:durableId="1994485834">
    <w:abstractNumId w:val="12"/>
  </w:num>
  <w:num w:numId="8" w16cid:durableId="1271817250">
    <w:abstractNumId w:val="8"/>
  </w:num>
  <w:num w:numId="9" w16cid:durableId="1089497770">
    <w:abstractNumId w:val="5"/>
  </w:num>
  <w:num w:numId="10" w16cid:durableId="1056664514">
    <w:abstractNumId w:val="13"/>
  </w:num>
  <w:num w:numId="11" w16cid:durableId="904411480">
    <w:abstractNumId w:val="1"/>
  </w:num>
  <w:num w:numId="12" w16cid:durableId="329452249">
    <w:abstractNumId w:val="15"/>
  </w:num>
  <w:num w:numId="13" w16cid:durableId="774059109">
    <w:abstractNumId w:val="10"/>
  </w:num>
  <w:num w:numId="14" w16cid:durableId="1744791563">
    <w:abstractNumId w:val="6"/>
  </w:num>
  <w:num w:numId="15" w16cid:durableId="1545629628">
    <w:abstractNumId w:val="11"/>
  </w:num>
  <w:num w:numId="16" w16cid:durableId="272130032">
    <w:abstractNumId w:val="7"/>
  </w:num>
  <w:num w:numId="17" w16cid:durableId="1074619870">
    <w:abstractNumId w:val="4"/>
  </w:num>
  <w:num w:numId="18" w16cid:durableId="2035185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72"/>
    <w:rsid w:val="0000644E"/>
    <w:rsid w:val="00013A7A"/>
    <w:rsid w:val="000169BE"/>
    <w:rsid w:val="00036722"/>
    <w:rsid w:val="00053136"/>
    <w:rsid w:val="00083483"/>
    <w:rsid w:val="00086B77"/>
    <w:rsid w:val="0009509B"/>
    <w:rsid w:val="000C1EC2"/>
    <w:rsid w:val="000F38B6"/>
    <w:rsid w:val="00115058"/>
    <w:rsid w:val="0012521C"/>
    <w:rsid w:val="00130D16"/>
    <w:rsid w:val="00141DE5"/>
    <w:rsid w:val="0015724B"/>
    <w:rsid w:val="00166227"/>
    <w:rsid w:val="001826E9"/>
    <w:rsid w:val="00182E3E"/>
    <w:rsid w:val="0018334D"/>
    <w:rsid w:val="00191311"/>
    <w:rsid w:val="00193F39"/>
    <w:rsid w:val="00195AD6"/>
    <w:rsid w:val="001A0190"/>
    <w:rsid w:val="001B7D38"/>
    <w:rsid w:val="001C32C1"/>
    <w:rsid w:val="001D37A7"/>
    <w:rsid w:val="001F28E1"/>
    <w:rsid w:val="001F6B83"/>
    <w:rsid w:val="00207288"/>
    <w:rsid w:val="00245E08"/>
    <w:rsid w:val="0024655B"/>
    <w:rsid w:val="00251F69"/>
    <w:rsid w:val="00257578"/>
    <w:rsid w:val="00261DFA"/>
    <w:rsid w:val="00267DF9"/>
    <w:rsid w:val="00297BA1"/>
    <w:rsid w:val="002B1EC1"/>
    <w:rsid w:val="002B7549"/>
    <w:rsid w:val="002C5E68"/>
    <w:rsid w:val="002D3515"/>
    <w:rsid w:val="002D67BF"/>
    <w:rsid w:val="003125D9"/>
    <w:rsid w:val="0031443F"/>
    <w:rsid w:val="00320D54"/>
    <w:rsid w:val="0032458F"/>
    <w:rsid w:val="00326EA1"/>
    <w:rsid w:val="0034433C"/>
    <w:rsid w:val="00345CFD"/>
    <w:rsid w:val="00351CF8"/>
    <w:rsid w:val="00383182"/>
    <w:rsid w:val="003A474A"/>
    <w:rsid w:val="003A7268"/>
    <w:rsid w:val="003C023F"/>
    <w:rsid w:val="004045B2"/>
    <w:rsid w:val="00407BF7"/>
    <w:rsid w:val="00410AB5"/>
    <w:rsid w:val="00424AA4"/>
    <w:rsid w:val="0044739F"/>
    <w:rsid w:val="00456888"/>
    <w:rsid w:val="0046108F"/>
    <w:rsid w:val="00485315"/>
    <w:rsid w:val="004C09FC"/>
    <w:rsid w:val="004C5797"/>
    <w:rsid w:val="004C60D0"/>
    <w:rsid w:val="004C7DFC"/>
    <w:rsid w:val="004F2B35"/>
    <w:rsid w:val="00500AC0"/>
    <w:rsid w:val="00531B4A"/>
    <w:rsid w:val="00547ACA"/>
    <w:rsid w:val="0056370E"/>
    <w:rsid w:val="00577802"/>
    <w:rsid w:val="005B011B"/>
    <w:rsid w:val="005C2F1C"/>
    <w:rsid w:val="005D33FF"/>
    <w:rsid w:val="006067B9"/>
    <w:rsid w:val="00633592"/>
    <w:rsid w:val="00664E80"/>
    <w:rsid w:val="00681D34"/>
    <w:rsid w:val="006A0870"/>
    <w:rsid w:val="006A6A11"/>
    <w:rsid w:val="006B4468"/>
    <w:rsid w:val="006C3BC4"/>
    <w:rsid w:val="00702B9D"/>
    <w:rsid w:val="00705D76"/>
    <w:rsid w:val="00707373"/>
    <w:rsid w:val="0071087E"/>
    <w:rsid w:val="007172EE"/>
    <w:rsid w:val="007211F0"/>
    <w:rsid w:val="007240D3"/>
    <w:rsid w:val="007304F7"/>
    <w:rsid w:val="00731754"/>
    <w:rsid w:val="00731A29"/>
    <w:rsid w:val="007B586B"/>
    <w:rsid w:val="007D4629"/>
    <w:rsid w:val="007F2057"/>
    <w:rsid w:val="007F44A3"/>
    <w:rsid w:val="008162F1"/>
    <w:rsid w:val="00822044"/>
    <w:rsid w:val="00824BBE"/>
    <w:rsid w:val="00846E5A"/>
    <w:rsid w:val="008571E1"/>
    <w:rsid w:val="008713E8"/>
    <w:rsid w:val="00882A7F"/>
    <w:rsid w:val="00882E65"/>
    <w:rsid w:val="00891B3F"/>
    <w:rsid w:val="0092279A"/>
    <w:rsid w:val="009301BD"/>
    <w:rsid w:val="00932EE1"/>
    <w:rsid w:val="00954441"/>
    <w:rsid w:val="009556A3"/>
    <w:rsid w:val="00982D50"/>
    <w:rsid w:val="009E3DE7"/>
    <w:rsid w:val="009F1A38"/>
    <w:rsid w:val="00A11728"/>
    <w:rsid w:val="00A12CF4"/>
    <w:rsid w:val="00A24ED2"/>
    <w:rsid w:val="00A34835"/>
    <w:rsid w:val="00A43AAC"/>
    <w:rsid w:val="00A72792"/>
    <w:rsid w:val="00A90106"/>
    <w:rsid w:val="00A919DB"/>
    <w:rsid w:val="00A932DE"/>
    <w:rsid w:val="00A93EC1"/>
    <w:rsid w:val="00A940FB"/>
    <w:rsid w:val="00AA374E"/>
    <w:rsid w:val="00AA65FB"/>
    <w:rsid w:val="00AB383F"/>
    <w:rsid w:val="00AE2ACA"/>
    <w:rsid w:val="00AF5D80"/>
    <w:rsid w:val="00B01AD9"/>
    <w:rsid w:val="00B46D4A"/>
    <w:rsid w:val="00B5269B"/>
    <w:rsid w:val="00B574B8"/>
    <w:rsid w:val="00B65F6A"/>
    <w:rsid w:val="00B800C9"/>
    <w:rsid w:val="00B80672"/>
    <w:rsid w:val="00BA28B3"/>
    <w:rsid w:val="00BA40F4"/>
    <w:rsid w:val="00BB1A2D"/>
    <w:rsid w:val="00BB50DD"/>
    <w:rsid w:val="00BC1128"/>
    <w:rsid w:val="00BC31F2"/>
    <w:rsid w:val="00BE5FED"/>
    <w:rsid w:val="00C046FE"/>
    <w:rsid w:val="00C438DE"/>
    <w:rsid w:val="00C812E0"/>
    <w:rsid w:val="00C944E8"/>
    <w:rsid w:val="00CA2271"/>
    <w:rsid w:val="00CA3458"/>
    <w:rsid w:val="00CB2FD0"/>
    <w:rsid w:val="00CB5F18"/>
    <w:rsid w:val="00CD27D9"/>
    <w:rsid w:val="00D01A0C"/>
    <w:rsid w:val="00D178FE"/>
    <w:rsid w:val="00D25CEB"/>
    <w:rsid w:val="00D41457"/>
    <w:rsid w:val="00D42A02"/>
    <w:rsid w:val="00D46157"/>
    <w:rsid w:val="00D84645"/>
    <w:rsid w:val="00D92564"/>
    <w:rsid w:val="00D95E57"/>
    <w:rsid w:val="00DA5BD5"/>
    <w:rsid w:val="00DA7A2B"/>
    <w:rsid w:val="00DE7443"/>
    <w:rsid w:val="00DF2F02"/>
    <w:rsid w:val="00DF3674"/>
    <w:rsid w:val="00E26A50"/>
    <w:rsid w:val="00E34381"/>
    <w:rsid w:val="00E37336"/>
    <w:rsid w:val="00E51BF6"/>
    <w:rsid w:val="00E61227"/>
    <w:rsid w:val="00E64A3F"/>
    <w:rsid w:val="00E83015"/>
    <w:rsid w:val="00EC6E72"/>
    <w:rsid w:val="00ED4015"/>
    <w:rsid w:val="00EF0199"/>
    <w:rsid w:val="00EF1441"/>
    <w:rsid w:val="00F439B4"/>
    <w:rsid w:val="00F5726E"/>
    <w:rsid w:val="00F610F6"/>
    <w:rsid w:val="00F73F58"/>
    <w:rsid w:val="00F76823"/>
    <w:rsid w:val="00F970E7"/>
    <w:rsid w:val="00F97614"/>
    <w:rsid w:val="00FB4B45"/>
    <w:rsid w:val="00FB7289"/>
    <w:rsid w:val="00FE5565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EDC75"/>
  <w15:chartTrackingRefBased/>
  <w15:docId w15:val="{5EC31324-BB01-41F9-BDA1-D25A949C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lang w:val="it-IT" w:eastAsia="it-IT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lang w:val="de-D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Pr>
      <w:rFonts w:ascii="Times New Roman" w:hAnsi="Times New Roman"/>
      <w:lang w:val="de-DE" w:eastAsia="de-DE"/>
    </w:rPr>
  </w:style>
  <w:style w:type="character" w:styleId="Rimandonotaapidipagina">
    <w:name w:val="footnote reference"/>
    <w:semiHidden/>
    <w:rPr>
      <w:vertAlign w:val="superscript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Titolo">
    <w:name w:val="Title"/>
    <w:basedOn w:val="Normale"/>
    <w:qFormat/>
    <w:pPr>
      <w:tabs>
        <w:tab w:val="left" w:pos="993"/>
        <w:tab w:val="left" w:pos="4537"/>
        <w:tab w:val="left" w:pos="7230"/>
      </w:tabs>
      <w:jc w:val="center"/>
    </w:pPr>
    <w:rPr>
      <w:rFonts w:ascii="Times New Roman" w:hAnsi="Times New Roman"/>
      <w:b/>
      <w:sz w:val="24"/>
      <w:lang w:val="de-DE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harCarattereCharCarattere1CharCarattereZchnZchnCarattereCarattereZchnZchnCarattereCarattereZchnZchnCarattereCarattereZchnZchnCarattereCarattereZchnZchnCarattereCarattere">
    <w:name w:val="Char Carattere Char Carattere1 Char Carattere Zchn Zchn Carattere Carattere Zchn Zchn Carattere Carattere Zchn Zchn Carattere Carattere Zchn Zchn Carattere Carattere Zchn Zchn Carattere Carattere"/>
    <w:basedOn w:val="Normale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stand">
    <w:name w:val="stand"/>
    <w:basedOn w:val="Normale"/>
    <w:pPr>
      <w:jc w:val="both"/>
    </w:pPr>
    <w:rPr>
      <w:rFonts w:ascii="Times New Roman" w:hAnsi="Times New Roman"/>
      <w:sz w:val="24"/>
      <w:lang w:val="de-DE"/>
    </w:rPr>
  </w:style>
  <w:style w:type="paragraph" w:customStyle="1" w:styleId="CharCarattereCharCarattere">
    <w:name w:val="Char Carattere Char Carattere"/>
    <w:basedOn w:val="Normale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harCarattere1Char">
    <w:name w:val="Char Carattere1 Char"/>
    <w:basedOn w:val="Normal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customStyle="1" w:styleId="CharCarattereCharCarattere1CharCarattereZchnZchnCarattereCarattereZchnZchnCarattereCarattereZchnZchnCarattereCarattereZchnZchnCarattereCarattere">
    <w:name w:val="Char Carattere Char Carattere1 Char Carattere Zchn Zchn Carattere Carattere Zchn Zchn Carattere Carattere Zchn Zchn Carattere Carattere Zchn Zchn Carattere Carattere"/>
    <w:basedOn w:val="Normal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IntestazioneCarattere">
    <w:name w:val="Intestazione Carattere"/>
    <w:link w:val="Intestazione"/>
    <w:rsid w:val="004C60D0"/>
    <w:rPr>
      <w:rFonts w:ascii="Arial" w:hAnsi="Arial"/>
    </w:rPr>
  </w:style>
  <w:style w:type="paragraph" w:styleId="Revisione">
    <w:name w:val="Revision"/>
    <w:hidden/>
    <w:uiPriority w:val="99"/>
    <w:semiHidden/>
    <w:rsid w:val="007B586B"/>
    <w:rPr>
      <w:rFonts w:ascii="Arial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2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2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v-acp.servicesupply@pec.prov.bz.i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ov-acp.works@pec.prov.bz.it" TargetMode="External"/><Relationship Id="rId12" Type="http://schemas.openxmlformats.org/officeDocument/2006/relationships/hyperlink" Target="mailto:aov-acp.arch-ing@pec.prov.bz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ov-acp.servicesupply@pec.prov.bz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ov-acp.works@pec.prov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v-acp.arch-ing@pec.prov.bz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cp.provincia.bz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ndivisa\PRATICHE\BZ%20PNRR\INCARICO%20N.1_commissione.giudicatrice\MODULISTICA\3a_Nomina%20membro%20sostitut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3a_Nomina membro sostituto.dotx</Template>
  <TotalTime>0</TotalTime>
  <Pages>5</Pages>
  <Words>1942</Words>
  <Characters>12912</Characters>
  <Application>Microsoft Office Word</Application>
  <DocSecurity>0</DocSecurity>
  <Lines>107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/>
  <LinksUpToDate>false</LinksUpToDate>
  <CharactersWithSpaces>14825</CharactersWithSpaces>
  <SharedDoc>false</SharedDoc>
  <HLinks>
    <vt:vector size="30" baseType="variant">
      <vt:variant>
        <vt:i4>2359321</vt:i4>
      </vt:variant>
      <vt:variant>
        <vt:i4>51</vt:i4>
      </vt:variant>
      <vt:variant>
        <vt:i4>0</vt:i4>
      </vt:variant>
      <vt:variant>
        <vt:i4>5</vt:i4>
      </vt:variant>
      <vt:variant>
        <vt:lpwstr>mailto:aov-acp.servicesupply@pec.prov.bz.it</vt:lpwstr>
      </vt:variant>
      <vt:variant>
        <vt:lpwstr/>
      </vt:variant>
      <vt:variant>
        <vt:i4>2293762</vt:i4>
      </vt:variant>
      <vt:variant>
        <vt:i4>48</vt:i4>
      </vt:variant>
      <vt:variant>
        <vt:i4>0</vt:i4>
      </vt:variant>
      <vt:variant>
        <vt:i4>5</vt:i4>
      </vt:variant>
      <vt:variant>
        <vt:lpwstr>mailto:aov-acp.works@pec.prov.bz.it</vt:lpwstr>
      </vt:variant>
      <vt:variant>
        <vt:lpwstr/>
      </vt:variant>
      <vt:variant>
        <vt:i4>2359321</vt:i4>
      </vt:variant>
      <vt:variant>
        <vt:i4>45</vt:i4>
      </vt:variant>
      <vt:variant>
        <vt:i4>0</vt:i4>
      </vt:variant>
      <vt:variant>
        <vt:i4>5</vt:i4>
      </vt:variant>
      <vt:variant>
        <vt:lpwstr>mailto:aov-acp.servicesupply@pec.prov.bz.it</vt:lpwstr>
      </vt:variant>
      <vt:variant>
        <vt:lpwstr/>
      </vt:variant>
      <vt:variant>
        <vt:i4>2293762</vt:i4>
      </vt:variant>
      <vt:variant>
        <vt:i4>42</vt:i4>
      </vt:variant>
      <vt:variant>
        <vt:i4>0</vt:i4>
      </vt:variant>
      <vt:variant>
        <vt:i4>5</vt:i4>
      </vt:variant>
      <vt:variant>
        <vt:lpwstr>mailto:aov-acp.works@pec.prov.bz.it</vt:lpwstr>
      </vt:variant>
      <vt:variant>
        <vt:lpwstr/>
      </vt:variant>
      <vt:variant>
        <vt:i4>7733370</vt:i4>
      </vt:variant>
      <vt:variant>
        <vt:i4>3</vt:i4>
      </vt:variant>
      <vt:variant>
        <vt:i4>0</vt:i4>
      </vt:variant>
      <vt:variant>
        <vt:i4>5</vt:i4>
      </vt:variant>
      <vt:variant>
        <vt:lpwstr>http://acp.provincia.bz.it/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Andrea</dc:creator>
  <cp:keywords/>
  <cp:lastModifiedBy>Lanzafame, Valentina</cp:lastModifiedBy>
  <cp:revision>4</cp:revision>
  <cp:lastPrinted>2017-10-04T08:57:00Z</cp:lastPrinted>
  <dcterms:created xsi:type="dcterms:W3CDTF">2025-01-29T08:56:00Z</dcterms:created>
  <dcterms:modified xsi:type="dcterms:W3CDTF">2025-01-29T09:33:00Z</dcterms:modified>
</cp:coreProperties>
</file>