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5" w:type="dxa"/>
        <w:tblLayout w:type="fixed"/>
        <w:tblCellMar>
          <w:left w:w="0" w:type="dxa"/>
          <w:right w:w="0" w:type="dxa"/>
        </w:tblCellMar>
        <w:tblLook w:val="0000" w:firstRow="0" w:lastRow="0" w:firstColumn="0" w:lastColumn="0" w:noHBand="0" w:noVBand="0"/>
      </w:tblPr>
      <w:tblGrid>
        <w:gridCol w:w="4113"/>
        <w:gridCol w:w="10"/>
        <w:gridCol w:w="1251"/>
        <w:gridCol w:w="13"/>
        <w:gridCol w:w="4246"/>
        <w:gridCol w:w="6"/>
        <w:gridCol w:w="6"/>
      </w:tblGrid>
      <w:tr w:rsidR="00F9001E" w:rsidRPr="00222E82" w14:paraId="4DEA6263" w14:textId="77777777" w:rsidTr="00164541">
        <w:trPr>
          <w:gridAfter w:val="2"/>
          <w:wAfter w:w="12" w:type="dxa"/>
          <w:cantSplit/>
        </w:trPr>
        <w:tc>
          <w:tcPr>
            <w:tcW w:w="4123" w:type="dxa"/>
            <w:gridSpan w:val="2"/>
          </w:tcPr>
          <w:p w14:paraId="7609CD68" w14:textId="66B1F89C" w:rsidR="00F9001E" w:rsidRPr="00AD4BD5" w:rsidRDefault="00F9001E">
            <w:pPr>
              <w:pStyle w:val="ProtNr"/>
              <w:rPr>
                <w:b/>
                <w:bCs/>
                <w:i/>
                <w:iCs/>
                <w:lang w:val="de-DE"/>
              </w:rPr>
            </w:pPr>
          </w:p>
        </w:tc>
        <w:tc>
          <w:tcPr>
            <w:tcW w:w="1264" w:type="dxa"/>
            <w:gridSpan w:val="2"/>
          </w:tcPr>
          <w:p w14:paraId="711A1127" w14:textId="77777777" w:rsidR="00F9001E" w:rsidRDefault="00F9001E">
            <w:pPr>
              <w:spacing w:line="240" w:lineRule="exact"/>
            </w:pPr>
          </w:p>
        </w:tc>
        <w:tc>
          <w:tcPr>
            <w:tcW w:w="4246" w:type="dxa"/>
            <w:vMerge w:val="restart"/>
          </w:tcPr>
          <w:p w14:paraId="78585BA2" w14:textId="77777777" w:rsidR="00EE1BE9" w:rsidRDefault="00EE1BE9" w:rsidP="00EE1BE9">
            <w:pPr>
              <w:ind w:left="-540" w:firstLine="540"/>
              <w:rPr>
                <w:i/>
                <w:sz w:val="18"/>
                <w:szCs w:val="18"/>
                <w:lang w:val="it-IT"/>
              </w:rPr>
            </w:pPr>
            <w:r w:rsidRPr="00087C44">
              <w:rPr>
                <w:i/>
                <w:sz w:val="18"/>
                <w:szCs w:val="18"/>
                <w:lang w:val="it-IT"/>
              </w:rPr>
              <w:t>Trasmissione mediante posta certificata</w:t>
            </w:r>
          </w:p>
          <w:p w14:paraId="70C05C45" w14:textId="77777777" w:rsidR="00EE1BE9" w:rsidRPr="00E25E40" w:rsidRDefault="00EE1BE9" w:rsidP="00EE1BE9">
            <w:pPr>
              <w:ind w:left="-540" w:firstLine="540"/>
              <w:rPr>
                <w:i/>
                <w:sz w:val="18"/>
                <w:szCs w:val="18"/>
                <w:lang w:val="it-IT"/>
              </w:rPr>
            </w:pPr>
          </w:p>
          <w:p w14:paraId="7B1D9832" w14:textId="77777777" w:rsidR="00F72F91" w:rsidRDefault="00087C44" w:rsidP="00F72F91">
            <w:pPr>
              <w:pStyle w:val="Descrizionedispedizioneedindirizzo"/>
              <w:rPr>
                <w:lang w:val="it-IT"/>
              </w:rPr>
            </w:pPr>
            <w:r>
              <w:rPr>
                <w:lang w:val="it-IT"/>
              </w:rPr>
              <w:t xml:space="preserve">Spett.le </w:t>
            </w:r>
          </w:p>
          <w:p w14:paraId="68366000" w14:textId="77777777" w:rsidR="00F72F91" w:rsidRDefault="00F72F91" w:rsidP="00F72F91">
            <w:pPr>
              <w:pStyle w:val="Descrizionedispedizioneedindirizzo"/>
              <w:rPr>
                <w:lang w:val="it-IT"/>
              </w:rPr>
            </w:pPr>
          </w:p>
          <w:p w14:paraId="320A7726" w14:textId="77777777" w:rsidR="00AD4BD5" w:rsidRDefault="00F94308" w:rsidP="00F72F91">
            <w:pPr>
              <w:pStyle w:val="Descrizionedispedizioneedindirizzo"/>
              <w:rPr>
                <w:rFonts w:cs="Arial"/>
                <w:b/>
                <w:lang w:val="it-IT"/>
              </w:rPr>
            </w:pPr>
            <w:r w:rsidRPr="00F94308">
              <w:rPr>
                <w:lang w:val="en-US"/>
              </w:rPr>
              <w:fldChar w:fldCharType="begin">
                <w:ffData>
                  <w:name w:val="Copia di Text21 1"/>
                  <w:enabled/>
                  <w:calcOnExit w:val="0"/>
                  <w:textInput/>
                </w:ffData>
              </w:fldChar>
            </w:r>
            <w:r w:rsidRPr="00F94308">
              <w:rPr>
                <w:rFonts w:cs="Arial"/>
                <w:b/>
                <w:lang w:val="it-IT"/>
              </w:rPr>
              <w:instrText xml:space="preserve"> FORMTEXT </w:instrText>
            </w:r>
            <w:r w:rsidRPr="00F94308">
              <w:rPr>
                <w:rFonts w:cs="Arial"/>
                <w:b/>
                <w:lang w:val="it-IT"/>
              </w:rPr>
            </w:r>
            <w:r w:rsidRPr="00F94308">
              <w:rPr>
                <w:rFonts w:cs="Arial"/>
                <w:b/>
                <w:lang w:val="it-IT"/>
              </w:rPr>
              <w:fldChar w:fldCharType="separate"/>
            </w:r>
            <w:r w:rsidRPr="00F94308">
              <w:rPr>
                <w:rFonts w:cs="Arial"/>
                <w:b/>
                <w:lang w:val="it-IT"/>
              </w:rPr>
              <w:t>     </w:t>
            </w:r>
            <w:r w:rsidRPr="00F94308">
              <w:rPr>
                <w:rFonts w:cs="Arial"/>
                <w:b/>
                <w:lang w:val="it-IT"/>
              </w:rPr>
              <w:fldChar w:fldCharType="end"/>
            </w:r>
          </w:p>
          <w:p w14:paraId="7F9EEDB6" w14:textId="77777777" w:rsidR="00F94308" w:rsidRDefault="00F94308" w:rsidP="00F72F91">
            <w:pPr>
              <w:pStyle w:val="Descrizionedispedizioneedindirizzo"/>
              <w:rPr>
                <w:rFonts w:cs="Arial"/>
                <w:b/>
                <w:lang w:val="it-IT"/>
              </w:rPr>
            </w:pPr>
          </w:p>
          <w:p w14:paraId="0D71B3F4" w14:textId="77777777" w:rsidR="00F94308" w:rsidRPr="00F94308" w:rsidRDefault="00F94308" w:rsidP="00F72F91">
            <w:pPr>
              <w:pStyle w:val="Descrizionedispedizioneedindirizzo"/>
              <w:rPr>
                <w:rFonts w:cs="Arial"/>
                <w:bCs/>
                <w:lang w:val="it-IT"/>
              </w:rPr>
            </w:pPr>
            <w:r w:rsidRPr="00F94308">
              <w:rPr>
                <w:rFonts w:cs="Arial"/>
                <w:bCs/>
                <w:lang w:val="it-IT"/>
              </w:rPr>
              <w:t xml:space="preserve">Pec </w:t>
            </w:r>
          </w:p>
          <w:p w14:paraId="50F4799D" w14:textId="67A704D8" w:rsidR="00F94308" w:rsidRPr="00087C44" w:rsidRDefault="00F94308" w:rsidP="00F72F91">
            <w:pPr>
              <w:pStyle w:val="Descrizionedispedizioneedindirizzo"/>
              <w:rPr>
                <w:lang w:val="it-IT"/>
              </w:rPr>
            </w:pPr>
            <w:r>
              <w:rPr>
                <w:lang w:val="en-US"/>
              </w:rPr>
              <w:fldChar w:fldCharType="begin">
                <w:ffData>
                  <w:name w:val="Copia di Text21 1"/>
                  <w:enabled/>
                  <w:calcOnExit w:val="0"/>
                  <w:textInput/>
                </w:ffData>
              </w:fldChar>
            </w:r>
            <w:r>
              <w:rPr>
                <w:rFonts w:cs="Arial"/>
                <w:b/>
                <w:lang w:val="it-IT"/>
              </w:rPr>
              <w:instrText xml:space="preserve"> FORMTEXT </w:instrText>
            </w:r>
            <w:r>
              <w:rPr>
                <w:rFonts w:cs="Arial"/>
                <w:b/>
                <w:lang w:val="it-IT"/>
              </w:rPr>
            </w:r>
            <w:r>
              <w:rPr>
                <w:rFonts w:cs="Arial"/>
                <w:b/>
                <w:lang w:val="it-IT"/>
              </w:rPr>
              <w:fldChar w:fldCharType="separate"/>
            </w:r>
            <w:r>
              <w:rPr>
                <w:rFonts w:cs="Arial"/>
                <w:b/>
                <w:lang w:val="it-IT"/>
              </w:rPr>
              <w:t>     </w:t>
            </w:r>
            <w:r>
              <w:rPr>
                <w:rFonts w:cs="Arial"/>
                <w:b/>
                <w:lang w:val="it-IT"/>
              </w:rPr>
              <w:fldChar w:fldCharType="end"/>
            </w:r>
          </w:p>
        </w:tc>
      </w:tr>
      <w:tr w:rsidR="00F9001E" w:rsidRPr="00222E82" w14:paraId="041E0933" w14:textId="77777777" w:rsidTr="00164541">
        <w:trPr>
          <w:gridAfter w:val="2"/>
          <w:wAfter w:w="12" w:type="dxa"/>
          <w:cantSplit/>
        </w:trPr>
        <w:tc>
          <w:tcPr>
            <w:tcW w:w="4123" w:type="dxa"/>
            <w:gridSpan w:val="2"/>
          </w:tcPr>
          <w:p w14:paraId="33CD4E73" w14:textId="77777777" w:rsidR="00F9001E" w:rsidRPr="00087C44" w:rsidRDefault="00F9001E">
            <w:pPr>
              <w:spacing w:line="200" w:lineRule="exact"/>
              <w:rPr>
                <w:sz w:val="16"/>
                <w:lang w:val="it-IT"/>
              </w:rPr>
            </w:pPr>
          </w:p>
        </w:tc>
        <w:tc>
          <w:tcPr>
            <w:tcW w:w="1264" w:type="dxa"/>
            <w:gridSpan w:val="2"/>
          </w:tcPr>
          <w:p w14:paraId="66476D7D" w14:textId="77777777" w:rsidR="00F9001E" w:rsidRPr="00087C44" w:rsidRDefault="00F9001E">
            <w:pPr>
              <w:spacing w:line="240" w:lineRule="exact"/>
              <w:rPr>
                <w:lang w:val="it-IT"/>
              </w:rPr>
            </w:pPr>
          </w:p>
        </w:tc>
        <w:tc>
          <w:tcPr>
            <w:tcW w:w="4246" w:type="dxa"/>
            <w:vMerge/>
          </w:tcPr>
          <w:p w14:paraId="5D403AD6" w14:textId="77777777" w:rsidR="00F9001E" w:rsidRPr="00087C44" w:rsidRDefault="00F9001E">
            <w:pPr>
              <w:spacing w:line="240" w:lineRule="exact"/>
              <w:rPr>
                <w:lang w:val="it-IT"/>
              </w:rPr>
            </w:pPr>
          </w:p>
        </w:tc>
      </w:tr>
      <w:tr w:rsidR="00F9001E" w14:paraId="0659AE8A" w14:textId="77777777" w:rsidTr="00164541">
        <w:trPr>
          <w:gridAfter w:val="2"/>
          <w:wAfter w:w="12" w:type="dxa"/>
          <w:cantSplit/>
        </w:trPr>
        <w:tc>
          <w:tcPr>
            <w:tcW w:w="4123" w:type="dxa"/>
            <w:gridSpan w:val="2"/>
          </w:tcPr>
          <w:p w14:paraId="0F539AC2" w14:textId="07AA3F76" w:rsidR="00F9001E" w:rsidRDefault="006E3FF2" w:rsidP="00F9001E">
            <w:pPr>
              <w:pStyle w:val="DatumOrtDataluogo"/>
            </w:pPr>
            <w:r>
              <mc:AlternateContent>
                <mc:Choice Requires="wps">
                  <w:drawing>
                    <wp:anchor distT="4294967295" distB="4294967295" distL="114300" distR="114300" simplePos="0" relativeHeight="251657728" behindDoc="0" locked="0" layoutInCell="0" allowOverlap="1" wp14:anchorId="6FF79466" wp14:editId="08050A43">
                      <wp:simplePos x="0" y="0"/>
                      <wp:positionH relativeFrom="column">
                        <wp:posOffset>-720090</wp:posOffset>
                      </wp:positionH>
                      <wp:positionV relativeFrom="page">
                        <wp:posOffset>3600449</wp:posOffset>
                      </wp:positionV>
                      <wp:extent cx="360045"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762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347FF"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56.7pt,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" o:allowincell="f" strokecolor="gray" strokeweight=".6pt">
                      <w10:wrap anchory="page"/>
                    </v:line>
                  </w:pict>
                </mc:Fallback>
              </mc:AlternateContent>
            </w:r>
            <w:r w:rsidR="00F9001E">
              <w:t xml:space="preserve">Bozen / </w:t>
            </w:r>
            <w:smartTag w:uri="urn:schemas-microsoft-com:office:smarttags" w:element="City">
              <w:smartTag w:uri="urn:schemas-microsoft-com:office:smarttags" w:element="place">
                <w:r w:rsidR="00F9001E">
                  <w:t>Bolzano</w:t>
                </w:r>
              </w:smartTag>
            </w:smartTag>
            <w:r w:rsidR="00F9001E">
              <w:t xml:space="preserve">, </w:t>
            </w:r>
            <w:r w:rsidR="00F9001E">
              <w:fldChar w:fldCharType="begin"/>
            </w:r>
            <w:r w:rsidR="00F9001E">
              <w:instrText xml:space="preserve"> DATE  \@ "dd.MM.yyyy"  \* MERGEFORMAT </w:instrText>
            </w:r>
            <w:r w:rsidR="00F9001E">
              <w:fldChar w:fldCharType="separate"/>
            </w:r>
            <w:r w:rsidR="00222E82">
              <w:t>24.04.2024</w:t>
            </w:r>
            <w:r w:rsidR="00F9001E">
              <w:fldChar w:fldCharType="end"/>
            </w:r>
          </w:p>
        </w:tc>
        <w:tc>
          <w:tcPr>
            <w:tcW w:w="1264" w:type="dxa"/>
            <w:gridSpan w:val="2"/>
          </w:tcPr>
          <w:p w14:paraId="1564C4EB" w14:textId="77777777" w:rsidR="00F9001E" w:rsidRDefault="00F9001E">
            <w:pPr>
              <w:spacing w:line="240" w:lineRule="exact"/>
            </w:pPr>
          </w:p>
        </w:tc>
        <w:tc>
          <w:tcPr>
            <w:tcW w:w="4246" w:type="dxa"/>
            <w:vMerge/>
          </w:tcPr>
          <w:p w14:paraId="55E326F0" w14:textId="77777777" w:rsidR="00F9001E" w:rsidRDefault="00F9001E"/>
        </w:tc>
      </w:tr>
      <w:tr w:rsidR="00F9001E" w14:paraId="46E919DF" w14:textId="77777777" w:rsidTr="00164541">
        <w:trPr>
          <w:gridAfter w:val="2"/>
          <w:wAfter w:w="12" w:type="dxa"/>
          <w:cantSplit/>
        </w:trPr>
        <w:tc>
          <w:tcPr>
            <w:tcW w:w="4123" w:type="dxa"/>
            <w:gridSpan w:val="2"/>
          </w:tcPr>
          <w:p w14:paraId="3989A672" w14:textId="77777777" w:rsidR="00F9001E" w:rsidRDefault="00F9001E">
            <w:pPr>
              <w:spacing w:line="240" w:lineRule="exact"/>
              <w:rPr>
                <w:sz w:val="16"/>
              </w:rPr>
            </w:pPr>
          </w:p>
        </w:tc>
        <w:tc>
          <w:tcPr>
            <w:tcW w:w="1264" w:type="dxa"/>
            <w:gridSpan w:val="2"/>
          </w:tcPr>
          <w:p w14:paraId="70C333BC" w14:textId="77777777" w:rsidR="00F9001E" w:rsidRDefault="00F9001E">
            <w:pPr>
              <w:spacing w:line="240" w:lineRule="exact"/>
            </w:pPr>
          </w:p>
        </w:tc>
        <w:tc>
          <w:tcPr>
            <w:tcW w:w="4246" w:type="dxa"/>
            <w:vMerge/>
          </w:tcPr>
          <w:p w14:paraId="0BA4A8B7" w14:textId="77777777" w:rsidR="00F9001E" w:rsidRDefault="00F9001E">
            <w:pPr>
              <w:spacing w:line="240" w:lineRule="exact"/>
            </w:pPr>
          </w:p>
        </w:tc>
      </w:tr>
      <w:tr w:rsidR="00F9001E" w:rsidRPr="00EC5B9F" w14:paraId="33BE1E6C" w14:textId="77777777" w:rsidTr="00164541">
        <w:trPr>
          <w:gridAfter w:val="2"/>
          <w:wAfter w:w="12" w:type="dxa"/>
          <w:cantSplit/>
        </w:trPr>
        <w:tc>
          <w:tcPr>
            <w:tcW w:w="4123" w:type="dxa"/>
            <w:gridSpan w:val="2"/>
            <w:vMerge w:val="restart"/>
          </w:tcPr>
          <w:p w14:paraId="5D41264D" w14:textId="77777777" w:rsidR="00F9001E" w:rsidRPr="00EC5B9F" w:rsidRDefault="00F9001E" w:rsidP="00F94308">
            <w:pPr>
              <w:rPr>
                <w:lang w:val="it-IT"/>
              </w:rPr>
            </w:pPr>
          </w:p>
        </w:tc>
        <w:tc>
          <w:tcPr>
            <w:tcW w:w="1264" w:type="dxa"/>
            <w:gridSpan w:val="2"/>
          </w:tcPr>
          <w:p w14:paraId="27673257" w14:textId="77777777" w:rsidR="00F9001E" w:rsidRPr="00EC5B9F" w:rsidRDefault="00F9001E">
            <w:pPr>
              <w:spacing w:line="240" w:lineRule="exact"/>
              <w:rPr>
                <w:lang w:val="it-IT"/>
              </w:rPr>
            </w:pPr>
          </w:p>
        </w:tc>
        <w:tc>
          <w:tcPr>
            <w:tcW w:w="4246" w:type="dxa"/>
            <w:vMerge/>
          </w:tcPr>
          <w:p w14:paraId="3D02E954" w14:textId="77777777" w:rsidR="00F9001E" w:rsidRPr="00EC5B9F" w:rsidRDefault="00F9001E">
            <w:pPr>
              <w:spacing w:line="240" w:lineRule="exact"/>
              <w:rPr>
                <w:lang w:val="it-IT"/>
              </w:rPr>
            </w:pPr>
          </w:p>
        </w:tc>
      </w:tr>
      <w:tr w:rsidR="00F9001E" w:rsidRPr="00EC5B9F" w14:paraId="5C0126A3" w14:textId="77777777" w:rsidTr="00164541">
        <w:trPr>
          <w:gridAfter w:val="2"/>
          <w:wAfter w:w="12" w:type="dxa"/>
          <w:cantSplit/>
        </w:trPr>
        <w:tc>
          <w:tcPr>
            <w:tcW w:w="4123" w:type="dxa"/>
            <w:gridSpan w:val="2"/>
            <w:vMerge/>
          </w:tcPr>
          <w:p w14:paraId="1FA1E616" w14:textId="77777777" w:rsidR="00F9001E" w:rsidRPr="00EC5B9F" w:rsidRDefault="00F9001E">
            <w:pPr>
              <w:spacing w:line="240" w:lineRule="exact"/>
              <w:rPr>
                <w:sz w:val="18"/>
                <w:lang w:val="it-IT"/>
              </w:rPr>
            </w:pPr>
          </w:p>
        </w:tc>
        <w:tc>
          <w:tcPr>
            <w:tcW w:w="1264" w:type="dxa"/>
            <w:gridSpan w:val="2"/>
          </w:tcPr>
          <w:p w14:paraId="21048D18" w14:textId="77777777" w:rsidR="00F9001E" w:rsidRPr="00EC5B9F" w:rsidRDefault="00F9001E">
            <w:pPr>
              <w:spacing w:line="240" w:lineRule="exact"/>
              <w:rPr>
                <w:lang w:val="it-IT"/>
              </w:rPr>
            </w:pPr>
          </w:p>
        </w:tc>
        <w:tc>
          <w:tcPr>
            <w:tcW w:w="4246" w:type="dxa"/>
            <w:vMerge/>
          </w:tcPr>
          <w:p w14:paraId="46A5A6EA" w14:textId="77777777" w:rsidR="00F9001E" w:rsidRPr="00EC5B9F" w:rsidRDefault="00F9001E">
            <w:pPr>
              <w:spacing w:line="240" w:lineRule="exact"/>
              <w:rPr>
                <w:lang w:val="it-IT"/>
              </w:rPr>
            </w:pPr>
          </w:p>
        </w:tc>
      </w:tr>
      <w:tr w:rsidR="00F9001E" w:rsidRPr="00EC5B9F" w14:paraId="50269844" w14:textId="77777777" w:rsidTr="00164541">
        <w:trPr>
          <w:gridAfter w:val="2"/>
          <w:wAfter w:w="12" w:type="dxa"/>
          <w:cantSplit/>
        </w:trPr>
        <w:tc>
          <w:tcPr>
            <w:tcW w:w="4123" w:type="dxa"/>
            <w:gridSpan w:val="2"/>
            <w:vMerge/>
          </w:tcPr>
          <w:p w14:paraId="33342DEE" w14:textId="77777777" w:rsidR="00F9001E" w:rsidRPr="00EC5B9F" w:rsidRDefault="00F9001E">
            <w:pPr>
              <w:spacing w:line="240" w:lineRule="exact"/>
              <w:rPr>
                <w:sz w:val="16"/>
                <w:lang w:val="it-IT"/>
              </w:rPr>
            </w:pPr>
          </w:p>
        </w:tc>
        <w:tc>
          <w:tcPr>
            <w:tcW w:w="1264" w:type="dxa"/>
            <w:gridSpan w:val="2"/>
          </w:tcPr>
          <w:p w14:paraId="73D2E0D2" w14:textId="77777777" w:rsidR="00F9001E" w:rsidRPr="00EC5B9F" w:rsidRDefault="00F9001E">
            <w:pPr>
              <w:spacing w:line="240" w:lineRule="exact"/>
              <w:rPr>
                <w:lang w:val="it-IT"/>
              </w:rPr>
            </w:pPr>
          </w:p>
        </w:tc>
        <w:tc>
          <w:tcPr>
            <w:tcW w:w="4246" w:type="dxa"/>
            <w:vMerge/>
          </w:tcPr>
          <w:p w14:paraId="7C07BE90" w14:textId="77777777" w:rsidR="00F9001E" w:rsidRPr="00EC5B9F" w:rsidRDefault="00F9001E">
            <w:pPr>
              <w:spacing w:line="240" w:lineRule="exact"/>
              <w:rPr>
                <w:lang w:val="it-IT"/>
              </w:rPr>
            </w:pPr>
          </w:p>
        </w:tc>
      </w:tr>
      <w:tr w:rsidR="00F9001E" w:rsidRPr="00EC5B9F" w14:paraId="46F6A399" w14:textId="77777777" w:rsidTr="00164541">
        <w:trPr>
          <w:gridAfter w:val="2"/>
          <w:wAfter w:w="12" w:type="dxa"/>
          <w:cantSplit/>
        </w:trPr>
        <w:tc>
          <w:tcPr>
            <w:tcW w:w="4123" w:type="dxa"/>
            <w:gridSpan w:val="2"/>
            <w:vMerge/>
          </w:tcPr>
          <w:p w14:paraId="73AC4F94" w14:textId="77777777" w:rsidR="00F9001E" w:rsidRPr="00EC5B9F" w:rsidRDefault="00F9001E">
            <w:pPr>
              <w:spacing w:line="240" w:lineRule="exact"/>
              <w:rPr>
                <w:sz w:val="16"/>
                <w:lang w:val="it-IT"/>
              </w:rPr>
            </w:pPr>
          </w:p>
        </w:tc>
        <w:tc>
          <w:tcPr>
            <w:tcW w:w="1264" w:type="dxa"/>
            <w:gridSpan w:val="2"/>
          </w:tcPr>
          <w:p w14:paraId="3475C9AB" w14:textId="77777777" w:rsidR="00F9001E" w:rsidRPr="00EC5B9F" w:rsidRDefault="00F9001E">
            <w:pPr>
              <w:spacing w:line="240" w:lineRule="exact"/>
              <w:rPr>
                <w:lang w:val="it-IT"/>
              </w:rPr>
            </w:pPr>
          </w:p>
        </w:tc>
        <w:tc>
          <w:tcPr>
            <w:tcW w:w="4246" w:type="dxa"/>
            <w:vMerge/>
          </w:tcPr>
          <w:p w14:paraId="25C663FD" w14:textId="77777777" w:rsidR="00F9001E" w:rsidRPr="00EC5B9F" w:rsidRDefault="00F9001E">
            <w:pPr>
              <w:spacing w:line="240" w:lineRule="exact"/>
              <w:rPr>
                <w:lang w:val="it-IT"/>
              </w:rPr>
            </w:pPr>
          </w:p>
        </w:tc>
      </w:tr>
      <w:tr w:rsidR="00F9001E" w:rsidRPr="00EC5B9F" w14:paraId="0CC2106E" w14:textId="77777777" w:rsidTr="00164541">
        <w:trPr>
          <w:gridAfter w:val="2"/>
          <w:wAfter w:w="12" w:type="dxa"/>
          <w:cantSplit/>
        </w:trPr>
        <w:tc>
          <w:tcPr>
            <w:tcW w:w="4123" w:type="dxa"/>
            <w:gridSpan w:val="2"/>
            <w:vMerge/>
          </w:tcPr>
          <w:p w14:paraId="7EEEF161" w14:textId="77777777" w:rsidR="00F9001E" w:rsidRPr="00EC5B9F" w:rsidRDefault="00F9001E">
            <w:pPr>
              <w:spacing w:line="240" w:lineRule="exact"/>
              <w:rPr>
                <w:sz w:val="16"/>
                <w:lang w:val="it-IT"/>
              </w:rPr>
            </w:pPr>
          </w:p>
        </w:tc>
        <w:tc>
          <w:tcPr>
            <w:tcW w:w="1264" w:type="dxa"/>
            <w:gridSpan w:val="2"/>
          </w:tcPr>
          <w:p w14:paraId="2FAF1D69" w14:textId="77777777" w:rsidR="00F9001E" w:rsidRPr="00EC5B9F" w:rsidRDefault="00F9001E">
            <w:pPr>
              <w:spacing w:line="240" w:lineRule="exact"/>
              <w:rPr>
                <w:lang w:val="it-IT"/>
              </w:rPr>
            </w:pPr>
          </w:p>
        </w:tc>
        <w:tc>
          <w:tcPr>
            <w:tcW w:w="4246" w:type="dxa"/>
            <w:vMerge/>
          </w:tcPr>
          <w:p w14:paraId="6C0812B1" w14:textId="77777777" w:rsidR="00F9001E" w:rsidRPr="00EC5B9F" w:rsidRDefault="00F9001E">
            <w:pPr>
              <w:spacing w:line="240" w:lineRule="exact"/>
              <w:rPr>
                <w:lang w:val="it-IT"/>
              </w:rPr>
            </w:pPr>
          </w:p>
        </w:tc>
      </w:tr>
      <w:tr w:rsidR="00F9001E" w:rsidRPr="00F94308" w14:paraId="326FD9B3" w14:textId="77777777" w:rsidTr="00164541">
        <w:trPr>
          <w:gridAfter w:val="2"/>
          <w:wAfter w:w="12" w:type="dxa"/>
          <w:cantSplit/>
        </w:trPr>
        <w:tc>
          <w:tcPr>
            <w:tcW w:w="5387" w:type="dxa"/>
            <w:gridSpan w:val="4"/>
          </w:tcPr>
          <w:p w14:paraId="0BFD16D1" w14:textId="7A714A86" w:rsidR="00F9001E" w:rsidRDefault="00C3627B">
            <w:pPr>
              <w:spacing w:line="200" w:lineRule="exact"/>
              <w:ind w:right="227"/>
              <w:jc w:val="right"/>
              <w:rPr>
                <w:sz w:val="16"/>
              </w:rPr>
            </w:pPr>
            <w:r>
              <w:rPr>
                <w:noProof w:val="0"/>
                <w:sz w:val="16"/>
                <w:lang w:val="it-IT"/>
              </w:rPr>
              <w:t>Per conoscenza:</w:t>
            </w:r>
          </w:p>
        </w:tc>
        <w:tc>
          <w:tcPr>
            <w:tcW w:w="4246" w:type="dxa"/>
            <w:vMerge w:val="restart"/>
          </w:tcPr>
          <w:p w14:paraId="07611503" w14:textId="1B5D3E53" w:rsidR="008E5018" w:rsidRPr="00F72F91" w:rsidRDefault="008E5018" w:rsidP="00F94308">
            <w:pPr>
              <w:pStyle w:val="ZurKenntnisPerconoscenza"/>
              <w:rPr>
                <w:lang w:val="it-IT"/>
              </w:rPr>
            </w:pPr>
          </w:p>
        </w:tc>
      </w:tr>
      <w:tr w:rsidR="00F9001E" w:rsidRPr="00F94308" w14:paraId="0CEC3A81" w14:textId="77777777" w:rsidTr="00164541">
        <w:trPr>
          <w:gridAfter w:val="2"/>
          <w:wAfter w:w="12" w:type="dxa"/>
          <w:cantSplit/>
        </w:trPr>
        <w:tc>
          <w:tcPr>
            <w:tcW w:w="5387" w:type="dxa"/>
            <w:gridSpan w:val="4"/>
          </w:tcPr>
          <w:p w14:paraId="07FF780E" w14:textId="76AA32F1" w:rsidR="00F9001E" w:rsidRPr="00F72F91" w:rsidRDefault="00F9001E">
            <w:pPr>
              <w:spacing w:line="200" w:lineRule="exact"/>
              <w:ind w:right="227"/>
              <w:jc w:val="right"/>
              <w:rPr>
                <w:noProof w:val="0"/>
                <w:sz w:val="16"/>
                <w:lang w:val="it-IT"/>
              </w:rPr>
            </w:pPr>
          </w:p>
        </w:tc>
        <w:tc>
          <w:tcPr>
            <w:tcW w:w="4246" w:type="dxa"/>
            <w:vMerge/>
          </w:tcPr>
          <w:p w14:paraId="6EAD6442" w14:textId="77777777" w:rsidR="00F9001E" w:rsidRPr="00F72F91" w:rsidRDefault="00F9001E">
            <w:pPr>
              <w:spacing w:line="200" w:lineRule="exact"/>
              <w:rPr>
                <w:sz w:val="16"/>
                <w:lang w:val="it-IT"/>
              </w:rPr>
            </w:pPr>
          </w:p>
        </w:tc>
      </w:tr>
      <w:tr w:rsidR="00F9001E" w:rsidRPr="00F94308" w14:paraId="5B62CE90" w14:textId="77777777" w:rsidTr="00164541">
        <w:trPr>
          <w:gridAfter w:val="2"/>
          <w:wAfter w:w="12" w:type="dxa"/>
          <w:cantSplit/>
        </w:trPr>
        <w:tc>
          <w:tcPr>
            <w:tcW w:w="5387" w:type="dxa"/>
            <w:gridSpan w:val="4"/>
          </w:tcPr>
          <w:p w14:paraId="5D8D2A86" w14:textId="77777777" w:rsidR="00F9001E" w:rsidRPr="00F72F91" w:rsidRDefault="00F9001E">
            <w:pPr>
              <w:spacing w:line="200" w:lineRule="exact"/>
              <w:ind w:right="227"/>
              <w:jc w:val="right"/>
              <w:rPr>
                <w:sz w:val="16"/>
                <w:lang w:val="it-IT"/>
              </w:rPr>
            </w:pPr>
          </w:p>
        </w:tc>
        <w:tc>
          <w:tcPr>
            <w:tcW w:w="4246" w:type="dxa"/>
            <w:vMerge/>
          </w:tcPr>
          <w:p w14:paraId="0BA53159" w14:textId="77777777" w:rsidR="00F9001E" w:rsidRPr="00F72F91" w:rsidRDefault="00F9001E">
            <w:pPr>
              <w:spacing w:line="200" w:lineRule="exact"/>
              <w:rPr>
                <w:sz w:val="16"/>
                <w:lang w:val="it-IT"/>
              </w:rPr>
            </w:pPr>
          </w:p>
        </w:tc>
      </w:tr>
      <w:tr w:rsidR="00F9001E" w:rsidRPr="00F94308" w14:paraId="2CBFAF6A" w14:textId="77777777" w:rsidTr="00164541">
        <w:trPr>
          <w:gridAfter w:val="2"/>
          <w:wAfter w:w="12" w:type="dxa"/>
          <w:cantSplit/>
        </w:trPr>
        <w:tc>
          <w:tcPr>
            <w:tcW w:w="5387" w:type="dxa"/>
            <w:gridSpan w:val="4"/>
          </w:tcPr>
          <w:p w14:paraId="789B6318" w14:textId="77777777" w:rsidR="00F9001E" w:rsidRPr="00F72F91" w:rsidRDefault="00F9001E">
            <w:pPr>
              <w:spacing w:line="200" w:lineRule="exact"/>
              <w:ind w:right="227"/>
              <w:jc w:val="right"/>
              <w:rPr>
                <w:sz w:val="16"/>
                <w:lang w:val="it-IT"/>
              </w:rPr>
            </w:pPr>
          </w:p>
        </w:tc>
        <w:tc>
          <w:tcPr>
            <w:tcW w:w="4246" w:type="dxa"/>
            <w:vMerge/>
          </w:tcPr>
          <w:p w14:paraId="7C35886D" w14:textId="77777777" w:rsidR="00F9001E" w:rsidRPr="00F72F91" w:rsidRDefault="00F9001E">
            <w:pPr>
              <w:spacing w:line="200" w:lineRule="exact"/>
              <w:rPr>
                <w:sz w:val="16"/>
                <w:lang w:val="it-IT"/>
              </w:rPr>
            </w:pPr>
          </w:p>
        </w:tc>
      </w:tr>
      <w:tr w:rsidR="00F9001E" w:rsidRPr="00F94308" w14:paraId="03355B91" w14:textId="77777777" w:rsidTr="00164541">
        <w:trPr>
          <w:gridAfter w:val="2"/>
          <w:wAfter w:w="12" w:type="dxa"/>
          <w:cantSplit/>
        </w:trPr>
        <w:tc>
          <w:tcPr>
            <w:tcW w:w="5387" w:type="dxa"/>
            <w:gridSpan w:val="4"/>
          </w:tcPr>
          <w:p w14:paraId="50B94C0D" w14:textId="77777777" w:rsidR="00F9001E" w:rsidRPr="00F72F91" w:rsidRDefault="00F9001E">
            <w:pPr>
              <w:spacing w:line="200" w:lineRule="exact"/>
              <w:ind w:right="227"/>
              <w:jc w:val="right"/>
              <w:rPr>
                <w:sz w:val="16"/>
                <w:lang w:val="it-IT"/>
              </w:rPr>
            </w:pPr>
          </w:p>
        </w:tc>
        <w:tc>
          <w:tcPr>
            <w:tcW w:w="4246" w:type="dxa"/>
            <w:vMerge/>
          </w:tcPr>
          <w:p w14:paraId="6FA760B1" w14:textId="77777777" w:rsidR="00F9001E" w:rsidRPr="00F72F91" w:rsidRDefault="00F9001E">
            <w:pPr>
              <w:spacing w:line="200" w:lineRule="exact"/>
              <w:rPr>
                <w:sz w:val="16"/>
                <w:lang w:val="it-IT"/>
              </w:rPr>
            </w:pPr>
          </w:p>
        </w:tc>
      </w:tr>
      <w:tr w:rsidR="0014523B" w:rsidRPr="008E5018" w14:paraId="3C230F83" w14:textId="77777777" w:rsidTr="002075AB">
        <w:trPr>
          <w:gridAfter w:val="2"/>
          <w:wAfter w:w="12" w:type="dxa"/>
        </w:trPr>
        <w:tc>
          <w:tcPr>
            <w:tcW w:w="9633" w:type="dxa"/>
            <w:gridSpan w:val="5"/>
            <w:shd w:val="clear" w:color="auto" w:fill="E0E0E0"/>
          </w:tcPr>
          <w:p w14:paraId="571BF681" w14:textId="77777777" w:rsidR="0014523B" w:rsidRPr="00F72F91" w:rsidRDefault="0014523B" w:rsidP="00C400F5">
            <w:pPr>
              <w:pStyle w:val="Testoitaliano"/>
              <w:ind w:right="171"/>
              <w:jc w:val="center"/>
              <w:rPr>
                <w:b/>
              </w:rPr>
            </w:pPr>
          </w:p>
          <w:p w14:paraId="66CC9CF6" w14:textId="77777777" w:rsidR="0014523B" w:rsidRDefault="0014523B" w:rsidP="00C400F5">
            <w:pPr>
              <w:pStyle w:val="Testoitaliano"/>
              <w:ind w:right="171"/>
              <w:jc w:val="center"/>
              <w:rPr>
                <w:b/>
              </w:rPr>
            </w:pPr>
            <w:r>
              <w:rPr>
                <w:b/>
              </w:rPr>
              <w:t>Gara</w:t>
            </w:r>
          </w:p>
          <w:p w14:paraId="5C0226F6" w14:textId="599D8F18" w:rsidR="00F94308" w:rsidRDefault="00F94308" w:rsidP="00C400F5">
            <w:pPr>
              <w:pStyle w:val="Testoitaliano"/>
              <w:ind w:right="171"/>
              <w:jc w:val="center"/>
              <w:rPr>
                <w:b/>
              </w:rPr>
            </w:pPr>
            <w:r w:rsidRPr="00F94308">
              <w:rPr>
                <w:lang w:val="en-US"/>
              </w:rPr>
              <w:fldChar w:fldCharType="begin">
                <w:ffData>
                  <w:name w:val="Copia di Text21 1"/>
                  <w:enabled/>
                  <w:calcOnExit w:val="0"/>
                  <w:textInput/>
                </w:ffData>
              </w:fldChar>
            </w:r>
            <w:r w:rsidRPr="00F94308">
              <w:rPr>
                <w:rFonts w:cs="Arial"/>
                <w:b/>
              </w:rPr>
              <w:instrText xml:space="preserve"> FORMTEXT </w:instrText>
            </w:r>
            <w:r w:rsidRPr="00F94308">
              <w:rPr>
                <w:rFonts w:cs="Arial"/>
                <w:b/>
              </w:rPr>
            </w:r>
            <w:r w:rsidRPr="00F94308">
              <w:rPr>
                <w:rFonts w:cs="Arial"/>
                <w:b/>
              </w:rPr>
              <w:fldChar w:fldCharType="separate"/>
            </w:r>
            <w:r w:rsidRPr="00F94308">
              <w:rPr>
                <w:rFonts w:cs="Arial"/>
                <w:b/>
              </w:rPr>
              <w:t>     </w:t>
            </w:r>
            <w:r w:rsidRPr="00F94308">
              <w:rPr>
                <w:rFonts w:cs="Arial"/>
                <w:b/>
              </w:rPr>
              <w:fldChar w:fldCharType="end"/>
            </w:r>
          </w:p>
          <w:p w14:paraId="52AE6AFF" w14:textId="77777777" w:rsidR="0014523B" w:rsidRDefault="0014523B" w:rsidP="00C400F5">
            <w:pPr>
              <w:pStyle w:val="Testoitaliano"/>
              <w:ind w:right="171"/>
              <w:jc w:val="center"/>
              <w:rPr>
                <w:b/>
              </w:rPr>
            </w:pPr>
          </w:p>
          <w:p w14:paraId="1DE467A4" w14:textId="234D34EF" w:rsidR="0014523B" w:rsidRDefault="009D421F" w:rsidP="00F94308">
            <w:pPr>
              <w:pStyle w:val="Testoitaliano"/>
              <w:ind w:right="4"/>
              <w:jc w:val="center"/>
              <w:rPr>
                <w:b/>
              </w:rPr>
            </w:pPr>
            <w:r w:rsidRPr="009D421F">
              <w:rPr>
                <w:b/>
              </w:rPr>
              <w:t>Codice CIG</w:t>
            </w:r>
          </w:p>
          <w:p w14:paraId="32C96E47" w14:textId="749874C1" w:rsidR="00F94308" w:rsidRDefault="00F94308" w:rsidP="00F94308">
            <w:pPr>
              <w:pStyle w:val="Testoitaliano"/>
              <w:ind w:right="4"/>
              <w:jc w:val="center"/>
              <w:rPr>
                <w:b/>
              </w:rPr>
            </w:pPr>
            <w:r w:rsidRPr="00F94308">
              <w:rPr>
                <w:lang w:val="en-US"/>
              </w:rPr>
              <w:fldChar w:fldCharType="begin">
                <w:ffData>
                  <w:name w:val="Copia di Text21 1"/>
                  <w:enabled/>
                  <w:calcOnExit w:val="0"/>
                  <w:textInput/>
                </w:ffData>
              </w:fldChar>
            </w:r>
            <w:r w:rsidRPr="00F94308">
              <w:rPr>
                <w:rFonts w:cs="Arial"/>
                <w:b/>
              </w:rPr>
              <w:instrText xml:space="preserve"> FORMTEXT </w:instrText>
            </w:r>
            <w:r w:rsidRPr="00F94308">
              <w:rPr>
                <w:rFonts w:cs="Arial"/>
                <w:b/>
              </w:rPr>
            </w:r>
            <w:r w:rsidRPr="00F94308">
              <w:rPr>
                <w:rFonts w:cs="Arial"/>
                <w:b/>
              </w:rPr>
              <w:fldChar w:fldCharType="separate"/>
            </w:r>
            <w:r w:rsidRPr="00F94308">
              <w:rPr>
                <w:rFonts w:cs="Arial"/>
                <w:b/>
              </w:rPr>
              <w:t>     </w:t>
            </w:r>
            <w:r w:rsidRPr="00F94308">
              <w:rPr>
                <w:rFonts w:cs="Arial"/>
                <w:b/>
              </w:rPr>
              <w:fldChar w:fldCharType="end"/>
            </w:r>
          </w:p>
          <w:p w14:paraId="08BFAB80" w14:textId="25860DE6" w:rsidR="00F94308" w:rsidRPr="00377FA1" w:rsidRDefault="00F94308" w:rsidP="00F94308">
            <w:pPr>
              <w:pStyle w:val="Testoitaliano"/>
              <w:ind w:right="4"/>
              <w:jc w:val="center"/>
              <w:rPr>
                <w:b/>
                <w:bCs/>
              </w:rPr>
            </w:pPr>
          </w:p>
        </w:tc>
      </w:tr>
      <w:tr w:rsidR="0014523B" w:rsidRPr="00F94308" w14:paraId="3FE6284D" w14:textId="77777777" w:rsidTr="00C14C6C">
        <w:tc>
          <w:tcPr>
            <w:tcW w:w="9645" w:type="dxa"/>
            <w:gridSpan w:val="7"/>
            <w:shd w:val="clear" w:color="auto" w:fill="D9D9D9"/>
          </w:tcPr>
          <w:p w14:paraId="606FE662" w14:textId="0C44C523" w:rsidR="0014523B" w:rsidRPr="00474CF7" w:rsidRDefault="009D421F" w:rsidP="009D421F">
            <w:pPr>
              <w:pStyle w:val="Testoitaliano"/>
              <w:ind w:right="172"/>
              <w:rPr>
                <w:b/>
              </w:rPr>
            </w:pPr>
            <w:r>
              <w:rPr>
                <w:b/>
              </w:rPr>
              <w:t xml:space="preserve">Oggetto: </w:t>
            </w:r>
            <w:r w:rsidR="00F94308" w:rsidRPr="00F94308">
              <w:rPr>
                <w:lang w:val="en-US"/>
              </w:rPr>
              <w:fldChar w:fldCharType="begin">
                <w:ffData>
                  <w:name w:val="Copia di Text21 1"/>
                  <w:enabled/>
                  <w:calcOnExit w:val="0"/>
                  <w:textInput/>
                </w:ffData>
              </w:fldChar>
            </w:r>
            <w:r w:rsidR="00F94308" w:rsidRPr="00F94308">
              <w:rPr>
                <w:rFonts w:cs="Arial"/>
                <w:b/>
              </w:rPr>
              <w:instrText xml:space="preserve"> FORMTEXT </w:instrText>
            </w:r>
            <w:r w:rsidR="00F94308" w:rsidRPr="00F94308">
              <w:rPr>
                <w:rFonts w:cs="Arial"/>
                <w:b/>
              </w:rPr>
            </w:r>
            <w:r w:rsidR="00F94308" w:rsidRPr="00F94308">
              <w:rPr>
                <w:rFonts w:cs="Arial"/>
                <w:b/>
              </w:rPr>
              <w:fldChar w:fldCharType="separate"/>
            </w:r>
            <w:r w:rsidR="00F94308" w:rsidRPr="00F94308">
              <w:rPr>
                <w:rFonts w:cs="Arial"/>
                <w:b/>
              </w:rPr>
              <w:t>     </w:t>
            </w:r>
            <w:r w:rsidR="00F94308" w:rsidRPr="00F94308">
              <w:rPr>
                <w:rFonts w:cs="Arial"/>
                <w:b/>
              </w:rPr>
              <w:fldChar w:fldCharType="end"/>
            </w:r>
          </w:p>
        </w:tc>
      </w:tr>
      <w:tr w:rsidR="00F9001E" w:rsidRPr="00F94308" w14:paraId="709EF2CA" w14:textId="77777777" w:rsidTr="00164541">
        <w:trPr>
          <w:gridAfter w:val="2"/>
          <w:wAfter w:w="12" w:type="dxa"/>
        </w:trPr>
        <w:tc>
          <w:tcPr>
            <w:tcW w:w="4123" w:type="dxa"/>
            <w:gridSpan w:val="2"/>
          </w:tcPr>
          <w:p w14:paraId="7BA4DE9F" w14:textId="77777777" w:rsidR="00F9001E" w:rsidRPr="0093186E" w:rsidRDefault="00F9001E">
            <w:pPr>
              <w:spacing w:line="240" w:lineRule="exact"/>
              <w:jc w:val="both"/>
              <w:rPr>
                <w:noProof w:val="0"/>
                <w:lang w:val="it-IT"/>
              </w:rPr>
            </w:pPr>
          </w:p>
        </w:tc>
        <w:tc>
          <w:tcPr>
            <w:tcW w:w="1264" w:type="dxa"/>
            <w:gridSpan w:val="2"/>
          </w:tcPr>
          <w:p w14:paraId="7EFD72FE" w14:textId="77777777" w:rsidR="00F9001E" w:rsidRPr="0093186E" w:rsidRDefault="00F9001E">
            <w:pPr>
              <w:spacing w:line="240" w:lineRule="exact"/>
              <w:rPr>
                <w:lang w:val="it-IT"/>
              </w:rPr>
            </w:pPr>
          </w:p>
        </w:tc>
        <w:tc>
          <w:tcPr>
            <w:tcW w:w="4246" w:type="dxa"/>
          </w:tcPr>
          <w:p w14:paraId="5C317694" w14:textId="77777777" w:rsidR="00F9001E" w:rsidRDefault="00F9001E">
            <w:pPr>
              <w:spacing w:line="240" w:lineRule="exact"/>
              <w:jc w:val="both"/>
              <w:rPr>
                <w:noProof w:val="0"/>
                <w:lang w:val="it-IT"/>
              </w:rPr>
            </w:pPr>
          </w:p>
        </w:tc>
      </w:tr>
      <w:tr w:rsidR="0014523B" w:rsidRPr="00F94308" w14:paraId="601A8E73" w14:textId="77777777" w:rsidTr="002924C3">
        <w:trPr>
          <w:gridAfter w:val="1"/>
          <w:wAfter w:w="6" w:type="dxa"/>
        </w:trPr>
        <w:tc>
          <w:tcPr>
            <w:tcW w:w="9639" w:type="dxa"/>
            <w:gridSpan w:val="6"/>
            <w:shd w:val="clear" w:color="auto" w:fill="auto"/>
          </w:tcPr>
          <w:p w14:paraId="19BA073A" w14:textId="31A89A39" w:rsidR="00BC5075" w:rsidRDefault="008E5371" w:rsidP="008E5371">
            <w:pPr>
              <w:pStyle w:val="Testoitaliano"/>
              <w:ind w:right="172"/>
            </w:pPr>
            <w:r>
              <w:t xml:space="preserve">Con riferimento alle </w:t>
            </w:r>
            <w:r w:rsidRPr="007075A4">
              <w:t xml:space="preserve">osservazioni </w:t>
            </w:r>
            <w:r w:rsidR="00780E0D" w:rsidRPr="007075A4">
              <w:t xml:space="preserve">e alla richiesta di sospensione della </w:t>
            </w:r>
            <w:r w:rsidR="00BC5075" w:rsidRPr="007075A4">
              <w:t>procedura di gara in oggetto</w:t>
            </w:r>
            <w:r w:rsidR="000C17E9" w:rsidRPr="007075A4">
              <w:t xml:space="preserve">, di cui alla Vostra comunicazione dd. </w:t>
            </w:r>
            <w:r w:rsidR="00F94308" w:rsidRPr="00F94308">
              <w:rPr>
                <w:lang w:val="en-US"/>
              </w:rPr>
              <w:fldChar w:fldCharType="begin">
                <w:ffData>
                  <w:name w:val="Copia di Text21 1"/>
                  <w:enabled/>
                  <w:calcOnExit w:val="0"/>
                  <w:textInput/>
                </w:ffData>
              </w:fldChar>
            </w:r>
            <w:r w:rsidR="00F94308" w:rsidRPr="00F94308">
              <w:rPr>
                <w:rFonts w:cs="Arial"/>
                <w:b/>
              </w:rPr>
              <w:instrText xml:space="preserve"> FORMTEXT </w:instrText>
            </w:r>
            <w:r w:rsidR="00F94308" w:rsidRPr="00F94308">
              <w:rPr>
                <w:rFonts w:cs="Arial"/>
                <w:b/>
              </w:rPr>
            </w:r>
            <w:r w:rsidR="00F94308" w:rsidRPr="00F94308">
              <w:rPr>
                <w:rFonts w:cs="Arial"/>
                <w:b/>
              </w:rPr>
              <w:fldChar w:fldCharType="separate"/>
            </w:r>
            <w:r w:rsidR="00F94308" w:rsidRPr="00F94308">
              <w:rPr>
                <w:rFonts w:cs="Arial"/>
                <w:b/>
              </w:rPr>
              <w:t>     </w:t>
            </w:r>
            <w:r w:rsidR="00F94308" w:rsidRPr="00F94308">
              <w:rPr>
                <w:rFonts w:cs="Arial"/>
                <w:b/>
              </w:rPr>
              <w:fldChar w:fldCharType="end"/>
            </w:r>
            <w:r w:rsidR="000C17E9" w:rsidRPr="007075A4">
              <w:t xml:space="preserve">, </w:t>
            </w:r>
            <w:r w:rsidR="00BC5075" w:rsidRPr="007075A4">
              <w:t>si segnala quanto segue.</w:t>
            </w:r>
          </w:p>
          <w:p w14:paraId="3A23B646" w14:textId="07146A55" w:rsidR="00BC5075" w:rsidRDefault="00BC5075" w:rsidP="008E5371">
            <w:pPr>
              <w:pStyle w:val="Testoitaliano"/>
              <w:ind w:right="172"/>
            </w:pPr>
          </w:p>
          <w:p w14:paraId="61F3DFCA" w14:textId="0670291D" w:rsidR="00BC5075" w:rsidRDefault="000C17E9" w:rsidP="008E5371">
            <w:pPr>
              <w:pStyle w:val="Testoitaliano"/>
              <w:ind w:right="172"/>
            </w:pPr>
            <w:r w:rsidRPr="007075A4">
              <w:t>Pur consapevoli del</w:t>
            </w:r>
            <w:r w:rsidR="00BC5075" w:rsidRPr="007075A4">
              <w:t>la delicatezza della tematica in questione e in attesa di un intervento chiarificatore sul punto</w:t>
            </w:r>
            <w:r w:rsidR="00780E0D" w:rsidRPr="007075A4">
              <w:t xml:space="preserve"> da parte delle competenti Autorità</w:t>
            </w:r>
            <w:r w:rsidR="00BC5075" w:rsidRPr="007075A4">
              <w:t xml:space="preserve">, si </w:t>
            </w:r>
            <w:r w:rsidRPr="007075A4">
              <w:t xml:space="preserve">rileva </w:t>
            </w:r>
            <w:r w:rsidR="00BC5075" w:rsidRPr="007075A4">
              <w:t>come</w:t>
            </w:r>
            <w:r w:rsidRPr="007075A4">
              <w:t xml:space="preserve"> ad oggi</w:t>
            </w:r>
            <w:r w:rsidR="007075A4" w:rsidRPr="007075A4">
              <w:t xml:space="preserve"> </w:t>
            </w:r>
            <w:r w:rsidRPr="007075A4">
              <w:t>la richiesta di sospensione</w:t>
            </w:r>
            <w:r w:rsidR="00057C24" w:rsidRPr="007075A4">
              <w:t>,</w:t>
            </w:r>
            <w:r w:rsidRPr="007075A4">
              <w:t xml:space="preserve"> cosi come l</w:t>
            </w:r>
            <w:r w:rsidR="00BC5075" w:rsidRPr="007075A4">
              <w:t xml:space="preserve">e argomentazioni poste a fondamento </w:t>
            </w:r>
            <w:r w:rsidRPr="007075A4">
              <w:t xml:space="preserve">del ritenuto divieto </w:t>
            </w:r>
            <w:r w:rsidR="008C680E" w:rsidRPr="007075A4">
              <w:rPr>
                <w:noProof/>
              </w:rPr>
              <w:t xml:space="preserve">di sottoporre a ribasso il compenso professionale individuato sulla base delle tabelle ministeriali, </w:t>
            </w:r>
            <w:r w:rsidR="00057C24" w:rsidRPr="007075A4">
              <w:rPr>
                <w:noProof/>
              </w:rPr>
              <w:t>con</w:t>
            </w:r>
            <w:r w:rsidR="008C680E" w:rsidRPr="007075A4">
              <w:rPr>
                <w:noProof/>
              </w:rPr>
              <w:t xml:space="preserve"> possibilità di effettuare una gara con ribasso limitatamente alle </w:t>
            </w:r>
            <w:r w:rsidR="00057C24" w:rsidRPr="007075A4">
              <w:rPr>
                <w:noProof/>
              </w:rPr>
              <w:t xml:space="preserve">sole </w:t>
            </w:r>
            <w:r w:rsidR="008C680E" w:rsidRPr="007075A4">
              <w:rPr>
                <w:noProof/>
              </w:rPr>
              <w:t xml:space="preserve">spese generali, </w:t>
            </w:r>
            <w:r w:rsidR="00BC5075" w:rsidRPr="007075A4">
              <w:t xml:space="preserve">non possano essere </w:t>
            </w:r>
            <w:r w:rsidRPr="007075A4">
              <w:t xml:space="preserve">accolte e </w:t>
            </w:r>
            <w:r w:rsidR="00BC5075" w:rsidRPr="007075A4">
              <w:t>condiv</w:t>
            </w:r>
            <w:r w:rsidR="00DC5522" w:rsidRPr="007075A4">
              <w:t>ise</w:t>
            </w:r>
            <w:r w:rsidR="00BC5075" w:rsidRPr="007075A4">
              <w:t xml:space="preserve"> </w:t>
            </w:r>
            <w:r w:rsidRPr="007075A4">
              <w:rPr>
                <w:noProof/>
              </w:rPr>
              <w:t>per le seguenti ragioni.</w:t>
            </w:r>
          </w:p>
          <w:p w14:paraId="63BDBA88" w14:textId="61A6960D" w:rsidR="00BC5075" w:rsidRDefault="00BC5075" w:rsidP="008E5371">
            <w:pPr>
              <w:pStyle w:val="Testoitaliano"/>
              <w:ind w:right="172"/>
            </w:pPr>
          </w:p>
          <w:p w14:paraId="2189ADCF" w14:textId="10C2ED0F" w:rsidR="00DC5522" w:rsidRDefault="00DC5522" w:rsidP="008C680E">
            <w:pPr>
              <w:pStyle w:val="Testoitaliano"/>
              <w:numPr>
                <w:ilvl w:val="0"/>
                <w:numId w:val="6"/>
              </w:numPr>
              <w:ind w:right="172"/>
            </w:pPr>
            <w:r>
              <w:t xml:space="preserve">Lo svolgimento di procedure di gara a “prezzo fisso” con elusione del principio del miglior rapporto qualità/prezzo, alla base del diritto europeo, si pone in netto contrasto, oltre che con le regole di contabilità pubblica, con le direttive e con i </w:t>
            </w:r>
            <w:r w:rsidRPr="000156F7">
              <w:rPr>
                <w:u w:val="single"/>
              </w:rPr>
              <w:t>principi eurocomunitari di concorrenzialità</w:t>
            </w:r>
            <w:r>
              <w:t xml:space="preserve">, del cui recepimento il Codice dei contratti è frutto. </w:t>
            </w:r>
          </w:p>
          <w:p w14:paraId="117C76AB" w14:textId="317025DB" w:rsidR="00DC5522" w:rsidRDefault="008C680E" w:rsidP="00B341A7">
            <w:pPr>
              <w:pStyle w:val="Testoitaliano"/>
              <w:numPr>
                <w:ilvl w:val="0"/>
                <w:numId w:val="6"/>
              </w:numPr>
              <w:ind w:right="172"/>
            </w:pPr>
            <w:r>
              <w:t>A</w:t>
            </w:r>
            <w:r w:rsidR="00487830">
              <w:t xml:space="preserve">ccogliere una soluzione di tale portata significa infatti agire in conflitto con </w:t>
            </w:r>
            <w:r w:rsidR="00DC5522">
              <w:t xml:space="preserve">fonti sovra-nazionali di rango superiore alla legge ordinaria - quale è la </w:t>
            </w:r>
            <w:r w:rsidR="008211AD">
              <w:t>l</w:t>
            </w:r>
            <w:r w:rsidR="00DC5522">
              <w:t xml:space="preserve">. 49/2023 </w:t>
            </w:r>
            <w:r w:rsidR="008211AD">
              <w:t>–</w:t>
            </w:r>
            <w:r w:rsidR="00DC5522">
              <w:t xml:space="preserve"> </w:t>
            </w:r>
            <w:r w:rsidR="008211AD">
              <w:t xml:space="preserve">e che sono </w:t>
            </w:r>
            <w:r w:rsidR="00DC5522">
              <w:t xml:space="preserve">destinate a prevalere </w:t>
            </w:r>
            <w:r w:rsidR="00487830">
              <w:t>su quest’ultima</w:t>
            </w:r>
            <w:r w:rsidR="00DC5522">
              <w:t>.</w:t>
            </w:r>
          </w:p>
          <w:p w14:paraId="5D29305F" w14:textId="0DE17FF5" w:rsidR="00DC5522" w:rsidRDefault="008C680E" w:rsidP="005034EE">
            <w:pPr>
              <w:pStyle w:val="Testoitaliano"/>
              <w:numPr>
                <w:ilvl w:val="0"/>
                <w:numId w:val="6"/>
              </w:numPr>
              <w:ind w:right="172"/>
            </w:pPr>
            <w:r>
              <w:t xml:space="preserve">La </w:t>
            </w:r>
            <w:r w:rsidR="00DC5522">
              <w:t>stessa L. 49/2023</w:t>
            </w:r>
            <w:r w:rsidR="00B928FB">
              <w:t xml:space="preserve"> (art. 3, comma 3)</w:t>
            </w:r>
            <w:r w:rsidR="00DC5522">
              <w:t xml:space="preserve"> esclude, in</w:t>
            </w:r>
            <w:r w:rsidR="00487830">
              <w:t>fatti</w:t>
            </w:r>
            <w:r w:rsidR="00DC5522">
              <w:t>, l</w:t>
            </w:r>
            <w:r w:rsidR="00487830">
              <w:t>’</w:t>
            </w:r>
            <w:r w:rsidR="00DC5522">
              <w:t xml:space="preserve">applicabilità delle proprie </w:t>
            </w:r>
            <w:r w:rsidR="00DC5522" w:rsidRPr="007075A4">
              <w:t xml:space="preserve">disposizioni </w:t>
            </w:r>
            <w:r w:rsidRPr="007075A4">
              <w:t xml:space="preserve">e quindi </w:t>
            </w:r>
            <w:r w:rsidR="000156F7" w:rsidRPr="007075A4">
              <w:t xml:space="preserve">la possibilità </w:t>
            </w:r>
            <w:r w:rsidRPr="007075A4">
              <w:t xml:space="preserve">di sanzionare con la nullità quelle clausole che </w:t>
            </w:r>
            <w:r w:rsidR="00DC5522" w:rsidRPr="007075A4">
              <w:t>riproducono disposizioni o attu</w:t>
            </w:r>
            <w:r w:rsidR="00DC5522">
              <w:t>ano principi euro-comunitari, quali sono appunto le disposizioni d</w:t>
            </w:r>
            <w:r w:rsidR="00487830">
              <w:t>i cui al</w:t>
            </w:r>
            <w:r w:rsidR="00DC5522">
              <w:t xml:space="preserve"> </w:t>
            </w:r>
            <w:r w:rsidR="00487830">
              <w:t xml:space="preserve">d.lgs. 36/2023, </w:t>
            </w:r>
            <w:r w:rsidR="00DC5522">
              <w:t>emanato in attuazione della legge delega 78/202</w:t>
            </w:r>
            <w:r w:rsidR="00487830">
              <w:t>2</w:t>
            </w:r>
            <w:r w:rsidR="00DC5522">
              <w:t>,</w:t>
            </w:r>
            <w:r w:rsidR="00487830">
              <w:t xml:space="preserve"> al </w:t>
            </w:r>
            <w:r w:rsidR="00DC5522">
              <w:t>fine di adeguar</w:t>
            </w:r>
            <w:r w:rsidR="00487830">
              <w:t>e la normativa in materia di contratti pubblici</w:t>
            </w:r>
            <w:r w:rsidR="00DC5522">
              <w:t xml:space="preserve"> al</w:t>
            </w:r>
            <w:r w:rsidR="00487830">
              <w:t>le direttive</w:t>
            </w:r>
            <w:r w:rsidR="00DC5522">
              <w:t xml:space="preserve"> europe</w:t>
            </w:r>
            <w:r w:rsidR="00487830">
              <w:t>e</w:t>
            </w:r>
            <w:r w:rsidR="003834C0">
              <w:t>.</w:t>
            </w:r>
          </w:p>
          <w:p w14:paraId="0184B35C" w14:textId="4D0B4D67" w:rsidR="00E511D8" w:rsidRPr="007075A4" w:rsidRDefault="000156F7" w:rsidP="003834C0">
            <w:pPr>
              <w:pStyle w:val="Testoitaliano"/>
              <w:numPr>
                <w:ilvl w:val="0"/>
                <w:numId w:val="6"/>
              </w:numPr>
              <w:ind w:right="172"/>
              <w:rPr>
                <w:strike/>
              </w:rPr>
            </w:pPr>
            <w:r>
              <w:t xml:space="preserve">Tra </w:t>
            </w:r>
            <w:r w:rsidR="003834C0" w:rsidRPr="007075A4">
              <w:t xml:space="preserve">queste </w:t>
            </w:r>
            <w:r w:rsidRPr="007075A4">
              <w:t xml:space="preserve">rilevano </w:t>
            </w:r>
            <w:r w:rsidR="003834C0" w:rsidRPr="007075A4">
              <w:t>senza dubbio le disposizioni codicistiche</w:t>
            </w:r>
            <w:r w:rsidR="00E511D8" w:rsidRPr="007075A4">
              <w:rPr>
                <w:noProof/>
              </w:rPr>
              <w:t xml:space="preserve"> che </w:t>
            </w:r>
            <w:r w:rsidR="00E511D8" w:rsidRPr="007075A4">
              <w:t>consentendo alla pubblica amministrazione di individuare l’offerta economicamente più vantaggiosa attraverso un reale confronto competitivo, basato necessariamente  anche sull’elemento prezzo, risultano</w:t>
            </w:r>
            <w:r w:rsidR="003834C0" w:rsidRPr="007075A4">
              <w:t xml:space="preserve"> </w:t>
            </w:r>
            <w:r w:rsidRPr="007075A4">
              <w:rPr>
                <w:noProof/>
              </w:rPr>
              <w:t>strumentali vuoi alla realizzazione dei</w:t>
            </w:r>
            <w:r w:rsidRPr="007075A4">
              <w:rPr>
                <w:b/>
                <w:bCs/>
                <w:noProof/>
              </w:rPr>
              <w:t xml:space="preserve"> principi eurocomunitari</w:t>
            </w:r>
            <w:r w:rsidRPr="007075A4">
              <w:rPr>
                <w:noProof/>
              </w:rPr>
              <w:t xml:space="preserve"> </w:t>
            </w:r>
            <w:r w:rsidR="00846F35" w:rsidRPr="007075A4">
              <w:rPr>
                <w:noProof/>
              </w:rPr>
              <w:t xml:space="preserve">di concorrenzialità </w:t>
            </w:r>
            <w:r w:rsidRPr="007075A4">
              <w:rPr>
                <w:noProof/>
              </w:rPr>
              <w:t xml:space="preserve">e </w:t>
            </w:r>
            <w:r w:rsidR="00846F35" w:rsidRPr="007075A4">
              <w:rPr>
                <w:noProof/>
              </w:rPr>
              <w:t xml:space="preserve">dei </w:t>
            </w:r>
            <w:r w:rsidRPr="007075A4">
              <w:rPr>
                <w:noProof/>
              </w:rPr>
              <w:t>principi generali informatori del codice (principi del risultato, della fiducia e di accesso al mercato), dettati in attuazione dei primi</w:t>
            </w:r>
            <w:r w:rsidR="00846F35" w:rsidRPr="007075A4">
              <w:rPr>
                <w:noProof/>
              </w:rPr>
              <w:t xml:space="preserve">, </w:t>
            </w:r>
            <w:r w:rsidRPr="007075A4">
              <w:rPr>
                <w:noProof/>
              </w:rPr>
              <w:t>vuoi alla salvaguardia del principio dell’equo compenso</w:t>
            </w:r>
            <w:r w:rsidR="00057C24" w:rsidRPr="007075A4">
              <w:rPr>
                <w:noProof/>
              </w:rPr>
              <w:t xml:space="preserve">, </w:t>
            </w:r>
            <w:r w:rsidR="00E511D8" w:rsidRPr="007075A4">
              <w:rPr>
                <w:noProof/>
              </w:rPr>
              <w:t xml:space="preserve">nel significato espresso </w:t>
            </w:r>
            <w:r w:rsidR="005130D9" w:rsidRPr="007075A4">
              <w:rPr>
                <w:noProof/>
              </w:rPr>
              <w:t xml:space="preserve">dall’art. 8 del Codice, ossia di vietare alle stazioni appaltanti di chiedere ai professionisti </w:t>
            </w:r>
            <w:r w:rsidR="005130D9" w:rsidRPr="007075A4">
              <w:rPr>
                <w:noProof/>
              </w:rPr>
              <w:lastRenderedPageBreak/>
              <w:t>prestazioni gratuite e correlato obbligo, insuscettibile di eccezioni, di remunerare qualsiasi prestazione richiesta ai professionisti</w:t>
            </w:r>
            <w:r w:rsidR="00057C24" w:rsidRPr="007075A4">
              <w:rPr>
                <w:noProof/>
              </w:rPr>
              <w:t xml:space="preserve"> in misura adeguata alla quantità e qualità del servizio svolto</w:t>
            </w:r>
            <w:r w:rsidR="005130D9" w:rsidRPr="007075A4">
              <w:rPr>
                <w:noProof/>
              </w:rPr>
              <w:t>.</w:t>
            </w:r>
          </w:p>
          <w:p w14:paraId="7B4ABBB3" w14:textId="780BC519" w:rsidR="00846F35" w:rsidRPr="007075A4" w:rsidRDefault="00CA33DD" w:rsidP="00B37305">
            <w:pPr>
              <w:pStyle w:val="Testoitaliano"/>
              <w:numPr>
                <w:ilvl w:val="0"/>
                <w:numId w:val="7"/>
              </w:numPr>
              <w:suppressAutoHyphens/>
              <w:ind w:right="172"/>
              <w:rPr>
                <w:noProof/>
              </w:rPr>
            </w:pPr>
            <w:r w:rsidRPr="007075A4">
              <w:t xml:space="preserve">In tal senso deve essere interpretato l’art. </w:t>
            </w:r>
            <w:r w:rsidRPr="007075A4">
              <w:rPr>
                <w:b/>
                <w:bCs/>
              </w:rPr>
              <w:t>41, comma 15 del d.lgs.36/2023</w:t>
            </w:r>
            <w:r w:rsidRPr="007075A4">
              <w:t>, il quale</w:t>
            </w:r>
            <w:r w:rsidR="00830F20" w:rsidRPr="007075A4">
              <w:t>,</w:t>
            </w:r>
            <w:r w:rsidRPr="007075A4">
              <w:t xml:space="preserve"> prevede</w:t>
            </w:r>
            <w:r w:rsidR="0014192F" w:rsidRPr="007075A4">
              <w:t>ndo</w:t>
            </w:r>
            <w:r w:rsidRPr="007075A4">
              <w:t xml:space="preserve"> espressamente che le tabelle ministeriali (DM 17 giugno 2016 integrato da All. I.13) </w:t>
            </w:r>
            <w:r w:rsidRPr="007075A4">
              <w:rPr>
                <w:u w:val="single"/>
              </w:rPr>
              <w:t xml:space="preserve">sono da utilizzare </w:t>
            </w:r>
            <w:r w:rsidR="0014192F" w:rsidRPr="007075A4">
              <w:rPr>
                <w:u w:val="single"/>
              </w:rPr>
              <w:t xml:space="preserve">non come minimi inderogabili ma </w:t>
            </w:r>
            <w:r w:rsidRPr="007075A4">
              <w:rPr>
                <w:u w:val="single"/>
              </w:rPr>
              <w:t xml:space="preserve">ai fini dell'individuazione dell'importo </w:t>
            </w:r>
            <w:r w:rsidRPr="007075A4">
              <w:rPr>
                <w:b/>
                <w:bCs/>
                <w:u w:val="single"/>
              </w:rPr>
              <w:t>da porre a base di gara</w:t>
            </w:r>
            <w:r w:rsidRPr="007075A4">
              <w:rPr>
                <w:u w:val="single"/>
              </w:rPr>
              <w:t>,</w:t>
            </w:r>
            <w:r w:rsidR="0014192F" w:rsidRPr="007075A4">
              <w:rPr>
                <w:u w:val="single"/>
              </w:rPr>
              <w:t xml:space="preserve"> da un lato legittima la </w:t>
            </w:r>
            <w:r w:rsidR="00846F35" w:rsidRPr="007075A4">
              <w:rPr>
                <w:noProof/>
                <w:u w:val="single"/>
              </w:rPr>
              <w:t>possibilità di apportare riduzioni percentuali giustificate sulla componente prezzo</w:t>
            </w:r>
            <w:r w:rsidR="007075A4" w:rsidRPr="007075A4">
              <w:rPr>
                <w:noProof/>
              </w:rPr>
              <w:t xml:space="preserve">, </w:t>
            </w:r>
            <w:r w:rsidR="0014192F" w:rsidRPr="007075A4">
              <w:t xml:space="preserve">dall’altro superando quanto previsto </w:t>
            </w:r>
            <w:r w:rsidR="00E511D8" w:rsidRPr="007075A4">
              <w:t xml:space="preserve">in precedenza dall’art. 24, comma 8 del d.lgs.50/2016 (il quale, </w:t>
            </w:r>
            <w:r w:rsidR="00830F20" w:rsidRPr="007075A4">
              <w:t xml:space="preserve">stabiliva </w:t>
            </w:r>
            <w:r w:rsidR="00E511D8" w:rsidRPr="007075A4">
              <w:t>che i corrispettivi previsti dalle tabelle ministeriali fossero considerati solo come «criterio o base di riferimento»</w:t>
            </w:r>
            <w:r w:rsidR="00830F20" w:rsidRPr="007075A4">
              <w:t>) impedisce al</w:t>
            </w:r>
            <w:r w:rsidR="00E511D8" w:rsidRPr="007075A4">
              <w:t>le stazioni appaltanti di poter ridurre i corrispettivi prima della gara</w:t>
            </w:r>
            <w:r w:rsidR="00830F20" w:rsidRPr="007075A4">
              <w:t xml:space="preserve">, ciò che </w:t>
            </w:r>
            <w:r w:rsidR="00846F35" w:rsidRPr="007075A4">
              <w:rPr>
                <w:noProof/>
              </w:rPr>
              <w:t>appare declinare correttamente il principio dell’equo compenso.</w:t>
            </w:r>
            <w:bookmarkStart w:id="0" w:name="_Hlk153552584"/>
            <w:bookmarkEnd w:id="0"/>
          </w:p>
          <w:p w14:paraId="740750CD" w14:textId="769559DF" w:rsidR="00CA33DD" w:rsidRDefault="00CA33DD" w:rsidP="00580503">
            <w:pPr>
              <w:pStyle w:val="Testoitaliano"/>
              <w:numPr>
                <w:ilvl w:val="0"/>
                <w:numId w:val="7"/>
              </w:numPr>
              <w:suppressAutoHyphens/>
              <w:ind w:right="172"/>
            </w:pPr>
            <w:r>
              <w:t>A ciò si aggiunge quanto previsto dall’art. 108, comma 2 del d.lgs.</w:t>
            </w:r>
            <w:r w:rsidR="00A77F2F">
              <w:t xml:space="preserve"> 36/2023, il quale</w:t>
            </w:r>
            <w:r>
              <w:t xml:space="preserve"> consacra, quale criterio di aggiudicazione dei servizi cd. </w:t>
            </w:r>
            <w:r w:rsidRPr="007075A4">
              <w:t>tecnici</w:t>
            </w:r>
            <w:r w:rsidR="00830F20" w:rsidRPr="007075A4">
              <w:t xml:space="preserve"> di importo pari o superiore a 140.000</w:t>
            </w:r>
            <w:r w:rsidRPr="007075A4">
              <w:t>, quella</w:t>
            </w:r>
            <w:r>
              <w:t xml:space="preserve"> basato sul miglior rapporto qualità-prezzo, in linea con i principi eurocomunitari recepiti nei principi regolatori del Codice</w:t>
            </w:r>
            <w:r w:rsidR="00A77F2F">
              <w:t xml:space="preserve"> dei contratti pubblici</w:t>
            </w:r>
            <w:r>
              <w:t xml:space="preserve">, così come con il principio dell’equo compenso, nel significato espresso dalla </w:t>
            </w:r>
            <w:r w:rsidR="008211AD">
              <w:t>l</w:t>
            </w:r>
            <w:r>
              <w:t>. 49/2023, o</w:t>
            </w:r>
            <w:r w:rsidR="00A77F2F">
              <w:t>vvero quello</w:t>
            </w:r>
            <w:r>
              <w:t xml:space="preserve"> di garantire al professionista un compenso adeguato alla quantità e alla </w:t>
            </w:r>
            <w:r w:rsidRPr="00057C24">
              <w:rPr>
                <w:b/>
                <w:bCs/>
              </w:rPr>
              <w:t xml:space="preserve">qualità </w:t>
            </w:r>
            <w:r>
              <w:t>del lavoro svolto.</w:t>
            </w:r>
          </w:p>
          <w:p w14:paraId="6E3B2680" w14:textId="77777777" w:rsidR="007075A4" w:rsidRPr="007075A4" w:rsidRDefault="00830F20" w:rsidP="007075A4">
            <w:pPr>
              <w:pStyle w:val="Testoitaliano"/>
              <w:numPr>
                <w:ilvl w:val="0"/>
                <w:numId w:val="7"/>
              </w:numPr>
              <w:suppressAutoHyphens/>
              <w:ind w:right="172"/>
              <w:rPr>
                <w:rFonts w:cs="Arial"/>
              </w:rPr>
            </w:pPr>
            <w:r w:rsidRPr="007075A4">
              <w:rPr>
                <w:rFonts w:cs="Arial"/>
                <w:noProof/>
              </w:rPr>
              <w:t xml:space="preserve">Nella procedura in oggetto il principio dell’equo compenso nel senso sopra specificato è peraltro garantito dal peso predominante (80 punti) </w:t>
            </w:r>
            <w:r w:rsidR="008D0DA1" w:rsidRPr="007075A4">
              <w:rPr>
                <w:rFonts w:cs="Arial"/>
                <w:noProof/>
              </w:rPr>
              <w:t xml:space="preserve">attribuito al punteggio tecnico rispetto al punteggio economico (20 punti), così </w:t>
            </w:r>
            <w:r w:rsidR="0042715A" w:rsidRPr="007075A4">
              <w:rPr>
                <w:rFonts w:cs="Arial"/>
                <w:noProof/>
              </w:rPr>
              <w:t xml:space="preserve">come </w:t>
            </w:r>
            <w:r w:rsidR="008D0DA1" w:rsidRPr="007075A4">
              <w:rPr>
                <w:rFonts w:eastAsia="Calibri" w:cs="Arial"/>
              </w:rPr>
              <w:t>l’equilibrio contrattuale è garantito dalla procedura di verifica dell’anomalia</w:t>
            </w:r>
            <w:r w:rsidR="0042715A" w:rsidRPr="007075A4">
              <w:rPr>
                <w:rFonts w:eastAsia="Calibri" w:cs="Arial"/>
              </w:rPr>
              <w:t>.</w:t>
            </w:r>
          </w:p>
          <w:p w14:paraId="63744EEA" w14:textId="42D59161" w:rsidR="0042715A" w:rsidRPr="007075A4" w:rsidRDefault="0042715A" w:rsidP="007075A4">
            <w:pPr>
              <w:pStyle w:val="Testoitaliano"/>
              <w:numPr>
                <w:ilvl w:val="0"/>
                <w:numId w:val="7"/>
              </w:numPr>
              <w:suppressAutoHyphens/>
              <w:ind w:right="172"/>
              <w:rPr>
                <w:rFonts w:cs="Arial"/>
              </w:rPr>
            </w:pPr>
            <w:r w:rsidRPr="007075A4">
              <w:t>Quanto alla ventilata ipotesi di limitare il ribasso sulla sola quota spese, si ritiene che essa si traduca nel rischio che i concorrenti più strutturati offrano il massimo ribasso sostenibile, attestandosi tutti su una quota fissa. In sostanza, si produrrebbe il duplice rischio, da un lato, di attivare, anche in questo caso, una gara a prezzo fisso, ritenuta impraticabile per le ragioni sopra esposte; dall’altro si verificherebbe il rischio che gli operatori di piccole dimensioni si trovino costretti ad offrire un ribasso inferiore, non riuscendo ad abbattere nella stessa misura i costi, con la conseguenza di assistere ad una competizione svolta sulle dimensioni dell’operatore economico anzi che sulla qualità del servizio, in palese spregio dei principi eurocomunitari ed ispiratori del Codice (artt. 3 e 10</w:t>
            </w:r>
            <w:r w:rsidR="00F94308">
              <w:t xml:space="preserve"> </w:t>
            </w:r>
            <w:r w:rsidR="00F94308" w:rsidRPr="00F94308">
              <w:t>d.lgs. 36/2023</w:t>
            </w:r>
            <w:r w:rsidRPr="007075A4">
              <w:t>) di accesso al mercato e di massima partecipazione</w:t>
            </w:r>
            <w:r w:rsidR="007075A4" w:rsidRPr="007075A4">
              <w:t>.</w:t>
            </w:r>
          </w:p>
          <w:p w14:paraId="326A976E" w14:textId="77777777" w:rsidR="0042715A" w:rsidRPr="0042715A" w:rsidRDefault="0042715A" w:rsidP="0042715A">
            <w:pPr>
              <w:pStyle w:val="Testoitaliano"/>
              <w:suppressAutoHyphens/>
              <w:ind w:left="360" w:right="172"/>
              <w:rPr>
                <w:rFonts w:cs="Arial"/>
                <w:highlight w:val="yellow"/>
              </w:rPr>
            </w:pPr>
          </w:p>
          <w:p w14:paraId="316FE230" w14:textId="46B803F8" w:rsidR="00A77F2F" w:rsidRPr="0042715A" w:rsidRDefault="00A77F2F" w:rsidP="0042715A">
            <w:pPr>
              <w:pStyle w:val="Testoitaliano"/>
              <w:suppressAutoHyphens/>
              <w:ind w:left="360" w:right="172"/>
              <w:rPr>
                <w:rFonts w:cs="Arial"/>
              </w:rPr>
            </w:pPr>
          </w:p>
          <w:p w14:paraId="0BE00082" w14:textId="01F3A48F" w:rsidR="003313E9" w:rsidRDefault="00A77F2F" w:rsidP="003313E9">
            <w:pPr>
              <w:pStyle w:val="Testoitaliano"/>
              <w:ind w:right="172"/>
            </w:pPr>
            <w:r>
              <w:t xml:space="preserve">Si ritiene </w:t>
            </w:r>
            <w:r w:rsidRPr="007075A4">
              <w:t xml:space="preserve">pertanto che, alla luce delle considerazioni svolte, l’impostazione della procedura di gara in oggetto, </w:t>
            </w:r>
            <w:r w:rsidR="0042715A" w:rsidRPr="007075A4">
              <w:t xml:space="preserve">risulti legittima in quanto conforme alla </w:t>
            </w:r>
            <w:r w:rsidRPr="007075A4">
              <w:t xml:space="preserve">normativa prevista dall’attuale Codice dei contratti (d.lgs. 36/2023), </w:t>
            </w:r>
            <w:r w:rsidR="003313E9" w:rsidRPr="007075A4">
              <w:t xml:space="preserve">emanato </w:t>
            </w:r>
            <w:r w:rsidRPr="007075A4">
              <w:t>in attuazione delle direttive e principi comunitari</w:t>
            </w:r>
            <w:r w:rsidR="003313E9" w:rsidRPr="007075A4">
              <w:t xml:space="preserve"> in materia di affidamento di contratti pubblici</w:t>
            </w:r>
            <w:r w:rsidRPr="007075A4">
              <w:t xml:space="preserve">, </w:t>
            </w:r>
            <w:r w:rsidR="00057C24" w:rsidRPr="007075A4">
              <w:t xml:space="preserve">ed inoltre </w:t>
            </w:r>
            <w:r w:rsidRPr="007075A4">
              <w:t>assicuri</w:t>
            </w:r>
            <w:r>
              <w:t xml:space="preserve"> l’attuazione</w:t>
            </w:r>
            <w:r w:rsidR="003313E9">
              <w:t xml:space="preserve"> e la salvaguardia </w:t>
            </w:r>
            <w:r>
              <w:t>del principio dell’equo compenso</w:t>
            </w:r>
            <w:r w:rsidR="003313E9">
              <w:t xml:space="preserve">, così come </w:t>
            </w:r>
            <w:r w:rsidR="00057C24">
              <w:t>s</w:t>
            </w:r>
            <w:r w:rsidR="00F16122">
              <w:t>opra descritto</w:t>
            </w:r>
            <w:r w:rsidR="003313E9">
              <w:t>.</w:t>
            </w:r>
          </w:p>
          <w:p w14:paraId="2CB10384" w14:textId="77777777" w:rsidR="003313E9" w:rsidRDefault="003313E9" w:rsidP="003313E9">
            <w:pPr>
              <w:pStyle w:val="Testoitaliano"/>
              <w:ind w:right="172"/>
            </w:pPr>
          </w:p>
          <w:p w14:paraId="133129BA" w14:textId="4C7280A4" w:rsidR="00CB2855" w:rsidRPr="0078681D" w:rsidRDefault="007075A4" w:rsidP="003313E9">
            <w:pPr>
              <w:pStyle w:val="Testoitaliano"/>
              <w:ind w:right="172"/>
            </w:pPr>
            <w:r w:rsidRPr="007075A4">
              <w:t>S</w:t>
            </w:r>
            <w:r w:rsidR="00F16122" w:rsidRPr="007075A4">
              <w:t xml:space="preserve">i </w:t>
            </w:r>
            <w:r w:rsidR="00F16122">
              <w:t>resta a disposizione per eventuali ulteriori chiarimenti.</w:t>
            </w:r>
          </w:p>
        </w:tc>
      </w:tr>
      <w:tr w:rsidR="00307A8A" w:rsidRPr="00F94308" w14:paraId="12B50BA3" w14:textId="77777777" w:rsidTr="00EE1BE9">
        <w:trPr>
          <w:gridAfter w:val="2"/>
          <w:wAfter w:w="12" w:type="dxa"/>
        </w:trPr>
        <w:tc>
          <w:tcPr>
            <w:tcW w:w="4113" w:type="dxa"/>
            <w:shd w:val="clear" w:color="auto" w:fill="auto"/>
          </w:tcPr>
          <w:p w14:paraId="5EB3F8F7" w14:textId="77777777" w:rsidR="00307A8A" w:rsidRPr="009F4B36" w:rsidRDefault="00307A8A" w:rsidP="00CB51DB">
            <w:pPr>
              <w:spacing w:line="240" w:lineRule="atLeast"/>
              <w:ind w:right="171"/>
              <w:jc w:val="both"/>
              <w:rPr>
                <w:lang w:val="it-IT"/>
              </w:rPr>
            </w:pPr>
          </w:p>
        </w:tc>
        <w:tc>
          <w:tcPr>
            <w:tcW w:w="1261" w:type="dxa"/>
            <w:gridSpan w:val="2"/>
            <w:shd w:val="clear" w:color="auto" w:fill="auto"/>
          </w:tcPr>
          <w:p w14:paraId="39631710" w14:textId="77777777" w:rsidR="00307A8A" w:rsidRPr="009F4B36" w:rsidRDefault="00307A8A" w:rsidP="00CB51DB">
            <w:pPr>
              <w:pStyle w:val="Testoitaliano"/>
            </w:pPr>
          </w:p>
        </w:tc>
        <w:tc>
          <w:tcPr>
            <w:tcW w:w="4259" w:type="dxa"/>
            <w:gridSpan w:val="2"/>
            <w:shd w:val="clear" w:color="auto" w:fill="auto"/>
          </w:tcPr>
          <w:p w14:paraId="297899E7" w14:textId="77777777" w:rsidR="00307A8A" w:rsidRPr="00A56758" w:rsidRDefault="00307A8A" w:rsidP="00CB51DB">
            <w:pPr>
              <w:pStyle w:val="Testoitaliano"/>
              <w:ind w:right="172"/>
            </w:pPr>
          </w:p>
        </w:tc>
      </w:tr>
      <w:tr w:rsidR="005A4F38" w:rsidRPr="00AB1812" w14:paraId="71E83F46" w14:textId="77777777" w:rsidTr="00827430">
        <w:trPr>
          <w:gridAfter w:val="1"/>
          <w:wAfter w:w="6" w:type="dxa"/>
        </w:trPr>
        <w:tc>
          <w:tcPr>
            <w:tcW w:w="9639" w:type="dxa"/>
            <w:gridSpan w:val="6"/>
          </w:tcPr>
          <w:p w14:paraId="04D81D49" w14:textId="5FBDF702" w:rsidR="005A4F38" w:rsidRPr="00CA1938" w:rsidRDefault="005A4F38" w:rsidP="00CB51DB">
            <w:pPr>
              <w:ind w:right="142"/>
              <w:jc w:val="both"/>
              <w:rPr>
                <w:lang w:val="it-IT"/>
              </w:rPr>
            </w:pPr>
            <w:r>
              <w:rPr>
                <w:lang w:val="it-IT"/>
              </w:rPr>
              <w:t>Distinti saluti</w:t>
            </w:r>
            <w:r w:rsidR="007075A4">
              <w:rPr>
                <w:lang w:val="it-IT"/>
              </w:rPr>
              <w:t>.</w:t>
            </w:r>
          </w:p>
        </w:tc>
      </w:tr>
      <w:tr w:rsidR="00307A8A" w:rsidRPr="00AB1812" w14:paraId="3E389D92" w14:textId="77777777" w:rsidTr="00164541">
        <w:trPr>
          <w:gridAfter w:val="1"/>
          <w:wAfter w:w="6" w:type="dxa"/>
        </w:trPr>
        <w:tc>
          <w:tcPr>
            <w:tcW w:w="4113" w:type="dxa"/>
          </w:tcPr>
          <w:p w14:paraId="75D064C0" w14:textId="77777777" w:rsidR="00307A8A" w:rsidRPr="00DB7C46" w:rsidRDefault="00307A8A" w:rsidP="00CB51DB">
            <w:pPr>
              <w:ind w:right="142"/>
              <w:rPr>
                <w:lang w:val="de-DE"/>
              </w:rPr>
            </w:pPr>
          </w:p>
        </w:tc>
        <w:tc>
          <w:tcPr>
            <w:tcW w:w="1274" w:type="dxa"/>
            <w:gridSpan w:val="3"/>
          </w:tcPr>
          <w:p w14:paraId="56B6118F" w14:textId="77777777" w:rsidR="00307A8A" w:rsidRPr="00DB7C46" w:rsidRDefault="00307A8A" w:rsidP="00CB51DB">
            <w:pPr>
              <w:ind w:right="142"/>
              <w:jc w:val="both"/>
              <w:rPr>
                <w:lang w:val="de-DE"/>
              </w:rPr>
            </w:pPr>
          </w:p>
        </w:tc>
        <w:tc>
          <w:tcPr>
            <w:tcW w:w="4252" w:type="dxa"/>
            <w:gridSpan w:val="2"/>
          </w:tcPr>
          <w:p w14:paraId="21CC85E0" w14:textId="77777777" w:rsidR="00307A8A" w:rsidRDefault="00307A8A" w:rsidP="00CB51DB">
            <w:pPr>
              <w:ind w:right="142"/>
              <w:jc w:val="both"/>
              <w:rPr>
                <w:lang w:val="it-IT"/>
              </w:rPr>
            </w:pPr>
          </w:p>
        </w:tc>
      </w:tr>
      <w:tr w:rsidR="001F3D4B" w:rsidRPr="00F94308" w14:paraId="7752855D" w14:textId="77777777" w:rsidTr="00164541">
        <w:trPr>
          <w:gridAfter w:val="1"/>
          <w:wAfter w:w="6" w:type="dxa"/>
          <w:cantSplit/>
        </w:trPr>
        <w:tc>
          <w:tcPr>
            <w:tcW w:w="9639" w:type="dxa"/>
            <w:gridSpan w:val="6"/>
          </w:tcPr>
          <w:p w14:paraId="0881D199" w14:textId="776B3CF4" w:rsidR="000458AD" w:rsidRPr="001F3D4B" w:rsidRDefault="00F94308" w:rsidP="000458AD">
            <w:pPr>
              <w:ind w:right="142"/>
              <w:jc w:val="center"/>
              <w:rPr>
                <w:lang w:val="it-IT"/>
              </w:rPr>
            </w:pPr>
            <w:r w:rsidRPr="00F94308">
              <w:rPr>
                <w:noProof w:val="0"/>
              </w:rPr>
              <w:fldChar w:fldCharType="begin">
                <w:ffData>
                  <w:name w:val="Copia di Text21 1"/>
                  <w:enabled/>
                  <w:calcOnExit w:val="0"/>
                  <w:textInput/>
                </w:ffData>
              </w:fldChar>
            </w:r>
            <w:r w:rsidRPr="00F94308">
              <w:rPr>
                <w:rFonts w:cs="Arial"/>
                <w:b/>
                <w:noProof w:val="0"/>
                <w:lang w:val="it-IT"/>
              </w:rPr>
              <w:instrText xml:space="preserve"> FORMTEXT </w:instrText>
            </w:r>
            <w:r w:rsidRPr="00F94308">
              <w:rPr>
                <w:rFonts w:cs="Arial"/>
                <w:b/>
                <w:noProof w:val="0"/>
                <w:lang w:val="it-IT"/>
              </w:rPr>
            </w:r>
            <w:r w:rsidRPr="00F94308">
              <w:rPr>
                <w:rFonts w:cs="Arial"/>
                <w:b/>
                <w:noProof w:val="0"/>
                <w:lang w:val="it-IT"/>
              </w:rPr>
              <w:fldChar w:fldCharType="separate"/>
            </w:r>
            <w:r w:rsidRPr="00F94308">
              <w:rPr>
                <w:rFonts w:cs="Arial"/>
                <w:b/>
                <w:noProof w:val="0"/>
                <w:lang w:val="it-IT"/>
              </w:rPr>
              <w:t>     </w:t>
            </w:r>
            <w:r w:rsidRPr="00F94308">
              <w:rPr>
                <w:rFonts w:cs="Arial"/>
                <w:b/>
                <w:noProof w:val="0"/>
                <w:lang w:val="it-IT"/>
              </w:rPr>
              <w:fldChar w:fldCharType="end"/>
            </w:r>
          </w:p>
        </w:tc>
      </w:tr>
      <w:tr w:rsidR="00CB51DB" w:rsidRPr="00E738B0" w14:paraId="48D02E7C" w14:textId="77777777" w:rsidTr="00164541">
        <w:trPr>
          <w:gridAfter w:val="1"/>
          <w:wAfter w:w="6" w:type="dxa"/>
          <w:cantSplit/>
        </w:trPr>
        <w:tc>
          <w:tcPr>
            <w:tcW w:w="9639" w:type="dxa"/>
            <w:gridSpan w:val="6"/>
          </w:tcPr>
          <w:p w14:paraId="33D33620" w14:textId="64C40585" w:rsidR="00CB51DB" w:rsidRPr="00FC14C0" w:rsidRDefault="00CB51DB" w:rsidP="00CB51DB">
            <w:pPr>
              <w:jc w:val="center"/>
              <w:rPr>
                <w:sz w:val="18"/>
                <w:szCs w:val="18"/>
                <w:lang w:val="de-DE"/>
              </w:rPr>
            </w:pPr>
            <w:r w:rsidRPr="00FC14C0">
              <w:rPr>
                <w:sz w:val="18"/>
                <w:szCs w:val="18"/>
                <w:lang w:val="de-DE"/>
              </w:rPr>
              <w:t>(sottoscritto con firma digitale)</w:t>
            </w:r>
          </w:p>
        </w:tc>
      </w:tr>
      <w:tr w:rsidR="00CB51DB" w:rsidRPr="00E738B0" w14:paraId="4EED8EEC" w14:textId="77777777" w:rsidTr="00164541">
        <w:trPr>
          <w:gridAfter w:val="1"/>
          <w:wAfter w:w="6" w:type="dxa"/>
          <w:cantSplit/>
        </w:trPr>
        <w:tc>
          <w:tcPr>
            <w:tcW w:w="9639" w:type="dxa"/>
            <w:gridSpan w:val="6"/>
          </w:tcPr>
          <w:p w14:paraId="7594221C" w14:textId="77777777" w:rsidR="00CB51DB" w:rsidRPr="00164541" w:rsidRDefault="00CB51DB" w:rsidP="00CB51DB">
            <w:pPr>
              <w:jc w:val="center"/>
              <w:rPr>
                <w:b/>
                <w:color w:val="FF0000"/>
                <w:lang w:val="de-DE"/>
              </w:rPr>
            </w:pPr>
          </w:p>
        </w:tc>
      </w:tr>
    </w:tbl>
    <w:p w14:paraId="0A90CC3A" w14:textId="77777777" w:rsidR="00F9001E" w:rsidRPr="00074546" w:rsidRDefault="00F9001E">
      <w:pPr>
        <w:rPr>
          <w:i/>
          <w:lang w:val="de-DE"/>
        </w:rPr>
      </w:pPr>
    </w:p>
    <w:sectPr w:rsidR="00F9001E" w:rsidRPr="00074546">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A23A" w14:textId="77777777" w:rsidR="002744CC" w:rsidRDefault="002744CC">
      <w:r>
        <w:separator/>
      </w:r>
    </w:p>
  </w:endnote>
  <w:endnote w:type="continuationSeparator" w:id="0">
    <w:p w14:paraId="1F1CB72C" w14:textId="77777777" w:rsidR="002744CC" w:rsidRDefault="0027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E4911" w14:textId="77777777" w:rsidR="00F9001E" w:rsidRDefault="00F9001E">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6F64" w14:textId="77777777" w:rsidR="00F9001E" w:rsidRDefault="00F900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5E4B6D" w:rsidRPr="00EE1BE9" w14:paraId="7E9E3C82" w14:textId="77777777" w:rsidTr="005E4B6D">
      <w:trPr>
        <w:cantSplit/>
      </w:trPr>
      <w:tc>
        <w:tcPr>
          <w:tcW w:w="4990" w:type="dxa"/>
        </w:tcPr>
        <w:p w14:paraId="1BC93276" w14:textId="77777777" w:rsidR="005E4B6D" w:rsidRPr="002F4012" w:rsidRDefault="005E4B6D" w:rsidP="005E4B6D">
          <w:pPr>
            <w:spacing w:before="80" w:line="180" w:lineRule="exact"/>
            <w:jc w:val="right"/>
            <w:rPr>
              <w:sz w:val="16"/>
            </w:rPr>
          </w:pPr>
          <w:r w:rsidRPr="002F4012">
            <w:rPr>
              <w:sz w:val="16"/>
            </w:rPr>
            <w:t xml:space="preserve">Südtiroler Straße 50 </w:t>
          </w:r>
          <w:r w:rsidRPr="002F4012">
            <w:rPr>
              <w:rFonts w:ascii="Wingdings" w:hAnsi="Wingdings"/>
              <w:sz w:val="14"/>
            </w:rPr>
            <w:t></w:t>
          </w:r>
          <w:r w:rsidRPr="002F4012">
            <w:rPr>
              <w:sz w:val="16"/>
            </w:rPr>
            <w:t xml:space="preserve"> 39100 Bozen</w:t>
          </w:r>
        </w:p>
        <w:p w14:paraId="10A19842" w14:textId="2A653F77" w:rsidR="005E4B6D" w:rsidRPr="002F4012" w:rsidRDefault="005E4B6D" w:rsidP="005E4B6D">
          <w:pPr>
            <w:spacing w:line="180" w:lineRule="exact"/>
            <w:jc w:val="right"/>
            <w:rPr>
              <w:sz w:val="16"/>
            </w:rPr>
          </w:pPr>
          <w:r w:rsidRPr="002F4012">
            <w:rPr>
              <w:sz w:val="16"/>
            </w:rPr>
            <w:t xml:space="preserve">Tel. 0471 41 40 10 </w:t>
          </w:r>
          <w:r w:rsidRPr="002F4012">
            <w:rPr>
              <w:rFonts w:ascii="Wingdings" w:hAnsi="Wingdings"/>
              <w:sz w:val="14"/>
            </w:rPr>
            <w:t></w:t>
          </w:r>
          <w:r w:rsidRPr="002F4012">
            <w:rPr>
              <w:sz w:val="16"/>
            </w:rPr>
            <w:t xml:space="preserve"> Fax 0471 41 40 09</w:t>
          </w:r>
        </w:p>
        <w:p w14:paraId="225AE914" w14:textId="77777777" w:rsidR="005E4B6D" w:rsidRPr="002F4012" w:rsidRDefault="005E4B6D" w:rsidP="005E4B6D">
          <w:pPr>
            <w:jc w:val="right"/>
            <w:rPr>
              <w:sz w:val="16"/>
              <w:szCs w:val="16"/>
            </w:rPr>
          </w:pPr>
          <w:r w:rsidRPr="002F4012">
            <w:rPr>
              <w:sz w:val="16"/>
              <w:szCs w:val="16"/>
            </w:rPr>
            <w:t>http://aov.provinz.bz.it</w:t>
          </w:r>
        </w:p>
        <w:p w14:paraId="48950E36" w14:textId="77777777" w:rsidR="005E4B6D" w:rsidRPr="002F4012" w:rsidRDefault="005E4B6D" w:rsidP="005E4B6D">
          <w:pPr>
            <w:spacing w:line="180" w:lineRule="exact"/>
            <w:jc w:val="right"/>
            <w:rPr>
              <w:sz w:val="16"/>
            </w:rPr>
          </w:pPr>
          <w:r w:rsidRPr="002F4012">
            <w:rPr>
              <w:sz w:val="16"/>
            </w:rPr>
            <w:t>aov-acp.servicesupply@pec.prov.bz.it</w:t>
          </w:r>
        </w:p>
        <w:p w14:paraId="194F109A" w14:textId="77777777" w:rsidR="005E4B6D" w:rsidRPr="002F4012" w:rsidRDefault="005E4B6D" w:rsidP="005E4B6D">
          <w:pPr>
            <w:spacing w:line="180" w:lineRule="exact"/>
            <w:jc w:val="right"/>
            <w:rPr>
              <w:sz w:val="16"/>
            </w:rPr>
          </w:pPr>
          <w:r w:rsidRPr="002F4012">
            <w:rPr>
              <w:sz w:val="16"/>
            </w:rPr>
            <w:t>aov.dienst-lieferung@provinz.bz.it</w:t>
          </w:r>
        </w:p>
        <w:p w14:paraId="093C9567" w14:textId="77777777" w:rsidR="005E4B6D" w:rsidRPr="002F4012" w:rsidRDefault="005E4B6D" w:rsidP="005E4B6D">
          <w:pPr>
            <w:spacing w:line="180" w:lineRule="exact"/>
            <w:jc w:val="right"/>
            <w:rPr>
              <w:sz w:val="16"/>
              <w:lang w:val="de-DE"/>
            </w:rPr>
          </w:pPr>
          <w:r w:rsidRPr="002F4012">
            <w:rPr>
              <w:sz w:val="16"/>
              <w:lang w:val="de-DE"/>
            </w:rPr>
            <w:t>Steuernr./Mwst.Nr. 94116410211</w:t>
          </w:r>
        </w:p>
      </w:tc>
      <w:tc>
        <w:tcPr>
          <w:tcW w:w="227" w:type="dxa"/>
          <w:vAlign w:val="center"/>
        </w:tcPr>
        <w:p w14:paraId="743C3F65" w14:textId="77777777" w:rsidR="005E4B6D" w:rsidRPr="002F4012" w:rsidRDefault="005E4B6D" w:rsidP="005E4B6D">
          <w:pPr>
            <w:spacing w:before="80"/>
            <w:jc w:val="center"/>
            <w:rPr>
              <w:sz w:val="16"/>
              <w:lang w:val="de-DE"/>
            </w:rPr>
          </w:pPr>
        </w:p>
      </w:tc>
      <w:tc>
        <w:tcPr>
          <w:tcW w:w="907" w:type="dxa"/>
          <w:vAlign w:val="center"/>
        </w:tcPr>
        <w:p w14:paraId="4659019F" w14:textId="77777777" w:rsidR="005E4B6D" w:rsidRPr="002F4012" w:rsidRDefault="005E4B6D" w:rsidP="005E4B6D">
          <w:pPr>
            <w:rPr>
              <w:lang w:val="de-DE"/>
            </w:rPr>
          </w:pPr>
        </w:p>
      </w:tc>
      <w:tc>
        <w:tcPr>
          <w:tcW w:w="227" w:type="dxa"/>
          <w:vAlign w:val="center"/>
        </w:tcPr>
        <w:p w14:paraId="5FA01B62" w14:textId="77777777" w:rsidR="005E4B6D" w:rsidRPr="002F4012" w:rsidRDefault="005E4B6D" w:rsidP="005E4B6D">
          <w:pPr>
            <w:spacing w:before="80"/>
            <w:jc w:val="center"/>
            <w:rPr>
              <w:sz w:val="16"/>
              <w:lang w:val="de-DE"/>
            </w:rPr>
          </w:pPr>
        </w:p>
      </w:tc>
      <w:tc>
        <w:tcPr>
          <w:tcW w:w="4990" w:type="dxa"/>
        </w:tcPr>
        <w:p w14:paraId="1C476AA7" w14:textId="77777777" w:rsidR="005E4B6D" w:rsidRPr="002F4012" w:rsidRDefault="005E4B6D" w:rsidP="005E4B6D">
          <w:pPr>
            <w:spacing w:before="80" w:line="180" w:lineRule="exact"/>
            <w:rPr>
              <w:sz w:val="16"/>
              <w:lang w:val="it-IT"/>
            </w:rPr>
          </w:pPr>
          <w:r w:rsidRPr="002F4012">
            <w:rPr>
              <w:sz w:val="16"/>
              <w:lang w:val="it-IT"/>
            </w:rPr>
            <w:t xml:space="preserve">via Alto Adige 50 </w:t>
          </w:r>
          <w:r w:rsidRPr="002F4012">
            <w:rPr>
              <w:rFonts w:ascii="Wingdings" w:hAnsi="Wingdings"/>
              <w:sz w:val="14"/>
            </w:rPr>
            <w:t></w:t>
          </w:r>
          <w:r w:rsidRPr="002F4012">
            <w:rPr>
              <w:sz w:val="16"/>
              <w:lang w:val="it-IT"/>
            </w:rPr>
            <w:t xml:space="preserve"> 39100 Bolzano</w:t>
          </w:r>
        </w:p>
        <w:p w14:paraId="7AD3394B" w14:textId="7A3E8323" w:rsidR="005E4B6D" w:rsidRPr="002F4012" w:rsidRDefault="005E4B6D" w:rsidP="005E4B6D">
          <w:pPr>
            <w:spacing w:line="180" w:lineRule="exact"/>
            <w:rPr>
              <w:sz w:val="16"/>
              <w:lang w:val="it-IT"/>
            </w:rPr>
          </w:pPr>
          <w:r w:rsidRPr="002F4012">
            <w:rPr>
              <w:sz w:val="16"/>
              <w:lang w:val="it-IT"/>
            </w:rPr>
            <w:t xml:space="preserve">Tel. 0471 41 40 10 </w:t>
          </w:r>
          <w:r w:rsidRPr="002F4012">
            <w:rPr>
              <w:rFonts w:ascii="Wingdings" w:hAnsi="Wingdings"/>
              <w:sz w:val="14"/>
            </w:rPr>
            <w:t></w:t>
          </w:r>
          <w:r w:rsidRPr="002F4012">
            <w:rPr>
              <w:sz w:val="16"/>
              <w:lang w:val="it-IT"/>
            </w:rPr>
            <w:t xml:space="preserve"> Fax 0471 41 40 09</w:t>
          </w:r>
        </w:p>
        <w:p w14:paraId="1449EE08" w14:textId="77777777" w:rsidR="005E4B6D" w:rsidRPr="002F4012" w:rsidRDefault="005E4B6D" w:rsidP="005E4B6D">
          <w:pPr>
            <w:rPr>
              <w:sz w:val="16"/>
              <w:szCs w:val="16"/>
              <w:lang w:val="it-IT"/>
            </w:rPr>
          </w:pPr>
          <w:r w:rsidRPr="002F4012">
            <w:rPr>
              <w:sz w:val="16"/>
              <w:szCs w:val="16"/>
              <w:lang w:val="it-IT"/>
            </w:rPr>
            <w:t>http://acp.provincia.bz.it</w:t>
          </w:r>
        </w:p>
        <w:p w14:paraId="773B5408" w14:textId="77777777" w:rsidR="005E4B6D" w:rsidRPr="002F4012" w:rsidRDefault="005E4B6D" w:rsidP="005E4B6D">
          <w:pPr>
            <w:spacing w:line="180" w:lineRule="exact"/>
            <w:rPr>
              <w:sz w:val="16"/>
              <w:lang w:val="it-IT"/>
            </w:rPr>
          </w:pPr>
          <w:r w:rsidRPr="002F4012">
            <w:rPr>
              <w:sz w:val="16"/>
              <w:lang w:val="it-IT"/>
            </w:rPr>
            <w:t>aov-acp.servicesupply@pec.prov.bz.it</w:t>
          </w:r>
        </w:p>
        <w:p w14:paraId="3A13A08E" w14:textId="77777777" w:rsidR="005E4B6D" w:rsidRPr="002F4012" w:rsidRDefault="005E4B6D" w:rsidP="005E4B6D">
          <w:pPr>
            <w:spacing w:line="180" w:lineRule="exact"/>
            <w:rPr>
              <w:sz w:val="16"/>
              <w:lang w:val="it-IT"/>
            </w:rPr>
          </w:pPr>
          <w:r w:rsidRPr="002F4012">
            <w:rPr>
              <w:sz w:val="16"/>
              <w:lang w:val="it-IT"/>
            </w:rPr>
            <w:t>acp.serv-forniture@provincia.bz.it</w:t>
          </w:r>
        </w:p>
        <w:p w14:paraId="1E0345EC" w14:textId="77777777" w:rsidR="005E4B6D" w:rsidRPr="002F4012" w:rsidRDefault="005E4B6D" w:rsidP="005E4B6D">
          <w:pPr>
            <w:spacing w:line="180" w:lineRule="exact"/>
            <w:rPr>
              <w:sz w:val="16"/>
              <w:lang w:val="it-IT"/>
            </w:rPr>
          </w:pPr>
          <w:r w:rsidRPr="002F4012">
            <w:rPr>
              <w:sz w:val="16"/>
              <w:lang w:val="it-IT"/>
            </w:rPr>
            <w:t>Codice fiscale/Partita Iva 94116410211</w:t>
          </w:r>
        </w:p>
      </w:tc>
    </w:tr>
  </w:tbl>
  <w:p w14:paraId="178435E6" w14:textId="77777777" w:rsidR="00F9001E" w:rsidRPr="00F46622" w:rsidRDefault="00F9001E">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A4D01" w14:textId="77777777" w:rsidR="002744CC" w:rsidRDefault="002744CC">
      <w:r>
        <w:separator/>
      </w:r>
    </w:p>
  </w:footnote>
  <w:footnote w:type="continuationSeparator" w:id="0">
    <w:p w14:paraId="6C8C8AC7" w14:textId="77777777" w:rsidR="002744CC" w:rsidRDefault="00274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F9001E" w:rsidRPr="00222E82" w14:paraId="7C795514" w14:textId="77777777">
      <w:trPr>
        <w:cantSplit/>
        <w:trHeight w:hRule="exact" w:val="460"/>
      </w:trPr>
      <w:tc>
        <w:tcPr>
          <w:tcW w:w="5245" w:type="dxa"/>
        </w:tcPr>
        <w:p w14:paraId="48A47150" w14:textId="77777777" w:rsidR="00F9001E" w:rsidRDefault="00F9001E">
          <w:pPr>
            <w:spacing w:before="220" w:after="60"/>
            <w:jc w:val="right"/>
            <w:rPr>
              <w:spacing w:val="2"/>
              <w:sz w:val="15"/>
            </w:rPr>
          </w:pPr>
          <w:r>
            <w:rPr>
              <w:spacing w:val="2"/>
              <w:sz w:val="15"/>
            </w:rPr>
            <w:t>AUTONOME PROVINZ BOZEN - SÜDTIROL</w:t>
          </w:r>
        </w:p>
      </w:tc>
      <w:tc>
        <w:tcPr>
          <w:tcW w:w="851" w:type="dxa"/>
          <w:vMerge w:val="restart"/>
        </w:tcPr>
        <w:p w14:paraId="679BD85C" w14:textId="77777777" w:rsidR="00F9001E" w:rsidRDefault="006E3FF2">
          <w:pPr>
            <w:jc w:val="center"/>
            <w:rPr>
              <w:sz w:val="15"/>
            </w:rPr>
          </w:pPr>
          <w:r>
            <w:rPr>
              <w:lang w:val="it-IT" w:eastAsia="it-IT"/>
            </w:rPr>
            <w:drawing>
              <wp:inline distT="0" distB="0" distL="0" distR="0" wp14:anchorId="15BFAB32" wp14:editId="7517555B">
                <wp:extent cx="285115" cy="373380"/>
                <wp:effectExtent l="0" t="0" r="0" b="0"/>
                <wp:docPr id="1"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15" cy="373380"/>
                        </a:xfrm>
                        <a:prstGeom prst="rect">
                          <a:avLst/>
                        </a:prstGeom>
                        <a:noFill/>
                        <a:ln>
                          <a:noFill/>
                        </a:ln>
                      </pic:spPr>
                    </pic:pic>
                  </a:graphicData>
                </a:graphic>
              </wp:inline>
            </w:drawing>
          </w:r>
        </w:p>
      </w:tc>
      <w:tc>
        <w:tcPr>
          <w:tcW w:w="5245" w:type="dxa"/>
        </w:tcPr>
        <w:p w14:paraId="60C83A81" w14:textId="77777777" w:rsidR="00F9001E" w:rsidRPr="00E743D8" w:rsidRDefault="00F9001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F9001E" w14:paraId="404C35CD" w14:textId="77777777">
      <w:trPr>
        <w:cantSplit/>
      </w:trPr>
      <w:tc>
        <w:tcPr>
          <w:tcW w:w="5245" w:type="dxa"/>
          <w:tcBorders>
            <w:top w:val="single" w:sz="2" w:space="0" w:color="auto"/>
          </w:tcBorders>
        </w:tcPr>
        <w:p w14:paraId="55C1E7E3" w14:textId="77777777" w:rsidR="00F9001E" w:rsidRPr="00E743D8" w:rsidRDefault="00F9001E">
          <w:pPr>
            <w:spacing w:before="80" w:line="180" w:lineRule="exact"/>
            <w:jc w:val="right"/>
            <w:rPr>
              <w:sz w:val="16"/>
              <w:lang w:val="it-IT"/>
            </w:rPr>
          </w:pPr>
        </w:p>
      </w:tc>
      <w:tc>
        <w:tcPr>
          <w:tcW w:w="851" w:type="dxa"/>
          <w:vMerge/>
        </w:tcPr>
        <w:p w14:paraId="0AE9C09E" w14:textId="77777777" w:rsidR="00F9001E" w:rsidRPr="00E743D8" w:rsidRDefault="00F9001E">
          <w:pPr>
            <w:spacing w:line="180" w:lineRule="exact"/>
            <w:jc w:val="center"/>
            <w:rPr>
              <w:sz w:val="16"/>
              <w:lang w:val="it-IT"/>
            </w:rPr>
          </w:pPr>
        </w:p>
      </w:tc>
      <w:tc>
        <w:tcPr>
          <w:tcW w:w="5245" w:type="dxa"/>
          <w:tcBorders>
            <w:top w:val="single" w:sz="2" w:space="0" w:color="auto"/>
          </w:tcBorders>
        </w:tcPr>
        <w:p w14:paraId="448F1602" w14:textId="77777777" w:rsidR="00F9001E" w:rsidRDefault="00F9001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sidR="005F5545">
            <w:rPr>
              <w:rStyle w:val="Numeropagina"/>
              <w:sz w:val="16"/>
            </w:rPr>
            <w:t>2</w:t>
          </w:r>
          <w:r>
            <w:rPr>
              <w:rStyle w:val="Numeropagina"/>
              <w:sz w:val="16"/>
            </w:rPr>
            <w:fldChar w:fldCharType="end"/>
          </w:r>
        </w:p>
      </w:tc>
    </w:tr>
  </w:tbl>
  <w:p w14:paraId="46B8C29A" w14:textId="77777777" w:rsidR="00F9001E" w:rsidRDefault="00F9001E">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F9001E" w:rsidRPr="00222E82" w14:paraId="48F3E165" w14:textId="77777777">
      <w:trPr>
        <w:cantSplit/>
        <w:trHeight w:hRule="exact" w:val="460"/>
      </w:trPr>
      <w:tc>
        <w:tcPr>
          <w:tcW w:w="4990" w:type="dxa"/>
        </w:tcPr>
        <w:p w14:paraId="062267CE" w14:textId="77777777" w:rsidR="00F9001E" w:rsidRPr="002B2156" w:rsidRDefault="00F9001E">
          <w:pPr>
            <w:pStyle w:val="NameNachname"/>
            <w:spacing w:before="200" w:after="40" w:line="240" w:lineRule="auto"/>
            <w:rPr>
              <w:noProof/>
              <w:spacing w:val="2"/>
            </w:rPr>
          </w:pPr>
          <w:r w:rsidRPr="002B2156">
            <w:rPr>
              <w:noProof/>
              <w:spacing w:val="2"/>
            </w:rPr>
            <w:t>AUTONOME PROVINZ BOZEN - SÜDTIROL</w:t>
          </w:r>
        </w:p>
      </w:tc>
      <w:tc>
        <w:tcPr>
          <w:tcW w:w="1361" w:type="dxa"/>
          <w:vMerge w:val="restart"/>
        </w:tcPr>
        <w:p w14:paraId="70F4EDCD" w14:textId="77777777" w:rsidR="00F9001E" w:rsidRPr="002B2156" w:rsidRDefault="006E3FF2">
          <w:pPr>
            <w:jc w:val="center"/>
          </w:pPr>
          <w:r w:rsidRPr="002B2156">
            <w:rPr>
              <w:lang w:val="it-IT" w:eastAsia="it-IT"/>
            </w:rPr>
            <w:drawing>
              <wp:inline distT="0" distB="0" distL="0" distR="0" wp14:anchorId="1B328D1B" wp14:editId="7D5C00D3">
                <wp:extent cx="570865" cy="746125"/>
                <wp:effectExtent l="0" t="0" r="0" b="0"/>
                <wp:docPr id="2"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865" cy="746125"/>
                        </a:xfrm>
                        <a:prstGeom prst="rect">
                          <a:avLst/>
                        </a:prstGeom>
                        <a:noFill/>
                        <a:ln>
                          <a:noFill/>
                        </a:ln>
                      </pic:spPr>
                    </pic:pic>
                  </a:graphicData>
                </a:graphic>
              </wp:inline>
            </w:drawing>
          </w:r>
        </w:p>
      </w:tc>
      <w:tc>
        <w:tcPr>
          <w:tcW w:w="4990" w:type="dxa"/>
        </w:tcPr>
        <w:p w14:paraId="7F53B280" w14:textId="77777777" w:rsidR="00F9001E" w:rsidRPr="002B2156" w:rsidRDefault="00F9001E">
          <w:pPr>
            <w:pStyle w:val="Intestazione"/>
            <w:tabs>
              <w:tab w:val="clear" w:pos="4536"/>
              <w:tab w:val="clear" w:pos="9072"/>
            </w:tabs>
            <w:spacing w:before="200" w:after="40"/>
            <w:rPr>
              <w:spacing w:val="-2"/>
              <w:lang w:val="it-IT"/>
            </w:rPr>
          </w:pPr>
          <w:r w:rsidRPr="002B2156">
            <w:rPr>
              <w:spacing w:val="-2"/>
              <w:lang w:val="it-IT"/>
            </w:rPr>
            <w:t>PROVINCIA AUTONOMA DI BOLZANO - ALTO ADIGE</w:t>
          </w:r>
        </w:p>
      </w:tc>
    </w:tr>
    <w:tr w:rsidR="00F9001E" w:rsidRPr="00222E82" w14:paraId="576434AE" w14:textId="77777777" w:rsidTr="002B2156">
      <w:trPr>
        <w:cantSplit/>
        <w:trHeight w:hRule="exact" w:val="1525"/>
      </w:trPr>
      <w:tc>
        <w:tcPr>
          <w:tcW w:w="4990" w:type="dxa"/>
          <w:tcBorders>
            <w:top w:val="single" w:sz="2" w:space="0" w:color="auto"/>
          </w:tcBorders>
        </w:tcPr>
        <w:p w14:paraId="4F1AB423" w14:textId="77777777" w:rsidR="00F9001E" w:rsidRPr="002B2156" w:rsidRDefault="00F9001E">
          <w:pPr>
            <w:spacing w:before="70" w:line="200" w:lineRule="exact"/>
            <w:jc w:val="right"/>
            <w:rPr>
              <w:b/>
              <w:sz w:val="18"/>
              <w:lang w:val="de-DE"/>
            </w:rPr>
          </w:pPr>
          <w:r w:rsidRPr="002B2156">
            <w:rPr>
              <w:b/>
              <w:sz w:val="18"/>
              <w:lang w:val="de-DE"/>
            </w:rPr>
            <w:t xml:space="preserve">Agentur für öffentliche </w:t>
          </w:r>
          <w:r w:rsidR="008D7BE4" w:rsidRPr="002B2156">
            <w:rPr>
              <w:b/>
              <w:sz w:val="18"/>
              <w:lang w:val="de-DE"/>
            </w:rPr>
            <w:t>Verträge - AOV</w:t>
          </w:r>
        </w:p>
        <w:p w14:paraId="20468CA9" w14:textId="77777777" w:rsidR="00B44906" w:rsidRPr="002B2156" w:rsidRDefault="00B44906" w:rsidP="00B44906">
          <w:pPr>
            <w:spacing w:before="70" w:line="200" w:lineRule="exact"/>
            <w:jc w:val="right"/>
            <w:rPr>
              <w:sz w:val="18"/>
              <w:lang w:val="de-DE"/>
            </w:rPr>
          </w:pPr>
          <w:r w:rsidRPr="002B2156">
            <w:rPr>
              <w:sz w:val="18"/>
              <w:lang w:val="de-DE"/>
            </w:rPr>
            <w:t>EVS AI - Einheitliche Vergabestelle Architektur- und Ingenieurwesen</w:t>
          </w:r>
        </w:p>
        <w:p w14:paraId="4D8EEC29" w14:textId="77777777" w:rsidR="00F9001E" w:rsidRPr="002B2156" w:rsidRDefault="00F9001E" w:rsidP="00F9001E">
          <w:pPr>
            <w:spacing w:before="60" w:line="200" w:lineRule="exact"/>
            <w:rPr>
              <w:b/>
              <w:sz w:val="18"/>
              <w:lang w:val="de-DE"/>
            </w:rPr>
          </w:pPr>
        </w:p>
      </w:tc>
      <w:tc>
        <w:tcPr>
          <w:tcW w:w="1361" w:type="dxa"/>
          <w:vMerge/>
        </w:tcPr>
        <w:p w14:paraId="7F06C6A5" w14:textId="77777777" w:rsidR="00F9001E" w:rsidRPr="002B2156" w:rsidRDefault="00F9001E">
          <w:pPr>
            <w:jc w:val="center"/>
            <w:rPr>
              <w:sz w:val="17"/>
              <w:lang w:val="de-DE"/>
            </w:rPr>
          </w:pPr>
        </w:p>
      </w:tc>
      <w:tc>
        <w:tcPr>
          <w:tcW w:w="4990" w:type="dxa"/>
          <w:tcBorders>
            <w:top w:val="single" w:sz="2" w:space="0" w:color="auto"/>
          </w:tcBorders>
        </w:tcPr>
        <w:p w14:paraId="1DC89DD6" w14:textId="77777777" w:rsidR="002B2156" w:rsidRPr="002B2156" w:rsidRDefault="00F9001E" w:rsidP="002B2156">
          <w:pPr>
            <w:spacing w:before="70" w:line="200" w:lineRule="exact"/>
            <w:rPr>
              <w:b/>
              <w:sz w:val="18"/>
              <w:lang w:val="it-IT"/>
            </w:rPr>
          </w:pPr>
          <w:r w:rsidRPr="002B2156">
            <w:rPr>
              <w:b/>
              <w:sz w:val="18"/>
              <w:lang w:val="it-IT"/>
            </w:rPr>
            <w:t xml:space="preserve">Agenzia per i contratti pubblici </w:t>
          </w:r>
          <w:r w:rsidR="008D7BE4" w:rsidRPr="002B2156">
            <w:rPr>
              <w:b/>
              <w:sz w:val="18"/>
              <w:lang w:val="it-IT"/>
            </w:rPr>
            <w:t>– ACP</w:t>
          </w:r>
        </w:p>
        <w:p w14:paraId="6BA093BE" w14:textId="20C76DB6" w:rsidR="00B44906" w:rsidRPr="002B2156" w:rsidRDefault="00B44906" w:rsidP="002B2156">
          <w:pPr>
            <w:spacing w:before="70" w:line="200" w:lineRule="exact"/>
            <w:rPr>
              <w:sz w:val="18"/>
              <w:szCs w:val="18"/>
              <w:lang w:val="it-IT"/>
            </w:rPr>
          </w:pPr>
          <w:r w:rsidRPr="002B2156">
            <w:rPr>
              <w:sz w:val="18"/>
              <w:szCs w:val="18"/>
              <w:lang w:val="it-IT"/>
            </w:rPr>
            <w:t>SUA SAI - Stazione Unica Appaltante Servizi di architettura e ingegneria</w:t>
          </w:r>
        </w:p>
        <w:p w14:paraId="0A50C362" w14:textId="77777777" w:rsidR="00B44906" w:rsidRPr="002B2156" w:rsidRDefault="00B44906" w:rsidP="00F9001E">
          <w:pPr>
            <w:spacing w:before="60" w:line="200" w:lineRule="exact"/>
            <w:rPr>
              <w:b/>
              <w:sz w:val="18"/>
              <w:lang w:val="it-IT"/>
            </w:rPr>
          </w:pPr>
        </w:p>
      </w:tc>
    </w:tr>
  </w:tbl>
  <w:p w14:paraId="3A45EC40" w14:textId="77777777" w:rsidR="00F9001E" w:rsidRPr="0093186E" w:rsidRDefault="00F9001E">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45C"/>
    <w:multiLevelType w:val="hybridMultilevel"/>
    <w:tmpl w:val="E66EBCA4"/>
    <w:lvl w:ilvl="0" w:tplc="8C82CD6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1D1C4C"/>
    <w:multiLevelType w:val="hybridMultilevel"/>
    <w:tmpl w:val="A9968BEC"/>
    <w:lvl w:ilvl="0" w:tplc="0407000F">
      <w:start w:val="1"/>
      <w:numFmt w:val="decimal"/>
      <w:lvlText w:val="%1."/>
      <w:lvlJc w:val="left"/>
      <w:pPr>
        <w:tabs>
          <w:tab w:val="num" w:pos="360"/>
        </w:tabs>
        <w:ind w:left="360" w:hanging="360"/>
      </w:pPr>
      <w:rPr>
        <w:rFonts w:cs="Times New Roman" w:hint="default"/>
        <w:sz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 w15:restartNumberingAfterBreak="0">
    <w:nsid w:val="1A1D032B"/>
    <w:multiLevelType w:val="hybridMultilevel"/>
    <w:tmpl w:val="3DD0BB52"/>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28A10AF"/>
    <w:multiLevelType w:val="hybridMultilevel"/>
    <w:tmpl w:val="F754D6DE"/>
    <w:lvl w:ilvl="0" w:tplc="88AA6A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C44AC6"/>
    <w:multiLevelType w:val="multilevel"/>
    <w:tmpl w:val="8C5C51D2"/>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56804148"/>
    <w:multiLevelType w:val="multilevel"/>
    <w:tmpl w:val="72F2153C"/>
    <w:lvl w:ilvl="0">
      <w:start w:val="5"/>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0C81A3A"/>
    <w:multiLevelType w:val="hybridMultilevel"/>
    <w:tmpl w:val="496ABFC2"/>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B1720D7"/>
    <w:multiLevelType w:val="hybridMultilevel"/>
    <w:tmpl w:val="A29CD080"/>
    <w:lvl w:ilvl="0" w:tplc="4D2870C4">
      <w:start w:val="1"/>
      <w:numFmt w:val="decimal"/>
      <w:lvlText w:val="%1."/>
      <w:lvlJc w:val="left"/>
      <w:pPr>
        <w:tabs>
          <w:tab w:val="num" w:pos="360"/>
        </w:tabs>
        <w:ind w:left="360" w:hanging="360"/>
      </w:pPr>
      <w:rPr>
        <w:rFonts w:hint="default"/>
        <w:color w:val="auto"/>
        <w:sz w:val="20"/>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186292743">
    <w:abstractNumId w:val="7"/>
  </w:num>
  <w:num w:numId="2" w16cid:durableId="613829923">
    <w:abstractNumId w:val="1"/>
  </w:num>
  <w:num w:numId="3" w16cid:durableId="673610915">
    <w:abstractNumId w:val="2"/>
  </w:num>
  <w:num w:numId="4" w16cid:durableId="782650063">
    <w:abstractNumId w:val="6"/>
  </w:num>
  <w:num w:numId="5" w16cid:durableId="1991591558">
    <w:abstractNumId w:val="3"/>
  </w:num>
  <w:num w:numId="6" w16cid:durableId="1219978254">
    <w:abstractNumId w:val="0"/>
  </w:num>
  <w:num w:numId="7" w16cid:durableId="1354188566">
    <w:abstractNumId w:val="5"/>
  </w:num>
  <w:num w:numId="8" w16cid:durableId="1684278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0E"/>
    <w:rsid w:val="000156F7"/>
    <w:rsid w:val="000262A5"/>
    <w:rsid w:val="00041309"/>
    <w:rsid w:val="000458AD"/>
    <w:rsid w:val="00057C24"/>
    <w:rsid w:val="00062C69"/>
    <w:rsid w:val="00071C0E"/>
    <w:rsid w:val="00074546"/>
    <w:rsid w:val="000825A7"/>
    <w:rsid w:val="00087C44"/>
    <w:rsid w:val="00092CE5"/>
    <w:rsid w:val="00095983"/>
    <w:rsid w:val="000C17E9"/>
    <w:rsid w:val="000D704B"/>
    <w:rsid w:val="001044FB"/>
    <w:rsid w:val="00123C7B"/>
    <w:rsid w:val="00125924"/>
    <w:rsid w:val="0014192F"/>
    <w:rsid w:val="0014523B"/>
    <w:rsid w:val="00164541"/>
    <w:rsid w:val="00181DBD"/>
    <w:rsid w:val="001F3D4B"/>
    <w:rsid w:val="00214B56"/>
    <w:rsid w:val="00222E82"/>
    <w:rsid w:val="002659E5"/>
    <w:rsid w:val="00270E25"/>
    <w:rsid w:val="002744CC"/>
    <w:rsid w:val="00295611"/>
    <w:rsid w:val="002B2156"/>
    <w:rsid w:val="002F180B"/>
    <w:rsid w:val="002F4012"/>
    <w:rsid w:val="00307A8A"/>
    <w:rsid w:val="003313E9"/>
    <w:rsid w:val="003610E8"/>
    <w:rsid w:val="003834C0"/>
    <w:rsid w:val="0039415A"/>
    <w:rsid w:val="003A7365"/>
    <w:rsid w:val="003B6A3F"/>
    <w:rsid w:val="003D5F6E"/>
    <w:rsid w:val="003D7574"/>
    <w:rsid w:val="003F480B"/>
    <w:rsid w:val="00405BB3"/>
    <w:rsid w:val="00420D58"/>
    <w:rsid w:val="004221CB"/>
    <w:rsid w:val="004236FB"/>
    <w:rsid w:val="0042715A"/>
    <w:rsid w:val="00451D63"/>
    <w:rsid w:val="00487830"/>
    <w:rsid w:val="004B3D73"/>
    <w:rsid w:val="004B750D"/>
    <w:rsid w:val="004C0701"/>
    <w:rsid w:val="004D45E0"/>
    <w:rsid w:val="004E6CB9"/>
    <w:rsid w:val="005130D9"/>
    <w:rsid w:val="0057765B"/>
    <w:rsid w:val="005A4F38"/>
    <w:rsid w:val="005B010C"/>
    <w:rsid w:val="005E4B6D"/>
    <w:rsid w:val="005F5545"/>
    <w:rsid w:val="005F74C4"/>
    <w:rsid w:val="00604BA7"/>
    <w:rsid w:val="00626CC7"/>
    <w:rsid w:val="00654911"/>
    <w:rsid w:val="00681B24"/>
    <w:rsid w:val="00691CBC"/>
    <w:rsid w:val="006B7692"/>
    <w:rsid w:val="006C28D8"/>
    <w:rsid w:val="006D3630"/>
    <w:rsid w:val="006E3FF2"/>
    <w:rsid w:val="007075A4"/>
    <w:rsid w:val="00750170"/>
    <w:rsid w:val="0075738A"/>
    <w:rsid w:val="00765350"/>
    <w:rsid w:val="007769BB"/>
    <w:rsid w:val="00780E0D"/>
    <w:rsid w:val="007940DB"/>
    <w:rsid w:val="00795649"/>
    <w:rsid w:val="007963A3"/>
    <w:rsid w:val="007C123F"/>
    <w:rsid w:val="007D664D"/>
    <w:rsid w:val="007F716E"/>
    <w:rsid w:val="008211AD"/>
    <w:rsid w:val="00830F20"/>
    <w:rsid w:val="0083271F"/>
    <w:rsid w:val="00846F35"/>
    <w:rsid w:val="008706C6"/>
    <w:rsid w:val="008A6931"/>
    <w:rsid w:val="008C680E"/>
    <w:rsid w:val="008C6919"/>
    <w:rsid w:val="008D0DA1"/>
    <w:rsid w:val="008D4453"/>
    <w:rsid w:val="008D7BE4"/>
    <w:rsid w:val="008E5018"/>
    <w:rsid w:val="008E5371"/>
    <w:rsid w:val="0093186E"/>
    <w:rsid w:val="0099440C"/>
    <w:rsid w:val="00994D72"/>
    <w:rsid w:val="009A7B79"/>
    <w:rsid w:val="009D421F"/>
    <w:rsid w:val="009D4EB6"/>
    <w:rsid w:val="009F4B36"/>
    <w:rsid w:val="00A41AC8"/>
    <w:rsid w:val="00A43887"/>
    <w:rsid w:val="00A62112"/>
    <w:rsid w:val="00A77F2F"/>
    <w:rsid w:val="00A835C4"/>
    <w:rsid w:val="00AA04E8"/>
    <w:rsid w:val="00AA3786"/>
    <w:rsid w:val="00AB1812"/>
    <w:rsid w:val="00AD4833"/>
    <w:rsid w:val="00AD4BD5"/>
    <w:rsid w:val="00B07CF7"/>
    <w:rsid w:val="00B30712"/>
    <w:rsid w:val="00B44906"/>
    <w:rsid w:val="00B503D6"/>
    <w:rsid w:val="00B51213"/>
    <w:rsid w:val="00B928FB"/>
    <w:rsid w:val="00BB413B"/>
    <w:rsid w:val="00BB5C15"/>
    <w:rsid w:val="00BC5075"/>
    <w:rsid w:val="00BC553F"/>
    <w:rsid w:val="00BD1AAA"/>
    <w:rsid w:val="00BF0F41"/>
    <w:rsid w:val="00C0586C"/>
    <w:rsid w:val="00C17500"/>
    <w:rsid w:val="00C27CBB"/>
    <w:rsid w:val="00C31EFF"/>
    <w:rsid w:val="00C3627B"/>
    <w:rsid w:val="00C400F5"/>
    <w:rsid w:val="00C779AD"/>
    <w:rsid w:val="00C81573"/>
    <w:rsid w:val="00CA33DD"/>
    <w:rsid w:val="00CB2855"/>
    <w:rsid w:val="00CB51DB"/>
    <w:rsid w:val="00CC0895"/>
    <w:rsid w:val="00CC2248"/>
    <w:rsid w:val="00CD4AD0"/>
    <w:rsid w:val="00CF3CFC"/>
    <w:rsid w:val="00D43D1A"/>
    <w:rsid w:val="00D52A9A"/>
    <w:rsid w:val="00D851D5"/>
    <w:rsid w:val="00DC36B8"/>
    <w:rsid w:val="00DC5522"/>
    <w:rsid w:val="00E04E98"/>
    <w:rsid w:val="00E1009C"/>
    <w:rsid w:val="00E511D8"/>
    <w:rsid w:val="00E534E3"/>
    <w:rsid w:val="00E55204"/>
    <w:rsid w:val="00E738B0"/>
    <w:rsid w:val="00E76DD2"/>
    <w:rsid w:val="00E9080C"/>
    <w:rsid w:val="00E91BCA"/>
    <w:rsid w:val="00E95981"/>
    <w:rsid w:val="00EA11C6"/>
    <w:rsid w:val="00EA4B4B"/>
    <w:rsid w:val="00EC5B9F"/>
    <w:rsid w:val="00ED3DB0"/>
    <w:rsid w:val="00EE082A"/>
    <w:rsid w:val="00EE1BE9"/>
    <w:rsid w:val="00F11A73"/>
    <w:rsid w:val="00F16122"/>
    <w:rsid w:val="00F66D83"/>
    <w:rsid w:val="00F72F91"/>
    <w:rsid w:val="00F80DCA"/>
    <w:rsid w:val="00F9001E"/>
    <w:rsid w:val="00F94308"/>
    <w:rsid w:val="00F96D11"/>
    <w:rsid w:val="00FC14C0"/>
    <w:rsid w:val="00FC66EF"/>
    <w:rsid w:val="00FF1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702A8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3186E"/>
    <w:pPr>
      <w:spacing w:line="240" w:lineRule="exact"/>
    </w:pPr>
    <w:rPr>
      <w:noProof w:val="0"/>
      <w:lang w:val="de-DE"/>
    </w:rPr>
  </w:style>
  <w:style w:type="character" w:styleId="Rimandocommento">
    <w:name w:val="annotation reference"/>
    <w:semiHidden/>
    <w:rsid w:val="0093186E"/>
    <w:rPr>
      <w:sz w:val="16"/>
      <w:szCs w:val="16"/>
    </w:rPr>
  </w:style>
  <w:style w:type="paragraph" w:styleId="Testocommento">
    <w:name w:val="annotation text"/>
    <w:basedOn w:val="Normale"/>
    <w:link w:val="TestocommentoCarattere"/>
    <w:semiHidden/>
    <w:rsid w:val="0093186E"/>
  </w:style>
  <w:style w:type="paragraph" w:styleId="Soggettocommento">
    <w:name w:val="annotation subject"/>
    <w:basedOn w:val="Testocommento"/>
    <w:next w:val="Testocommento"/>
    <w:link w:val="SoggettocommentoCarattere"/>
    <w:rsid w:val="00654911"/>
    <w:rPr>
      <w:b/>
      <w:bCs/>
    </w:rPr>
  </w:style>
  <w:style w:type="character" w:customStyle="1" w:styleId="TestocommentoCarattere">
    <w:name w:val="Testo commento Carattere"/>
    <w:link w:val="Testocommento"/>
    <w:semiHidden/>
    <w:rsid w:val="00654911"/>
    <w:rPr>
      <w:rFonts w:ascii="Arial" w:hAnsi="Arial"/>
      <w:noProof/>
      <w:lang w:val="en-US" w:eastAsia="en-US"/>
    </w:rPr>
  </w:style>
  <w:style w:type="character" w:customStyle="1" w:styleId="SoggettocommentoCarattere">
    <w:name w:val="Soggetto commento Carattere"/>
    <w:link w:val="Soggettocommento"/>
    <w:rsid w:val="00654911"/>
    <w:rPr>
      <w:rFonts w:ascii="Arial" w:hAnsi="Arial"/>
      <w:b/>
      <w:bCs/>
      <w:noProof/>
      <w:lang w:val="en-US" w:eastAsia="en-US"/>
    </w:rPr>
  </w:style>
  <w:style w:type="paragraph" w:customStyle="1" w:styleId="VersandformundAdresse">
    <w:name w:val="Versandform und Adresse"/>
    <w:basedOn w:val="Normale"/>
    <w:rsid w:val="00074546"/>
    <w:pPr>
      <w:spacing w:line="240" w:lineRule="exact"/>
    </w:pPr>
  </w:style>
  <w:style w:type="character" w:styleId="Menzionenonrisolta">
    <w:name w:val="Unresolved Mention"/>
    <w:basedOn w:val="Carpredefinitoparagrafo"/>
    <w:uiPriority w:val="99"/>
    <w:semiHidden/>
    <w:unhideWhenUsed/>
    <w:rsid w:val="00BB5C15"/>
    <w:rPr>
      <w:color w:val="605E5C"/>
      <w:shd w:val="clear" w:color="auto" w:fill="E1DFDD"/>
    </w:rPr>
  </w:style>
  <w:style w:type="paragraph" w:styleId="Paragrafoelenco">
    <w:name w:val="List Paragraph"/>
    <w:basedOn w:val="Normale"/>
    <w:uiPriority w:val="34"/>
    <w:qFormat/>
    <w:rsid w:val="00846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7398">
      <w:bodyDiv w:val="1"/>
      <w:marLeft w:val="0"/>
      <w:marRight w:val="0"/>
      <w:marTop w:val="0"/>
      <w:marBottom w:val="0"/>
      <w:divBdr>
        <w:top w:val="none" w:sz="0" w:space="0" w:color="auto"/>
        <w:left w:val="none" w:sz="0" w:space="0" w:color="auto"/>
        <w:bottom w:val="none" w:sz="0" w:space="0" w:color="auto"/>
        <w:right w:val="none" w:sz="0" w:space="0" w:color="auto"/>
      </w:divBdr>
    </w:div>
    <w:div w:id="1065688248">
      <w:bodyDiv w:val="1"/>
      <w:marLeft w:val="0"/>
      <w:marRight w:val="0"/>
      <w:marTop w:val="0"/>
      <w:marBottom w:val="0"/>
      <w:divBdr>
        <w:top w:val="none" w:sz="0" w:space="0" w:color="auto"/>
        <w:left w:val="none" w:sz="0" w:space="0" w:color="auto"/>
        <w:bottom w:val="none" w:sz="0" w:space="0" w:color="auto"/>
        <w:right w:val="none" w:sz="0" w:space="0" w:color="auto"/>
      </w:divBdr>
    </w:div>
    <w:div w:id="1207256993">
      <w:bodyDiv w:val="1"/>
      <w:marLeft w:val="0"/>
      <w:marRight w:val="0"/>
      <w:marTop w:val="0"/>
      <w:marBottom w:val="0"/>
      <w:divBdr>
        <w:top w:val="none" w:sz="0" w:space="0" w:color="auto"/>
        <w:left w:val="none" w:sz="0" w:space="0" w:color="auto"/>
        <w:bottom w:val="none" w:sz="0" w:space="0" w:color="auto"/>
        <w:right w:val="none" w:sz="0" w:space="0" w:color="auto"/>
      </w:divBdr>
    </w:div>
    <w:div w:id="1344749442">
      <w:bodyDiv w:val="1"/>
      <w:marLeft w:val="0"/>
      <w:marRight w:val="0"/>
      <w:marTop w:val="0"/>
      <w:marBottom w:val="0"/>
      <w:divBdr>
        <w:top w:val="none" w:sz="0" w:space="0" w:color="auto"/>
        <w:left w:val="none" w:sz="0" w:space="0" w:color="auto"/>
        <w:bottom w:val="none" w:sz="0" w:space="0" w:color="auto"/>
        <w:right w:val="none" w:sz="0" w:space="0" w:color="auto"/>
      </w:divBdr>
    </w:div>
    <w:div w:id="1509246733">
      <w:bodyDiv w:val="1"/>
      <w:marLeft w:val="0"/>
      <w:marRight w:val="0"/>
      <w:marTop w:val="0"/>
      <w:marBottom w:val="0"/>
      <w:divBdr>
        <w:top w:val="none" w:sz="0" w:space="0" w:color="auto"/>
        <w:left w:val="none" w:sz="0" w:space="0" w:color="auto"/>
        <w:bottom w:val="none" w:sz="0" w:space="0" w:color="auto"/>
        <w:right w:val="none" w:sz="0" w:space="0" w:color="auto"/>
      </w:divBdr>
    </w:div>
    <w:div w:id="1610819942">
      <w:bodyDiv w:val="1"/>
      <w:marLeft w:val="0"/>
      <w:marRight w:val="0"/>
      <w:marTop w:val="0"/>
      <w:marBottom w:val="0"/>
      <w:divBdr>
        <w:top w:val="none" w:sz="0" w:space="0" w:color="auto"/>
        <w:left w:val="none" w:sz="0" w:space="0" w:color="auto"/>
        <w:bottom w:val="none" w:sz="0" w:space="0" w:color="auto"/>
        <w:right w:val="none" w:sz="0" w:space="0" w:color="auto"/>
      </w:divBdr>
    </w:div>
    <w:div w:id="169583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F4AE-5FE1-4836-9459-C9AEE97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5230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6056</CharactersWithSpaces>
  <SharedDoc>false</SharedDoc>
  <HLinks>
    <vt:vector size="30" baseType="variant">
      <vt:variant>
        <vt:i4>2359321</vt:i4>
      </vt:variant>
      <vt:variant>
        <vt:i4>48</vt:i4>
      </vt:variant>
      <vt:variant>
        <vt:i4>0</vt:i4>
      </vt:variant>
      <vt:variant>
        <vt:i4>5</vt:i4>
      </vt:variant>
      <vt:variant>
        <vt:lpwstr>mailto:aov-acp.servicesupply@pec.prov.bz.it</vt:lpwstr>
      </vt:variant>
      <vt:variant>
        <vt:lpwstr/>
      </vt:variant>
      <vt:variant>
        <vt:i4>2293762</vt:i4>
      </vt:variant>
      <vt:variant>
        <vt:i4>45</vt:i4>
      </vt:variant>
      <vt:variant>
        <vt:i4>0</vt:i4>
      </vt:variant>
      <vt:variant>
        <vt:i4>5</vt:i4>
      </vt:variant>
      <vt:variant>
        <vt:lpwstr>mailto:aov-acp.works@pec.prov.bz.it</vt:lpwstr>
      </vt:variant>
      <vt:variant>
        <vt:lpwstr/>
      </vt:variant>
      <vt:variant>
        <vt:i4>2359321</vt:i4>
      </vt:variant>
      <vt:variant>
        <vt:i4>42</vt:i4>
      </vt:variant>
      <vt:variant>
        <vt:i4>0</vt:i4>
      </vt:variant>
      <vt:variant>
        <vt:i4>5</vt:i4>
      </vt:variant>
      <vt:variant>
        <vt:lpwstr>mailto:aov-acp.servicesupply@pec.prov.bz.it</vt:lpwstr>
      </vt:variant>
      <vt:variant>
        <vt:lpwstr/>
      </vt:variant>
      <vt:variant>
        <vt:i4>2293762</vt:i4>
      </vt:variant>
      <vt:variant>
        <vt:i4>39</vt:i4>
      </vt:variant>
      <vt:variant>
        <vt:i4>0</vt:i4>
      </vt:variant>
      <vt:variant>
        <vt:i4>5</vt:i4>
      </vt:variant>
      <vt:variant>
        <vt:lpwstr>mailto:aov-acp.works@pec.prov.bz.it</vt:lpwstr>
      </vt:variant>
      <vt:variant>
        <vt:lpwstr/>
      </vt:variant>
      <vt:variant>
        <vt:i4>7733370</vt:i4>
      </vt:variant>
      <vt:variant>
        <vt:i4>3</vt:i4>
      </vt:variant>
      <vt:variant>
        <vt:i4>0</vt:i4>
      </vt:variant>
      <vt:variant>
        <vt:i4>5</vt:i4>
      </vt:variant>
      <vt:variant>
        <vt:lpwstr>http://acp.provincia.bz.it/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2024-04-24T09:17:00Z</dcterms:created>
  <dcterms:modified xsi:type="dcterms:W3CDTF">2024-04-24T09:20:00Z</dcterms:modified>
</cp:coreProperties>
</file>