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13" w:type="dxa"/>
        <w:tblInd w:w="-10" w:type="dxa"/>
        <w:tblLayout w:type="fixed"/>
        <w:tblCellMar>
          <w:left w:w="0" w:type="dxa"/>
          <w:right w:w="0" w:type="dxa"/>
        </w:tblCellMar>
        <w:tblLook w:val="0000" w:firstRow="0" w:lastRow="0" w:firstColumn="0" w:lastColumn="0" w:noHBand="0" w:noVBand="0"/>
      </w:tblPr>
      <w:tblGrid>
        <w:gridCol w:w="4403"/>
        <w:gridCol w:w="852"/>
        <w:gridCol w:w="4258"/>
      </w:tblGrid>
      <w:tr w:rsidR="0044554B" w:rsidRPr="001D0407" w14:paraId="3956438C" w14:textId="77777777" w:rsidTr="00196768">
        <w:tc>
          <w:tcPr>
            <w:tcW w:w="4403" w:type="dxa"/>
          </w:tcPr>
          <w:p w14:paraId="1EC79922" w14:textId="77777777" w:rsidR="0044554B" w:rsidRPr="001D0407" w:rsidRDefault="0044554B" w:rsidP="0044554B">
            <w:pPr>
              <w:pStyle w:val="Textblock-1"/>
              <w:numPr>
                <w:ilvl w:val="0"/>
                <w:numId w:val="2"/>
              </w:numPr>
              <w:tabs>
                <w:tab w:val="left" w:pos="360"/>
              </w:tabs>
              <w:suppressAutoHyphens w:val="0"/>
              <w:contextualSpacing/>
              <w:rPr>
                <w:rFonts w:eastAsia="Times New Roman" w:cs="Arial"/>
                <w:b/>
                <w:color w:val="FF0000"/>
                <w:sz w:val="20"/>
              </w:rPr>
            </w:pPr>
            <w:r w:rsidRPr="001D0407">
              <w:rPr>
                <w:rFonts w:eastAsia="Times New Roman" w:cs="Arial"/>
                <w:b/>
                <w:sz w:val="20"/>
              </w:rPr>
              <w:t>PREISREVISION</w:t>
            </w:r>
          </w:p>
        </w:tc>
        <w:tc>
          <w:tcPr>
            <w:tcW w:w="852" w:type="dxa"/>
          </w:tcPr>
          <w:p w14:paraId="6A4A60AD" w14:textId="77777777" w:rsidR="0044554B" w:rsidRPr="001D0407" w:rsidRDefault="0044554B" w:rsidP="00196768">
            <w:pPr>
              <w:widowControl w:val="0"/>
              <w:rPr>
                <w:rFonts w:cs="Arial"/>
                <w:lang w:val="de-DE"/>
              </w:rPr>
            </w:pPr>
          </w:p>
        </w:tc>
        <w:tc>
          <w:tcPr>
            <w:tcW w:w="4258" w:type="dxa"/>
          </w:tcPr>
          <w:p w14:paraId="426BB6F2" w14:textId="77777777" w:rsidR="0044554B" w:rsidRPr="001D0407" w:rsidRDefault="0044554B" w:rsidP="0044554B">
            <w:pPr>
              <w:pStyle w:val="Paragrafoelenco"/>
              <w:widowControl w:val="0"/>
              <w:numPr>
                <w:ilvl w:val="0"/>
                <w:numId w:val="1"/>
              </w:numPr>
              <w:autoSpaceDE w:val="0"/>
              <w:autoSpaceDN w:val="0"/>
              <w:adjustRightInd w:val="0"/>
              <w:ind w:right="6"/>
              <w:jc w:val="both"/>
              <w:rPr>
                <w:rFonts w:cs="Arial"/>
                <w:b/>
                <w:color w:val="FF0000"/>
                <w:lang w:val="it-IT"/>
              </w:rPr>
            </w:pPr>
            <w:r w:rsidRPr="001D0407">
              <w:rPr>
                <w:rFonts w:cs="Arial"/>
                <w:b/>
                <w:lang w:val="it-IT"/>
              </w:rPr>
              <w:t>REVISIONE DEI PREZZI</w:t>
            </w:r>
          </w:p>
        </w:tc>
      </w:tr>
      <w:tr w:rsidR="0044554B" w:rsidRPr="00B3687B" w14:paraId="43BD3CA4" w14:textId="77777777" w:rsidTr="00196768">
        <w:tc>
          <w:tcPr>
            <w:tcW w:w="4403" w:type="dxa"/>
          </w:tcPr>
          <w:p w14:paraId="3D6A1F56" w14:textId="77777777" w:rsidR="0044554B" w:rsidRPr="00B2171C" w:rsidRDefault="0044554B" w:rsidP="00196768">
            <w:pPr>
              <w:pStyle w:val="Textblock-1"/>
              <w:tabs>
                <w:tab w:val="left" w:pos="360"/>
              </w:tabs>
              <w:suppressAutoHyphens w:val="0"/>
              <w:ind w:left="0"/>
              <w:contextualSpacing/>
              <w:rPr>
                <w:rFonts w:eastAsia="Times New Roman" w:cs="Arial"/>
                <w:bCs/>
                <w:color w:val="FF0000"/>
                <w:sz w:val="20"/>
                <w:highlight w:val="cyan"/>
              </w:rPr>
            </w:pPr>
          </w:p>
        </w:tc>
        <w:tc>
          <w:tcPr>
            <w:tcW w:w="852" w:type="dxa"/>
          </w:tcPr>
          <w:p w14:paraId="2B40F90A" w14:textId="77777777" w:rsidR="0044554B" w:rsidRPr="00B2171C" w:rsidRDefault="0044554B" w:rsidP="00196768">
            <w:pPr>
              <w:widowControl w:val="0"/>
              <w:rPr>
                <w:rFonts w:cs="Arial"/>
                <w:highlight w:val="cyan"/>
                <w:lang w:val="de-DE"/>
              </w:rPr>
            </w:pPr>
          </w:p>
        </w:tc>
        <w:tc>
          <w:tcPr>
            <w:tcW w:w="4258" w:type="dxa"/>
          </w:tcPr>
          <w:p w14:paraId="769EC374" w14:textId="77777777" w:rsidR="0044554B" w:rsidRPr="00B2171C" w:rsidRDefault="0044554B" w:rsidP="00196768">
            <w:pPr>
              <w:widowControl w:val="0"/>
              <w:autoSpaceDE w:val="0"/>
              <w:autoSpaceDN w:val="0"/>
              <w:adjustRightInd w:val="0"/>
              <w:ind w:right="6"/>
              <w:jc w:val="both"/>
              <w:rPr>
                <w:rFonts w:cs="Arial"/>
                <w:bCs/>
                <w:color w:val="FF0000"/>
                <w:highlight w:val="cyan"/>
                <w:lang w:val="it-IT"/>
              </w:rPr>
            </w:pPr>
          </w:p>
        </w:tc>
      </w:tr>
      <w:tr w:rsidR="007B3B0C" w:rsidRPr="00B3687B" w14:paraId="24C39731" w14:textId="77777777" w:rsidTr="00196768">
        <w:tc>
          <w:tcPr>
            <w:tcW w:w="4403" w:type="dxa"/>
          </w:tcPr>
          <w:p w14:paraId="542F44DF" w14:textId="4B5CEC2A" w:rsidR="007B3B0C" w:rsidRPr="00B2171C" w:rsidRDefault="007B3B0C" w:rsidP="007B3B0C">
            <w:pPr>
              <w:pStyle w:val="Textblock-1"/>
              <w:tabs>
                <w:tab w:val="left" w:pos="360"/>
              </w:tabs>
              <w:suppressAutoHyphens w:val="0"/>
              <w:ind w:left="0"/>
              <w:contextualSpacing/>
              <w:rPr>
                <w:rFonts w:eastAsia="Times New Roman" w:cs="Arial"/>
                <w:bCs/>
                <w:color w:val="FF0000"/>
                <w:sz w:val="20"/>
                <w:highlight w:val="cyan"/>
              </w:rPr>
            </w:pPr>
            <w:r w:rsidRPr="005A76AD">
              <w:rPr>
                <w:rFonts w:cs="Arial"/>
                <w:bCs/>
                <w:i/>
                <w:iCs/>
                <w:color w:val="FF0000"/>
                <w:sz w:val="16"/>
                <w:szCs w:val="16"/>
                <w:highlight w:val="green"/>
              </w:rPr>
              <w:t>[Obligatorisch bis zum 31.12.2023 für öffentliche Aufträge, deren Bekanntmachungen nach dem Datum des Inkrafttretens des Gesetzesdekrets veröffentlicht werden, sowie bei Aufträgen ohne Veröffentlichung von Bekanntmachungen, wenn die die Einladungsschreiben</w:t>
            </w:r>
            <w:r w:rsidRPr="005A76AD">
              <w:rPr>
                <w:rFonts w:cs="Arial"/>
                <w:bCs/>
                <w:i/>
                <w:iCs/>
                <w:color w:val="FF0000"/>
                <w:sz w:val="16"/>
                <w:szCs w:val="16"/>
              </w:rPr>
              <w:t xml:space="preserve"> </w:t>
            </w:r>
            <w:r w:rsidRPr="005A76AD">
              <w:rPr>
                <w:rFonts w:cs="Arial"/>
                <w:bCs/>
                <w:i/>
                <w:iCs/>
                <w:color w:val="FF0000"/>
                <w:sz w:val="16"/>
                <w:szCs w:val="16"/>
                <w:highlight w:val="green"/>
              </w:rPr>
              <w:t>nach dem Datum des Inkrafttretens des Dekrets versandt werden.  Fakultativ nach dem 31/12/2023].</w:t>
            </w:r>
          </w:p>
        </w:tc>
        <w:tc>
          <w:tcPr>
            <w:tcW w:w="852" w:type="dxa"/>
          </w:tcPr>
          <w:p w14:paraId="3471F362" w14:textId="77777777" w:rsidR="007B3B0C" w:rsidRPr="00B2171C" w:rsidRDefault="007B3B0C" w:rsidP="007B3B0C">
            <w:pPr>
              <w:widowControl w:val="0"/>
              <w:rPr>
                <w:rFonts w:cs="Arial"/>
                <w:highlight w:val="cyan"/>
                <w:lang w:val="de-DE"/>
              </w:rPr>
            </w:pPr>
          </w:p>
        </w:tc>
        <w:tc>
          <w:tcPr>
            <w:tcW w:w="4258" w:type="dxa"/>
          </w:tcPr>
          <w:p w14:paraId="1292CCB3" w14:textId="54211FF2" w:rsidR="007B3B0C" w:rsidRPr="00B2171C" w:rsidRDefault="007B3B0C" w:rsidP="007B3B0C">
            <w:pPr>
              <w:widowControl w:val="0"/>
              <w:autoSpaceDE w:val="0"/>
              <w:autoSpaceDN w:val="0"/>
              <w:adjustRightInd w:val="0"/>
              <w:ind w:right="6"/>
              <w:jc w:val="both"/>
              <w:rPr>
                <w:rFonts w:cs="Arial"/>
                <w:bCs/>
                <w:color w:val="FF0000"/>
                <w:highlight w:val="cyan"/>
                <w:lang w:val="it-IT"/>
              </w:rPr>
            </w:pPr>
            <w:r w:rsidRPr="00907CB6">
              <w:rPr>
                <w:rFonts w:cs="Arial"/>
                <w:bCs/>
                <w:i/>
                <w:iCs/>
                <w:color w:val="FF0000"/>
                <w:sz w:val="16"/>
                <w:szCs w:val="16"/>
                <w:highlight w:val="green"/>
                <w:lang w:val="it-IT"/>
              </w:rPr>
              <w:t xml:space="preserve">[Obbligatoria fino al 31/12/2023 per i contratti pubblici, i cui bandi o avvisi siano pubblicati successivamente alla data di entrata  in vigore del decreto-legge, nonché, in caso di contratti senza pubblicazione di bandi o di avvisi, qualora l'invio degli inviti a  presentare le offerte sia effettuato successivamente alla data di entrata in vigore del decreto medesimo.  Facoltativa dopo il 31/12/2023]. </w:t>
            </w:r>
          </w:p>
        </w:tc>
      </w:tr>
      <w:tr w:rsidR="007B3B0C" w:rsidRPr="00B3687B" w14:paraId="4A31D445" w14:textId="77777777" w:rsidTr="00196768">
        <w:tc>
          <w:tcPr>
            <w:tcW w:w="4403" w:type="dxa"/>
          </w:tcPr>
          <w:p w14:paraId="1A34980A" w14:textId="77777777" w:rsidR="007B3B0C" w:rsidRPr="00B2171C" w:rsidRDefault="007B3B0C" w:rsidP="007B3B0C">
            <w:pPr>
              <w:pStyle w:val="Textblock-1"/>
              <w:tabs>
                <w:tab w:val="left" w:pos="360"/>
              </w:tabs>
              <w:suppressAutoHyphens w:val="0"/>
              <w:ind w:left="0"/>
              <w:contextualSpacing/>
              <w:rPr>
                <w:rFonts w:eastAsia="Times New Roman" w:cs="Arial"/>
                <w:bCs/>
                <w:color w:val="FF0000"/>
                <w:sz w:val="20"/>
                <w:highlight w:val="cyan"/>
              </w:rPr>
            </w:pPr>
          </w:p>
        </w:tc>
        <w:tc>
          <w:tcPr>
            <w:tcW w:w="852" w:type="dxa"/>
          </w:tcPr>
          <w:p w14:paraId="6EB97F7D" w14:textId="77777777" w:rsidR="007B3B0C" w:rsidRPr="00B2171C" w:rsidRDefault="007B3B0C" w:rsidP="007B3B0C">
            <w:pPr>
              <w:widowControl w:val="0"/>
              <w:rPr>
                <w:rFonts w:cs="Arial"/>
                <w:highlight w:val="cyan"/>
                <w:lang w:val="de-DE"/>
              </w:rPr>
            </w:pPr>
          </w:p>
        </w:tc>
        <w:tc>
          <w:tcPr>
            <w:tcW w:w="4258" w:type="dxa"/>
          </w:tcPr>
          <w:p w14:paraId="5D5CBFAA" w14:textId="77777777" w:rsidR="007B3B0C" w:rsidRPr="00B2171C" w:rsidRDefault="007B3B0C" w:rsidP="007B3B0C">
            <w:pPr>
              <w:widowControl w:val="0"/>
              <w:autoSpaceDE w:val="0"/>
              <w:autoSpaceDN w:val="0"/>
              <w:adjustRightInd w:val="0"/>
              <w:ind w:right="6"/>
              <w:jc w:val="both"/>
              <w:rPr>
                <w:rFonts w:cs="Arial"/>
                <w:bCs/>
                <w:color w:val="FF0000"/>
                <w:highlight w:val="cyan"/>
                <w:lang w:val="it-IT"/>
              </w:rPr>
            </w:pPr>
          </w:p>
        </w:tc>
      </w:tr>
      <w:tr w:rsidR="007B3B0C" w:rsidRPr="00B3687B" w14:paraId="4DD3DBFB" w14:textId="77777777" w:rsidTr="00196768">
        <w:tc>
          <w:tcPr>
            <w:tcW w:w="4403" w:type="dxa"/>
          </w:tcPr>
          <w:p w14:paraId="4DCC3106" w14:textId="294E5872" w:rsidR="007B3B0C" w:rsidRPr="007341C0" w:rsidRDefault="00AD2505" w:rsidP="007B3B0C">
            <w:pPr>
              <w:pStyle w:val="Textblock-1"/>
              <w:tabs>
                <w:tab w:val="left" w:pos="360"/>
              </w:tabs>
              <w:suppressAutoHyphens w:val="0"/>
              <w:ind w:left="0"/>
              <w:contextualSpacing/>
              <w:rPr>
                <w:rFonts w:eastAsia="Times New Roman" w:cs="Arial"/>
                <w:bCs/>
                <w:color w:val="FF0000"/>
                <w:sz w:val="20"/>
              </w:rPr>
            </w:pPr>
            <w:r w:rsidRPr="005A76AD">
              <w:rPr>
                <w:rFonts w:cs="Arial"/>
                <w:bCs/>
                <w:color w:val="FF0000"/>
              </w:rPr>
              <w:t>[</w:t>
            </w:r>
            <w:r w:rsidRPr="005A76AD">
              <w:rPr>
                <w:rFonts w:cs="Arial"/>
                <w:bCs/>
                <w:i/>
                <w:iCs/>
                <w:color w:val="FF0000"/>
                <w:sz w:val="16"/>
                <w:szCs w:val="16"/>
                <w:highlight w:val="green"/>
              </w:rPr>
              <w:t>Bei Verträgen mit einer Laufzeit von mehr als einem Jahr]</w:t>
            </w:r>
            <w:r w:rsidRPr="005A76AD">
              <w:rPr>
                <w:rFonts w:cs="Arial"/>
                <w:bCs/>
                <w:color w:val="FF0000"/>
              </w:rPr>
              <w:t xml:space="preserve"> </w:t>
            </w:r>
            <w:r w:rsidR="007B3B0C" w:rsidRPr="007341C0">
              <w:rPr>
                <w:rFonts w:cs="Arial"/>
                <w:sz w:val="20"/>
              </w:rPr>
              <w:t xml:space="preserve">Hat der Vertrag eine Laufzeit ab der Unterzeichnung, die länger als </w:t>
            </w:r>
            <w:r w:rsidR="007B3B0C" w:rsidRPr="00AD2505">
              <w:rPr>
                <w:rFonts w:cs="Arial"/>
                <w:sz w:val="20"/>
              </w:rPr>
              <w:t xml:space="preserve">ein Jahr ist, wird ab dem darauffolgenden Jahr und </w:t>
            </w:r>
            <w:r w:rsidR="007B3B0C" w:rsidRPr="00B3687B">
              <w:rPr>
                <w:rFonts w:cs="Arial"/>
                <w:sz w:val="20"/>
              </w:rPr>
              <w:t xml:space="preserve">für die gesamte Laufzeit des Vertrags die (gemäß Art. 5 des Ministerialdekrets 2016 berechnete) Höhe der Spesen und Nebenkosten, die Teil der vertraglichen Gegenleistung ist, wie im Angebot definiert, das unter Anwendung des vom Auftragnehmer angebotenen Abschlags eingereicht wurde, erhöht oder reduziert, und zwar entsprechend dem Verbraucherpreisindex (für Bozen) ohne Tabak für Arbeiter- und Angestelltenfamilien wie von der ASTAT auf der Website </w:t>
            </w:r>
            <w:r w:rsidR="007B3B0C" w:rsidRPr="00B3687B">
              <w:rPr>
                <w:rFonts w:cs="Arial"/>
                <w:color w:val="0000FF"/>
                <w:sz w:val="20"/>
              </w:rPr>
              <w:t xml:space="preserve">https://astat.provinz.bz.it/PriceDigit.aspx?INDEX=CONS&amp;lang=it </w:t>
            </w:r>
            <w:r w:rsidR="007B3B0C" w:rsidRPr="00B3687B">
              <w:rPr>
                <w:rFonts w:cs="Arial"/>
                <w:sz w:val="20"/>
              </w:rPr>
              <w:t>veröffentlicht.</w:t>
            </w:r>
          </w:p>
        </w:tc>
        <w:tc>
          <w:tcPr>
            <w:tcW w:w="852" w:type="dxa"/>
          </w:tcPr>
          <w:p w14:paraId="2D819E07" w14:textId="77777777" w:rsidR="007B3B0C" w:rsidRPr="007341C0" w:rsidRDefault="007B3B0C" w:rsidP="007B3B0C">
            <w:pPr>
              <w:widowControl w:val="0"/>
              <w:rPr>
                <w:rFonts w:cs="Arial"/>
                <w:lang w:val="de-DE"/>
              </w:rPr>
            </w:pPr>
          </w:p>
        </w:tc>
        <w:tc>
          <w:tcPr>
            <w:tcW w:w="4258" w:type="dxa"/>
          </w:tcPr>
          <w:p w14:paraId="60984D21" w14:textId="3BEF2C48" w:rsidR="007B3B0C" w:rsidRPr="00EF6D95" w:rsidRDefault="007B3B0C" w:rsidP="007B3B0C">
            <w:pPr>
              <w:pStyle w:val="xmsonormal"/>
              <w:shd w:val="clear" w:color="auto" w:fill="FFFFFF"/>
              <w:jc w:val="both"/>
              <w:rPr>
                <w:rFonts w:ascii="Arial" w:hAnsi="Arial" w:cs="Arial"/>
                <w:color w:val="000000"/>
                <w:sz w:val="20"/>
                <w:szCs w:val="20"/>
                <w:bdr w:val="none" w:sz="0" w:space="0" w:color="auto" w:frame="1"/>
                <w:shd w:val="clear" w:color="auto" w:fill="FFFFFF"/>
              </w:rPr>
            </w:pPr>
            <w:r w:rsidRPr="00907CB6">
              <w:rPr>
                <w:rFonts w:cs="Arial"/>
                <w:bCs/>
                <w:color w:val="FF0000"/>
                <w:sz w:val="16"/>
                <w:szCs w:val="16"/>
                <w:highlight w:val="green"/>
              </w:rPr>
              <w:t>[</w:t>
            </w:r>
            <w:r>
              <w:rPr>
                <w:rFonts w:cs="Arial"/>
                <w:bCs/>
                <w:color w:val="FF0000"/>
                <w:sz w:val="16"/>
                <w:szCs w:val="16"/>
                <w:highlight w:val="green"/>
              </w:rPr>
              <w:t>n</w:t>
            </w:r>
            <w:r w:rsidRPr="00907CB6">
              <w:rPr>
                <w:rFonts w:cs="Arial"/>
                <w:bCs/>
                <w:i/>
                <w:iCs/>
                <w:color w:val="FF0000"/>
                <w:sz w:val="16"/>
                <w:szCs w:val="16"/>
                <w:highlight w:val="green"/>
              </w:rPr>
              <w:t>ei contratti di durata superiore all’anno]</w:t>
            </w:r>
            <w:r w:rsidRPr="00907CB6">
              <w:rPr>
                <w:rFonts w:cs="Arial"/>
                <w:bCs/>
                <w:i/>
                <w:iCs/>
                <w:color w:val="FF0000"/>
                <w:sz w:val="18"/>
                <w:szCs w:val="18"/>
              </w:rPr>
              <w:t xml:space="preserve"> </w:t>
            </w:r>
            <w:r w:rsidRPr="00EF6D95">
              <w:rPr>
                <w:rFonts w:ascii="Arial" w:hAnsi="Arial" w:cs="Arial"/>
                <w:color w:val="000000"/>
                <w:sz w:val="20"/>
                <w:szCs w:val="20"/>
                <w:bdr w:val="none" w:sz="0" w:space="0" w:color="auto" w:frame="1"/>
                <w:shd w:val="clear" w:color="auto" w:fill="FFFFFF"/>
              </w:rPr>
              <w:t xml:space="preserve">Qualora il contratto si sviluppi </w:t>
            </w:r>
            <w:r>
              <w:rPr>
                <w:rFonts w:ascii="Arial" w:hAnsi="Arial" w:cs="Arial"/>
                <w:color w:val="000000"/>
                <w:sz w:val="20"/>
                <w:szCs w:val="20"/>
                <w:bdr w:val="none" w:sz="0" w:space="0" w:color="auto" w:frame="1"/>
                <w:shd w:val="clear" w:color="auto" w:fill="FFFFFF"/>
              </w:rPr>
              <w:t xml:space="preserve">per </w:t>
            </w:r>
            <w:r w:rsidRPr="00EF6D95">
              <w:rPr>
                <w:rFonts w:ascii="Arial" w:hAnsi="Arial" w:cs="Arial"/>
                <w:color w:val="000000"/>
                <w:sz w:val="20"/>
                <w:szCs w:val="20"/>
                <w:bdr w:val="none" w:sz="0" w:space="0" w:color="auto" w:frame="1"/>
                <w:shd w:val="clear" w:color="auto" w:fill="FFFFFF"/>
              </w:rPr>
              <w:t xml:space="preserve">un periodo di esecuzione che eccede </w:t>
            </w:r>
            <w:r w:rsidRPr="00823B2B">
              <w:rPr>
                <w:rFonts w:ascii="Arial" w:hAnsi="Arial" w:cs="Arial"/>
                <w:sz w:val="20"/>
                <w:szCs w:val="20"/>
                <w:bdr w:val="none" w:sz="0" w:space="0" w:color="auto" w:frame="1"/>
                <w:shd w:val="clear" w:color="auto" w:fill="FFFFFF"/>
              </w:rPr>
              <w:t xml:space="preserve">un anno </w:t>
            </w:r>
            <w:r w:rsidRPr="00EF6D95">
              <w:rPr>
                <w:rFonts w:ascii="Arial" w:hAnsi="Arial" w:cs="Arial"/>
                <w:color w:val="000000"/>
                <w:sz w:val="20"/>
                <w:szCs w:val="20"/>
                <w:bdr w:val="none" w:sz="0" w:space="0" w:color="auto" w:frame="1"/>
                <w:shd w:val="clear" w:color="auto" w:fill="FFFFFF"/>
              </w:rPr>
              <w:t xml:space="preserve">dalla sottoscrizione del contratto, a decorrere </w:t>
            </w:r>
            <w:r w:rsidRPr="00823B2B">
              <w:rPr>
                <w:rFonts w:ascii="Arial" w:hAnsi="Arial" w:cs="Arial"/>
                <w:sz w:val="20"/>
                <w:szCs w:val="20"/>
                <w:bdr w:val="none" w:sz="0" w:space="0" w:color="auto" w:frame="1"/>
                <w:shd w:val="clear" w:color="auto" w:fill="FFFFFF"/>
              </w:rPr>
              <w:t>dall'anno successivo</w:t>
            </w:r>
            <w:r w:rsidRPr="007341C0">
              <w:rPr>
                <w:rFonts w:ascii="Arial" w:hAnsi="Arial" w:cs="Arial"/>
                <w:color w:val="FF0000"/>
                <w:sz w:val="20"/>
                <w:szCs w:val="20"/>
                <w:bdr w:val="none" w:sz="0" w:space="0" w:color="auto" w:frame="1"/>
                <w:shd w:val="clear" w:color="auto" w:fill="FFFFFF"/>
              </w:rPr>
              <w:t xml:space="preserve"> </w:t>
            </w:r>
            <w:r w:rsidRPr="00EF6D95">
              <w:rPr>
                <w:rFonts w:ascii="Arial" w:hAnsi="Arial" w:cs="Arial"/>
                <w:color w:val="000000"/>
                <w:sz w:val="20"/>
                <w:szCs w:val="20"/>
                <w:bdr w:val="none" w:sz="0" w:space="0" w:color="auto" w:frame="1"/>
                <w:shd w:val="clear" w:color="auto" w:fill="FFFFFF"/>
              </w:rPr>
              <w:t>a quello di sottoscrizione e per tutta la durata del contratto,</w:t>
            </w:r>
            <w:r>
              <w:rPr>
                <w:rFonts w:ascii="Arial" w:hAnsi="Arial" w:cs="Arial"/>
                <w:color w:val="000000"/>
                <w:sz w:val="20"/>
                <w:szCs w:val="20"/>
                <w:bdr w:val="none" w:sz="0" w:space="0" w:color="auto" w:frame="1"/>
                <w:shd w:val="clear" w:color="auto" w:fill="FFFFFF"/>
              </w:rPr>
              <w:t xml:space="preserve"> </w:t>
            </w:r>
            <w:r w:rsidRPr="00B3687B">
              <w:rPr>
                <w:rFonts w:ascii="Arial" w:hAnsi="Arial" w:cs="Arial"/>
                <w:color w:val="000000"/>
                <w:sz w:val="20"/>
                <w:szCs w:val="20"/>
                <w:bdr w:val="none" w:sz="0" w:space="0" w:color="auto" w:frame="1"/>
                <w:shd w:val="clear" w:color="auto" w:fill="FFFFFF"/>
              </w:rPr>
              <w:t>l'importo (calcolato ai sensi dell'art. 5 del D.M. 2016) delle spese e degli oneri accessori, facente parte del corrispettivo contrattuale, così come definito dall’offerta prodotta in sede di gara con applicazione del ribasso offerto dall'affidatario verrà aggiornato, in aumento o in diminuzione, sulla base dell’indice dei prezzi al consumo (relativi a Bolzano) senza tabacchi per famiglie di operai e impiegati come pubblicato dall’ASTAT</w:t>
            </w:r>
            <w:r>
              <w:rPr>
                <w:rFonts w:ascii="Arial" w:hAnsi="Arial" w:cs="Arial"/>
                <w:color w:val="000000"/>
                <w:sz w:val="20"/>
                <w:szCs w:val="20"/>
                <w:bdr w:val="none" w:sz="0" w:space="0" w:color="auto" w:frame="1"/>
              </w:rPr>
              <w:t xml:space="preserve"> </w:t>
            </w:r>
            <w:r w:rsidRPr="00EF6D95">
              <w:rPr>
                <w:rFonts w:ascii="Arial" w:hAnsi="Arial" w:cs="Arial"/>
                <w:color w:val="000000"/>
                <w:sz w:val="20"/>
                <w:szCs w:val="20"/>
                <w:bdr w:val="none" w:sz="0" w:space="0" w:color="auto" w:frame="1"/>
              </w:rPr>
              <w:t>sul sit</w:t>
            </w:r>
            <w:r>
              <w:rPr>
                <w:rFonts w:ascii="Arial" w:hAnsi="Arial" w:cs="Arial"/>
                <w:color w:val="000000"/>
                <w:sz w:val="20"/>
                <w:szCs w:val="20"/>
                <w:bdr w:val="none" w:sz="0" w:space="0" w:color="auto" w:frame="1"/>
              </w:rPr>
              <w:t xml:space="preserve">o </w:t>
            </w:r>
            <w:r w:rsidRPr="00EF6D95">
              <w:rPr>
                <w:rFonts w:ascii="Arial" w:hAnsi="Arial" w:cs="Arial"/>
                <w:color w:val="000000"/>
                <w:sz w:val="20"/>
                <w:szCs w:val="20"/>
                <w:bdr w:val="none" w:sz="0" w:space="0" w:color="auto" w:frame="1"/>
              </w:rPr>
              <w:t> </w:t>
            </w:r>
            <w:hyperlink r:id="rId7" w:tgtFrame="_blank" w:history="1">
              <w:r w:rsidRPr="00EF6D95">
                <w:rPr>
                  <w:rFonts w:ascii="Arial" w:hAnsi="Arial" w:cs="Arial"/>
                  <w:color w:val="0000FF"/>
                  <w:sz w:val="20"/>
                  <w:szCs w:val="20"/>
                  <w:u w:val="single"/>
                  <w:bdr w:val="none" w:sz="0" w:space="0" w:color="auto" w:frame="1"/>
                </w:rPr>
                <w:t>https://astat.provinz.bz.it/PriceDigit.aspx?INDEX=CONS&amp;lang=it</w:t>
              </w:r>
            </w:hyperlink>
            <w:r w:rsidRPr="00EF6D95">
              <w:rPr>
                <w:rFonts w:ascii="Arial" w:hAnsi="Arial" w:cs="Arial"/>
                <w:color w:val="201F1E"/>
                <w:sz w:val="20"/>
                <w:szCs w:val="20"/>
                <w:bdr w:val="none" w:sz="0" w:space="0" w:color="auto" w:frame="1"/>
              </w:rPr>
              <w:t> </w:t>
            </w:r>
            <w:r w:rsidRPr="00EF6D95">
              <w:rPr>
                <w:rFonts w:ascii="Arial" w:hAnsi="Arial" w:cs="Arial"/>
                <w:color w:val="000000"/>
                <w:sz w:val="20"/>
                <w:szCs w:val="20"/>
                <w:bdr w:val="none" w:sz="0" w:space="0" w:color="auto" w:frame="1"/>
                <w:shd w:val="clear" w:color="auto" w:fill="FFFFFF"/>
              </w:rPr>
              <w:t>.</w:t>
            </w:r>
          </w:p>
        </w:tc>
      </w:tr>
      <w:tr w:rsidR="007B3B0C" w:rsidRPr="00B3687B" w14:paraId="430D40CC" w14:textId="77777777" w:rsidTr="00196768">
        <w:tc>
          <w:tcPr>
            <w:tcW w:w="4403" w:type="dxa"/>
          </w:tcPr>
          <w:p w14:paraId="53AB02BA" w14:textId="77777777" w:rsidR="007B3B0C" w:rsidRPr="009107FE" w:rsidRDefault="007B3B0C" w:rsidP="007B3B0C">
            <w:pPr>
              <w:pStyle w:val="Textblock-1"/>
              <w:tabs>
                <w:tab w:val="left" w:pos="360"/>
              </w:tabs>
              <w:suppressAutoHyphens w:val="0"/>
              <w:ind w:left="0"/>
              <w:contextualSpacing/>
              <w:rPr>
                <w:rFonts w:eastAsia="Times New Roman" w:cs="Arial"/>
                <w:bCs/>
                <w:color w:val="FF0000"/>
                <w:sz w:val="20"/>
                <w:lang w:val="it-IT"/>
              </w:rPr>
            </w:pPr>
          </w:p>
        </w:tc>
        <w:tc>
          <w:tcPr>
            <w:tcW w:w="852" w:type="dxa"/>
          </w:tcPr>
          <w:p w14:paraId="62946B8A" w14:textId="77777777" w:rsidR="007B3B0C" w:rsidRPr="009107FE" w:rsidRDefault="007B3B0C" w:rsidP="007B3B0C">
            <w:pPr>
              <w:widowControl w:val="0"/>
              <w:rPr>
                <w:rFonts w:cs="Arial"/>
                <w:lang w:val="it-IT"/>
              </w:rPr>
            </w:pPr>
          </w:p>
        </w:tc>
        <w:tc>
          <w:tcPr>
            <w:tcW w:w="4258" w:type="dxa"/>
          </w:tcPr>
          <w:p w14:paraId="72EE8265" w14:textId="77777777" w:rsidR="007B3B0C" w:rsidRPr="006140E5" w:rsidRDefault="007B3B0C" w:rsidP="007B3B0C">
            <w:pPr>
              <w:widowControl w:val="0"/>
              <w:autoSpaceDE w:val="0"/>
              <w:autoSpaceDN w:val="0"/>
              <w:adjustRightInd w:val="0"/>
              <w:ind w:right="6"/>
              <w:jc w:val="both"/>
              <w:rPr>
                <w:rFonts w:cs="Arial"/>
                <w:bCs/>
                <w:color w:val="FF0000"/>
                <w:lang w:val="it-IT"/>
              </w:rPr>
            </w:pPr>
          </w:p>
        </w:tc>
      </w:tr>
      <w:tr w:rsidR="007B3B0C" w:rsidRPr="00B3687B" w14:paraId="10278D07" w14:textId="77777777" w:rsidTr="00196768">
        <w:tc>
          <w:tcPr>
            <w:tcW w:w="4403" w:type="dxa"/>
          </w:tcPr>
          <w:p w14:paraId="6E7B9F5C" w14:textId="77777777" w:rsidR="007B3B0C" w:rsidRPr="007341C0" w:rsidRDefault="007B3B0C" w:rsidP="007B3B0C">
            <w:pPr>
              <w:shd w:val="clear" w:color="auto" w:fill="FFFFFF"/>
              <w:jc w:val="both"/>
              <w:rPr>
                <w:rFonts w:cs="Arial"/>
                <w:color w:val="000000"/>
                <w:lang w:val="de-DE"/>
              </w:rPr>
            </w:pPr>
            <w:r w:rsidRPr="007341C0">
              <w:rPr>
                <w:rFonts w:cs="Arial"/>
                <w:color w:val="000000"/>
                <w:lang w:val="de-DE"/>
              </w:rPr>
              <w:t>Der Betrag wird auf Antrag des beauftragten Wirtschaftsteilnehmers welcher vom Auftragnehmer  vorab genehmigt werden muss bzw., im Falle einer Preissenkung, von Amts wegen aktualisiert.</w:t>
            </w:r>
          </w:p>
        </w:tc>
        <w:tc>
          <w:tcPr>
            <w:tcW w:w="852" w:type="dxa"/>
          </w:tcPr>
          <w:p w14:paraId="179D70AE" w14:textId="77777777" w:rsidR="007B3B0C" w:rsidRPr="007341C0" w:rsidRDefault="007B3B0C" w:rsidP="007B3B0C">
            <w:pPr>
              <w:widowControl w:val="0"/>
              <w:rPr>
                <w:rFonts w:cs="Arial"/>
                <w:lang w:val="de-DE"/>
              </w:rPr>
            </w:pPr>
          </w:p>
        </w:tc>
        <w:tc>
          <w:tcPr>
            <w:tcW w:w="4258" w:type="dxa"/>
          </w:tcPr>
          <w:p w14:paraId="0DF87830" w14:textId="4F14941A" w:rsidR="007B3B0C" w:rsidRPr="00BB5A7C" w:rsidRDefault="007B3B0C" w:rsidP="007B3B0C">
            <w:pPr>
              <w:shd w:val="clear" w:color="auto" w:fill="FFFFFF"/>
              <w:jc w:val="both"/>
              <w:rPr>
                <w:rFonts w:cs="Arial"/>
                <w:color w:val="201F1E"/>
                <w:bdr w:val="none" w:sz="0" w:space="0" w:color="auto" w:frame="1"/>
                <w:lang w:val="it-IT"/>
              </w:rPr>
            </w:pPr>
            <w:r w:rsidRPr="00BD3C6A">
              <w:rPr>
                <w:rFonts w:cs="Arial"/>
                <w:color w:val="000000"/>
                <w:bdr w:val="none" w:sz="0" w:space="0" w:color="auto" w:frame="1"/>
                <w:lang w:val="it-IT"/>
              </w:rPr>
              <w:t xml:space="preserve">L'aggiornamento dell’importo avviene a seguito di istanza da parte dell’operatore economico incaricato e previa approvazione da parte del committente, ovvero, nell’ipotesi di riduzione dei prezzi, d’ufficio da parte del committente. </w:t>
            </w:r>
          </w:p>
        </w:tc>
      </w:tr>
      <w:tr w:rsidR="007B3B0C" w:rsidRPr="00B3687B" w14:paraId="12397767" w14:textId="77777777" w:rsidTr="00196768">
        <w:tc>
          <w:tcPr>
            <w:tcW w:w="4403" w:type="dxa"/>
          </w:tcPr>
          <w:p w14:paraId="10ADC71B" w14:textId="77777777" w:rsidR="007B3B0C" w:rsidRPr="007341C0" w:rsidRDefault="007B3B0C" w:rsidP="007B3B0C">
            <w:pPr>
              <w:shd w:val="clear" w:color="auto" w:fill="FFFFFF"/>
              <w:jc w:val="both"/>
              <w:rPr>
                <w:rFonts w:cs="Arial"/>
                <w:color w:val="000000"/>
                <w:lang w:val="de-DE"/>
              </w:rPr>
            </w:pPr>
          </w:p>
        </w:tc>
        <w:tc>
          <w:tcPr>
            <w:tcW w:w="852" w:type="dxa"/>
          </w:tcPr>
          <w:p w14:paraId="75BC0363" w14:textId="77777777" w:rsidR="007B3B0C" w:rsidRPr="007341C0" w:rsidRDefault="007B3B0C" w:rsidP="007B3B0C">
            <w:pPr>
              <w:widowControl w:val="0"/>
              <w:rPr>
                <w:rFonts w:cs="Arial"/>
                <w:lang w:val="de-DE"/>
              </w:rPr>
            </w:pPr>
          </w:p>
        </w:tc>
        <w:tc>
          <w:tcPr>
            <w:tcW w:w="4258" w:type="dxa"/>
          </w:tcPr>
          <w:p w14:paraId="48DAF017" w14:textId="77777777" w:rsidR="007B3B0C" w:rsidRPr="00BD3C6A" w:rsidRDefault="007B3B0C" w:rsidP="007B3B0C">
            <w:pPr>
              <w:shd w:val="clear" w:color="auto" w:fill="FFFFFF"/>
              <w:jc w:val="both"/>
              <w:rPr>
                <w:rFonts w:cs="Arial"/>
                <w:color w:val="000000"/>
                <w:bdr w:val="none" w:sz="0" w:space="0" w:color="auto" w:frame="1"/>
                <w:lang w:val="it-IT"/>
              </w:rPr>
            </w:pPr>
          </w:p>
        </w:tc>
      </w:tr>
      <w:tr w:rsidR="007B3B0C" w:rsidRPr="00B3687B" w14:paraId="48B7FD26" w14:textId="77777777" w:rsidTr="00196768">
        <w:tc>
          <w:tcPr>
            <w:tcW w:w="4403" w:type="dxa"/>
          </w:tcPr>
          <w:p w14:paraId="4C91489A" w14:textId="77777777" w:rsidR="00AD2505" w:rsidRPr="00AD2505" w:rsidRDefault="00AD2505" w:rsidP="00AD2505">
            <w:pPr>
              <w:widowControl w:val="0"/>
              <w:ind w:right="105"/>
              <w:jc w:val="both"/>
              <w:rPr>
                <w:rFonts w:cs="Arial"/>
                <w:bCs/>
                <w:i/>
                <w:iCs/>
                <w:color w:val="FF0000"/>
                <w:lang w:val="de-DE"/>
              </w:rPr>
            </w:pPr>
            <w:r w:rsidRPr="00AD2505">
              <w:rPr>
                <w:rFonts w:cs="Arial"/>
                <w:bCs/>
                <w:i/>
                <w:iCs/>
                <w:noProof w:val="0"/>
                <w:color w:val="FF0000"/>
                <w:lang w:val="de-DE" w:eastAsia="it-IT"/>
              </w:rPr>
              <w:t>[</w:t>
            </w:r>
            <w:r w:rsidRPr="00AD2505">
              <w:rPr>
                <w:rFonts w:cs="Arial"/>
                <w:bCs/>
                <w:i/>
                <w:iCs/>
                <w:color w:val="FF0000"/>
                <w:sz w:val="16"/>
                <w:szCs w:val="16"/>
                <w:highlight w:val="green"/>
                <w:lang w:val="de-DE"/>
              </w:rPr>
              <w:t>Fakultativ, bei Verträgen mit einer Laufzeit von mehr als einem Jahr].</w:t>
            </w:r>
            <w:r w:rsidRPr="00AD2505">
              <w:rPr>
                <w:rFonts w:cs="Arial"/>
                <w:bCs/>
                <w:i/>
                <w:iCs/>
                <w:noProof w:val="0"/>
                <w:color w:val="FF0000"/>
                <w:lang w:val="de-DE" w:eastAsia="it-IT"/>
              </w:rPr>
              <w:t xml:space="preserve"> </w:t>
            </w:r>
          </w:p>
          <w:p w14:paraId="7094A285" w14:textId="77777777" w:rsidR="007B3B0C" w:rsidRPr="007341C0" w:rsidRDefault="007B3B0C" w:rsidP="007B3B0C">
            <w:pPr>
              <w:pStyle w:val="Default"/>
              <w:jc w:val="both"/>
              <w:rPr>
                <w:rFonts w:cs="Arial"/>
                <w:sz w:val="20"/>
                <w:szCs w:val="20"/>
                <w:lang w:val="de-DE"/>
              </w:rPr>
            </w:pPr>
            <w:r w:rsidRPr="00AD2505">
              <w:rPr>
                <w:rFonts w:cs="Arial"/>
                <w:color w:val="auto"/>
                <w:sz w:val="20"/>
                <w:szCs w:val="20"/>
                <w:lang w:val="de-DE"/>
              </w:rPr>
              <w:t xml:space="preserve">Die erste Preisrevision kann frühestens ein Jahr nach Vertragsabschluss </w:t>
            </w:r>
            <w:r w:rsidRPr="007341C0">
              <w:rPr>
                <w:rFonts w:cs="Arial"/>
                <w:sz w:val="20"/>
                <w:szCs w:val="20"/>
                <w:lang w:val="de-DE"/>
              </w:rPr>
              <w:t xml:space="preserve">und die darauffolgende frühestens </w:t>
            </w:r>
            <w:r w:rsidRPr="00B3687B">
              <w:rPr>
                <w:rFonts w:cs="Arial"/>
                <w:color w:val="FF0000"/>
                <w:sz w:val="20"/>
                <w:szCs w:val="20"/>
                <w:lang w:val="de-DE"/>
              </w:rPr>
              <w:t xml:space="preserve">ein Jahr </w:t>
            </w:r>
            <w:r w:rsidRPr="007341C0">
              <w:rPr>
                <w:rFonts w:cs="Arial"/>
                <w:sz w:val="20"/>
                <w:szCs w:val="20"/>
                <w:lang w:val="de-DE"/>
              </w:rPr>
              <w:t xml:space="preserve">nach der vorhergehenden beantragt bzw. von Amts wegen aktiviert werden. </w:t>
            </w:r>
          </w:p>
          <w:p w14:paraId="112BBC4F" w14:textId="77777777" w:rsidR="007B3B0C" w:rsidRPr="007341C0" w:rsidRDefault="007B3B0C" w:rsidP="007B3B0C">
            <w:pPr>
              <w:pStyle w:val="Textblock-1"/>
              <w:tabs>
                <w:tab w:val="left" w:pos="360"/>
              </w:tabs>
              <w:suppressAutoHyphens w:val="0"/>
              <w:ind w:left="0"/>
              <w:contextualSpacing/>
              <w:rPr>
                <w:rFonts w:eastAsia="Times New Roman" w:cs="Arial"/>
                <w:bCs/>
                <w:color w:val="FF0000"/>
                <w:sz w:val="20"/>
              </w:rPr>
            </w:pPr>
          </w:p>
        </w:tc>
        <w:tc>
          <w:tcPr>
            <w:tcW w:w="852" w:type="dxa"/>
          </w:tcPr>
          <w:p w14:paraId="55E3DD11" w14:textId="77777777" w:rsidR="007B3B0C" w:rsidRPr="007341C0" w:rsidRDefault="007B3B0C" w:rsidP="007B3B0C">
            <w:pPr>
              <w:widowControl w:val="0"/>
              <w:rPr>
                <w:rFonts w:cs="Arial"/>
                <w:lang w:val="de-DE"/>
              </w:rPr>
            </w:pPr>
          </w:p>
        </w:tc>
        <w:tc>
          <w:tcPr>
            <w:tcW w:w="4258" w:type="dxa"/>
          </w:tcPr>
          <w:p w14:paraId="34B5074D" w14:textId="7673C69D" w:rsidR="00AD2505" w:rsidRDefault="00AD2505" w:rsidP="007B3B0C">
            <w:pPr>
              <w:shd w:val="clear" w:color="auto" w:fill="FFFFFF"/>
              <w:jc w:val="both"/>
              <w:rPr>
                <w:rFonts w:cs="Arial"/>
                <w:bdr w:val="none" w:sz="0" w:space="0" w:color="auto" w:frame="1"/>
                <w:lang w:val="it-IT"/>
              </w:rPr>
            </w:pPr>
            <w:r w:rsidRPr="00AD2505">
              <w:rPr>
                <w:rFonts w:cs="Arial"/>
                <w:bCs/>
                <w:i/>
                <w:iCs/>
                <w:color w:val="FF0000"/>
                <w:lang w:val="it-IT"/>
              </w:rPr>
              <w:t>[</w:t>
            </w:r>
            <w:r w:rsidRPr="00AD2505">
              <w:rPr>
                <w:rFonts w:cs="Arial"/>
                <w:bCs/>
                <w:i/>
                <w:iCs/>
                <w:color w:val="FF0000"/>
                <w:sz w:val="16"/>
                <w:szCs w:val="16"/>
                <w:highlight w:val="green"/>
                <w:lang w:val="it-IT"/>
              </w:rPr>
              <w:t>Facoltativo, nei contratti di durata superiore all’anno</w:t>
            </w:r>
            <w:r w:rsidRPr="00E84851">
              <w:rPr>
                <w:rFonts w:cs="Arial"/>
                <w:bCs/>
                <w:i/>
                <w:iCs/>
                <w:color w:val="FF0000"/>
                <w:sz w:val="16"/>
                <w:szCs w:val="16"/>
                <w:highlight w:val="green"/>
                <w:lang w:val="it-IT"/>
              </w:rPr>
              <w:t>]</w:t>
            </w:r>
          </w:p>
          <w:p w14:paraId="21A4C220" w14:textId="2F96D049" w:rsidR="007B3B0C" w:rsidRPr="00697B9E" w:rsidRDefault="007B3B0C" w:rsidP="007B3B0C">
            <w:pPr>
              <w:shd w:val="clear" w:color="auto" w:fill="FFFFFF"/>
              <w:jc w:val="both"/>
              <w:rPr>
                <w:rFonts w:cs="Arial"/>
                <w:color w:val="000000"/>
                <w:bdr w:val="none" w:sz="0" w:space="0" w:color="auto" w:frame="1"/>
                <w:lang w:val="it-IT"/>
              </w:rPr>
            </w:pPr>
            <w:r w:rsidRPr="007B3B0C">
              <w:rPr>
                <w:rFonts w:cs="Arial"/>
                <w:bdr w:val="none" w:sz="0" w:space="0" w:color="auto" w:frame="1"/>
                <w:lang w:val="it-IT"/>
              </w:rPr>
              <w:t>La prima revisione dei prezzi può essere richiesta o attivata d’ufficio trascorso almeno un anno dalla data di stipula del contratto e la successiva può essere inoltrata/attivata trascorso</w:t>
            </w:r>
            <w:r w:rsidRPr="007B3B0C">
              <w:rPr>
                <w:rFonts w:cs="Arial"/>
                <w:color w:val="FF0000"/>
                <w:bdr w:val="none" w:sz="0" w:space="0" w:color="auto" w:frame="1"/>
                <w:lang w:val="it-IT"/>
              </w:rPr>
              <w:t xml:space="preserve"> almeno un anno </w:t>
            </w:r>
            <w:r w:rsidRPr="007B3B0C">
              <w:rPr>
                <w:rFonts w:cs="Arial"/>
                <w:bdr w:val="none" w:sz="0" w:space="0" w:color="auto" w:frame="1"/>
                <w:lang w:val="it-IT"/>
              </w:rPr>
              <w:t>dalla precedente</w:t>
            </w:r>
            <w:r w:rsidRPr="007B3B0C">
              <w:rPr>
                <w:rFonts w:cs="Arial"/>
                <w:color w:val="FF0000"/>
                <w:bdr w:val="none" w:sz="0" w:space="0" w:color="auto" w:frame="1"/>
                <w:lang w:val="it-IT"/>
              </w:rPr>
              <w:t xml:space="preserve">. </w:t>
            </w:r>
          </w:p>
        </w:tc>
      </w:tr>
      <w:tr w:rsidR="00AD2505" w:rsidRPr="00B3687B" w14:paraId="464BD071" w14:textId="77777777" w:rsidTr="00196768">
        <w:tc>
          <w:tcPr>
            <w:tcW w:w="4403" w:type="dxa"/>
          </w:tcPr>
          <w:p w14:paraId="495048A1" w14:textId="77777777" w:rsidR="00AD2505" w:rsidRPr="00E84851" w:rsidRDefault="00AD2505" w:rsidP="00AD2505">
            <w:pPr>
              <w:widowControl w:val="0"/>
              <w:ind w:right="105"/>
              <w:jc w:val="both"/>
              <w:rPr>
                <w:rFonts w:cs="Arial"/>
                <w:bCs/>
                <w:noProof w:val="0"/>
                <w:color w:val="FF0000"/>
                <w:lang w:val="de-DE" w:eastAsia="it-IT"/>
              </w:rPr>
            </w:pPr>
          </w:p>
        </w:tc>
        <w:tc>
          <w:tcPr>
            <w:tcW w:w="852" w:type="dxa"/>
          </w:tcPr>
          <w:p w14:paraId="27FF2973" w14:textId="77777777" w:rsidR="00AD2505" w:rsidRPr="00AD2505" w:rsidRDefault="00AD2505" w:rsidP="007B3B0C">
            <w:pPr>
              <w:widowControl w:val="0"/>
              <w:rPr>
                <w:rFonts w:cs="Arial"/>
                <w:lang w:val="de-DE"/>
              </w:rPr>
            </w:pPr>
          </w:p>
        </w:tc>
        <w:tc>
          <w:tcPr>
            <w:tcW w:w="4258" w:type="dxa"/>
          </w:tcPr>
          <w:p w14:paraId="02E5D5E8" w14:textId="77777777" w:rsidR="00AD2505" w:rsidRPr="006140E5" w:rsidRDefault="00AD2505" w:rsidP="007B3B0C">
            <w:pPr>
              <w:widowControl w:val="0"/>
              <w:ind w:right="105"/>
              <w:jc w:val="both"/>
              <w:rPr>
                <w:rFonts w:cs="Arial"/>
                <w:bCs/>
                <w:color w:val="FF0000"/>
                <w:lang w:val="it-IT"/>
              </w:rPr>
            </w:pPr>
          </w:p>
        </w:tc>
      </w:tr>
      <w:tr w:rsidR="007B3B0C" w:rsidRPr="00B3687B" w14:paraId="4791B6BB" w14:textId="77777777" w:rsidTr="00196768">
        <w:tc>
          <w:tcPr>
            <w:tcW w:w="4403" w:type="dxa"/>
          </w:tcPr>
          <w:p w14:paraId="65884A81" w14:textId="77777777" w:rsidR="00AD2505" w:rsidRPr="0032386E" w:rsidRDefault="00AD2505" w:rsidP="00AD2505">
            <w:pPr>
              <w:widowControl w:val="0"/>
              <w:ind w:right="105"/>
              <w:jc w:val="both"/>
              <w:rPr>
                <w:rFonts w:cs="Arial"/>
                <w:bCs/>
                <w:i/>
                <w:iCs/>
                <w:color w:val="FF0000"/>
                <w:sz w:val="16"/>
                <w:szCs w:val="16"/>
                <w:lang w:val="de-DE"/>
              </w:rPr>
            </w:pPr>
            <w:r w:rsidRPr="00E84851">
              <w:rPr>
                <w:rFonts w:cs="Arial"/>
                <w:bCs/>
                <w:i/>
                <w:iCs/>
                <w:color w:val="FF0000"/>
                <w:sz w:val="16"/>
                <w:szCs w:val="16"/>
                <w:highlight w:val="green"/>
                <w:lang w:val="de-DE"/>
              </w:rPr>
              <w:t xml:space="preserve">(Fakultativ] </w:t>
            </w:r>
          </w:p>
          <w:p w14:paraId="79DAC705" w14:textId="64472225" w:rsidR="007B3B0C" w:rsidRPr="007341C0" w:rsidRDefault="007B3B0C" w:rsidP="007B3B0C">
            <w:pPr>
              <w:pStyle w:val="Default"/>
              <w:jc w:val="both"/>
              <w:rPr>
                <w:rFonts w:cs="Arial"/>
                <w:sz w:val="20"/>
                <w:szCs w:val="20"/>
                <w:lang w:val="de-DE"/>
              </w:rPr>
            </w:pPr>
            <w:r w:rsidRPr="00AD2505">
              <w:rPr>
                <w:rFonts w:cs="Arial"/>
                <w:color w:val="FF0000"/>
                <w:sz w:val="20"/>
                <w:szCs w:val="20"/>
                <w:lang w:val="de-DE"/>
              </w:rPr>
              <w:t xml:space="preserve">Bei Änderungen wird jener Anteil berücksichtigt, welcher die </w:t>
            </w:r>
            <w:r w:rsidR="00AD2505" w:rsidRPr="00AD2505">
              <w:rPr>
                <w:rFonts w:cs="Arial"/>
                <w:color w:val="FF0000"/>
                <w:sz w:val="20"/>
                <w:szCs w:val="20"/>
              </w:rPr>
              <w:fldChar w:fldCharType="begin">
                <w:ffData>
                  <w:name w:val="Text22"/>
                  <w:enabled/>
                  <w:calcOnExit w:val="0"/>
                  <w:textInput/>
                </w:ffData>
              </w:fldChar>
            </w:r>
            <w:r w:rsidR="00AD2505" w:rsidRPr="00AD2505">
              <w:rPr>
                <w:rFonts w:cs="Arial"/>
                <w:color w:val="FF0000"/>
                <w:sz w:val="20"/>
                <w:szCs w:val="20"/>
                <w:lang w:val="de-DE"/>
              </w:rPr>
              <w:instrText xml:space="preserve"> FORMTEXT </w:instrText>
            </w:r>
            <w:r w:rsidR="00AD2505" w:rsidRPr="00AD2505">
              <w:rPr>
                <w:rFonts w:cs="Arial"/>
                <w:color w:val="FF0000"/>
                <w:sz w:val="20"/>
                <w:szCs w:val="20"/>
              </w:rPr>
            </w:r>
            <w:r w:rsidR="00AD2505" w:rsidRPr="00AD2505">
              <w:rPr>
                <w:rFonts w:cs="Arial"/>
                <w:color w:val="FF0000"/>
                <w:sz w:val="20"/>
                <w:szCs w:val="20"/>
              </w:rPr>
              <w:fldChar w:fldCharType="separate"/>
            </w:r>
            <w:r w:rsidR="00AD2505" w:rsidRPr="00AD2505">
              <w:rPr>
                <w:rFonts w:cs="Arial"/>
                <w:color w:val="FF0000"/>
                <w:sz w:val="20"/>
                <w:szCs w:val="20"/>
              </w:rPr>
              <w:t> </w:t>
            </w:r>
            <w:r w:rsidR="00AD2505" w:rsidRPr="00AD2505">
              <w:rPr>
                <w:rFonts w:cs="Arial"/>
                <w:color w:val="FF0000"/>
                <w:sz w:val="20"/>
                <w:szCs w:val="20"/>
              </w:rPr>
              <w:t> </w:t>
            </w:r>
            <w:r w:rsidR="00AD2505" w:rsidRPr="00AD2505">
              <w:rPr>
                <w:rFonts w:cs="Arial"/>
                <w:color w:val="FF0000"/>
                <w:sz w:val="20"/>
                <w:szCs w:val="20"/>
              </w:rPr>
              <w:t> </w:t>
            </w:r>
            <w:r w:rsidR="00AD2505" w:rsidRPr="00AD2505">
              <w:rPr>
                <w:rFonts w:cs="Arial"/>
                <w:color w:val="FF0000"/>
                <w:sz w:val="20"/>
                <w:szCs w:val="20"/>
              </w:rPr>
              <w:t> </w:t>
            </w:r>
            <w:r w:rsidR="00AD2505" w:rsidRPr="00AD2505">
              <w:rPr>
                <w:rFonts w:cs="Arial"/>
                <w:color w:val="FF0000"/>
                <w:sz w:val="20"/>
                <w:szCs w:val="20"/>
              </w:rPr>
              <w:t> </w:t>
            </w:r>
            <w:r w:rsidR="00AD2505" w:rsidRPr="00AD2505">
              <w:rPr>
                <w:rFonts w:cs="Arial"/>
                <w:color w:val="FF0000"/>
                <w:sz w:val="20"/>
                <w:szCs w:val="20"/>
              </w:rPr>
              <w:fldChar w:fldCharType="end"/>
            </w:r>
            <w:r w:rsidR="00AD2505" w:rsidRPr="00AD2505">
              <w:rPr>
                <w:rFonts w:cs="Arial"/>
                <w:bCs/>
                <w:color w:val="FF0000"/>
                <w:sz w:val="20"/>
                <w:szCs w:val="20"/>
                <w:lang w:val="de-DE"/>
              </w:rPr>
              <w:t xml:space="preserve"> </w:t>
            </w:r>
            <w:r w:rsidR="00AD2505" w:rsidRPr="00AD2505">
              <w:rPr>
                <w:rFonts w:cs="Arial"/>
                <w:bCs/>
                <w:i/>
                <w:iCs/>
                <w:color w:val="FF0000"/>
                <w:sz w:val="16"/>
                <w:szCs w:val="16"/>
                <w:lang w:val="de-DE"/>
              </w:rPr>
              <w:t>[</w:t>
            </w:r>
            <w:r w:rsidR="00AD2505" w:rsidRPr="00AD2505">
              <w:rPr>
                <w:rFonts w:cs="Arial"/>
                <w:bCs/>
                <w:i/>
                <w:iCs/>
                <w:color w:val="FF0000"/>
                <w:sz w:val="16"/>
                <w:szCs w:val="16"/>
                <w:highlight w:val="green"/>
                <w:lang w:val="de-DE"/>
              </w:rPr>
              <w:t>Prozentsatz angeben]</w:t>
            </w:r>
            <w:r w:rsidR="00AD2505" w:rsidRPr="00AD2505">
              <w:rPr>
                <w:rFonts w:cs="Arial"/>
                <w:bCs/>
                <w:color w:val="FF0000"/>
                <w:sz w:val="20"/>
                <w:szCs w:val="20"/>
                <w:lang w:val="de-DE"/>
              </w:rPr>
              <w:t xml:space="preserve"> Prozent des ursprünglichen </w:t>
            </w:r>
            <w:r w:rsidR="00AD2505" w:rsidRPr="00AD2505">
              <w:rPr>
                <w:rFonts w:cs="Arial"/>
                <w:bCs/>
                <w:color w:val="FF0000"/>
                <w:sz w:val="20"/>
                <w:szCs w:val="20"/>
                <w:lang w:val="de-DE"/>
              </w:rPr>
              <w:t>Betrags</w:t>
            </w:r>
            <w:r w:rsidR="00AD2505" w:rsidRPr="00AD2505">
              <w:rPr>
                <w:rFonts w:cs="Arial"/>
                <w:bCs/>
                <w:color w:val="FF0000"/>
                <w:lang w:val="de-DE"/>
              </w:rPr>
              <w:t xml:space="preserve"> </w:t>
            </w:r>
            <w:r w:rsidRPr="00AD2505">
              <w:rPr>
                <w:rFonts w:cs="Arial"/>
                <w:color w:val="FF0000"/>
                <w:sz w:val="20"/>
                <w:szCs w:val="20"/>
                <w:lang w:val="de-DE"/>
              </w:rPr>
              <w:t>übersteigt</w:t>
            </w:r>
            <w:r w:rsidRPr="007341C0">
              <w:rPr>
                <w:rFonts w:cs="Arial"/>
                <w:sz w:val="20"/>
                <w:szCs w:val="20"/>
                <w:lang w:val="de-DE"/>
              </w:rPr>
              <w:t xml:space="preserve">. Für die Berechnung der prozentualen Veränderung des Indexes werden der Monat des Vertragsabschlusses und der Monat vor der Antragstellung durch den Wirtschaftsteilnehmer oder der Einleitung des Verfahrens von Amts wegen berücksichtigt. </w:t>
            </w:r>
          </w:p>
        </w:tc>
        <w:tc>
          <w:tcPr>
            <w:tcW w:w="852" w:type="dxa"/>
          </w:tcPr>
          <w:p w14:paraId="59120420" w14:textId="77777777" w:rsidR="007B3B0C" w:rsidRPr="007341C0" w:rsidRDefault="007B3B0C" w:rsidP="007B3B0C">
            <w:pPr>
              <w:widowControl w:val="0"/>
              <w:rPr>
                <w:rFonts w:cs="Arial"/>
                <w:lang w:val="de-DE"/>
              </w:rPr>
            </w:pPr>
          </w:p>
        </w:tc>
        <w:tc>
          <w:tcPr>
            <w:tcW w:w="4258" w:type="dxa"/>
          </w:tcPr>
          <w:p w14:paraId="23351C77" w14:textId="11EC16B4" w:rsidR="007B3B0C" w:rsidRPr="000D203D" w:rsidRDefault="00AD2505" w:rsidP="007B3B0C">
            <w:pPr>
              <w:shd w:val="clear" w:color="auto" w:fill="FFFFFF"/>
              <w:jc w:val="both"/>
              <w:rPr>
                <w:rFonts w:cs="Arial"/>
                <w:color w:val="201F1E"/>
                <w:bdr w:val="none" w:sz="0" w:space="0" w:color="auto" w:frame="1"/>
                <w:lang w:val="it-IT"/>
              </w:rPr>
            </w:pPr>
            <w:r w:rsidRPr="005A76AD">
              <w:rPr>
                <w:rFonts w:cs="Arial"/>
                <w:bCs/>
                <w:i/>
                <w:iCs/>
                <w:color w:val="FF0000"/>
                <w:sz w:val="16"/>
                <w:szCs w:val="16"/>
                <w:highlight w:val="green"/>
                <w:lang w:val="it-IT"/>
              </w:rPr>
              <w:t>[Facoltativo]</w:t>
            </w:r>
            <w:r w:rsidRPr="005A76AD">
              <w:rPr>
                <w:rFonts w:cs="Arial"/>
                <w:bCs/>
                <w:color w:val="FF0000"/>
                <w:lang w:val="it-IT"/>
              </w:rPr>
              <w:t xml:space="preserve"> </w:t>
            </w:r>
            <w:r w:rsidR="007B3B0C" w:rsidRPr="007B3B0C">
              <w:rPr>
                <w:rFonts w:cs="Arial"/>
                <w:color w:val="FF0000"/>
                <w:bdr w:val="none" w:sz="0" w:space="0" w:color="auto" w:frame="1"/>
                <w:lang w:val="it-IT"/>
              </w:rPr>
              <w:t xml:space="preserve">In ogni caso la variazione è considerata nella misura che eccede il </w:t>
            </w:r>
            <w:r w:rsidR="007B3B0C" w:rsidRPr="007B3B0C">
              <w:rPr>
                <w:rFonts w:cs="Arial"/>
                <w:color w:val="FF0000"/>
                <w:lang w:val="it-IT"/>
              </w:rPr>
              <w:fldChar w:fldCharType="begin">
                <w:ffData>
                  <w:name w:val="Text22"/>
                  <w:enabled/>
                  <w:calcOnExit w:val="0"/>
                  <w:textInput/>
                </w:ffData>
              </w:fldChar>
            </w:r>
            <w:r w:rsidR="007B3B0C" w:rsidRPr="007B3B0C">
              <w:rPr>
                <w:rFonts w:cs="Arial"/>
                <w:color w:val="FF0000"/>
                <w:lang w:val="it-IT"/>
              </w:rPr>
              <w:instrText xml:space="preserve"> FORMTEXT </w:instrText>
            </w:r>
            <w:r w:rsidR="007B3B0C" w:rsidRPr="007B3B0C">
              <w:rPr>
                <w:rFonts w:cs="Arial"/>
                <w:color w:val="FF0000"/>
                <w:lang w:val="it-IT"/>
              </w:rPr>
            </w:r>
            <w:r w:rsidR="007B3B0C" w:rsidRPr="007B3B0C">
              <w:rPr>
                <w:rFonts w:cs="Arial"/>
                <w:color w:val="FF0000"/>
                <w:lang w:val="it-IT"/>
              </w:rPr>
              <w:fldChar w:fldCharType="separate"/>
            </w:r>
            <w:r w:rsidR="007B3B0C" w:rsidRPr="007B3B0C">
              <w:rPr>
                <w:rFonts w:cs="Arial"/>
                <w:color w:val="FF0000"/>
                <w:lang w:val="it-IT"/>
              </w:rPr>
              <w:t> </w:t>
            </w:r>
            <w:r w:rsidR="007B3B0C" w:rsidRPr="007B3B0C">
              <w:rPr>
                <w:rFonts w:cs="Arial"/>
                <w:color w:val="FF0000"/>
                <w:lang w:val="it-IT"/>
              </w:rPr>
              <w:t> </w:t>
            </w:r>
            <w:r w:rsidR="007B3B0C" w:rsidRPr="007B3B0C">
              <w:rPr>
                <w:rFonts w:cs="Arial"/>
                <w:color w:val="FF0000"/>
                <w:lang w:val="it-IT"/>
              </w:rPr>
              <w:t> </w:t>
            </w:r>
            <w:r w:rsidR="007B3B0C" w:rsidRPr="007B3B0C">
              <w:rPr>
                <w:rFonts w:cs="Arial"/>
                <w:color w:val="FF0000"/>
                <w:lang w:val="it-IT"/>
              </w:rPr>
              <w:t> </w:t>
            </w:r>
            <w:r w:rsidR="007B3B0C" w:rsidRPr="007B3B0C">
              <w:rPr>
                <w:rFonts w:cs="Arial"/>
                <w:color w:val="FF0000"/>
                <w:lang w:val="it-IT"/>
              </w:rPr>
              <w:t> </w:t>
            </w:r>
            <w:r w:rsidR="007B3B0C" w:rsidRPr="007B3B0C">
              <w:rPr>
                <w:rFonts w:cs="Arial"/>
                <w:color w:val="FF0000"/>
                <w:lang w:val="it-IT"/>
              </w:rPr>
              <w:fldChar w:fldCharType="end"/>
            </w:r>
            <w:r w:rsidR="007B3B0C" w:rsidRPr="007B3B0C">
              <w:rPr>
                <w:rFonts w:cs="Arial"/>
                <w:color w:val="FF0000"/>
                <w:lang w:val="it-IT"/>
              </w:rPr>
              <w:t xml:space="preserve"> </w:t>
            </w:r>
            <w:r w:rsidR="007B3B0C" w:rsidRPr="007B3B0C">
              <w:rPr>
                <w:rFonts w:cs="Arial"/>
                <w:color w:val="FF0000"/>
                <w:bdr w:val="none" w:sz="0" w:space="0" w:color="auto" w:frame="1"/>
                <w:lang w:val="it-IT"/>
              </w:rPr>
              <w:t xml:space="preserve">%. </w:t>
            </w:r>
            <w:r w:rsidR="007B3B0C" w:rsidRPr="007B3B0C">
              <w:rPr>
                <w:rFonts w:cs="Arial"/>
                <w:bCs/>
                <w:i/>
                <w:iCs/>
                <w:color w:val="FF0000"/>
                <w:sz w:val="16"/>
                <w:szCs w:val="16"/>
                <w:highlight w:val="green"/>
                <w:lang w:val="it-IT"/>
              </w:rPr>
              <w:t>indicare la percentuale]</w:t>
            </w:r>
            <w:r w:rsidR="007B3B0C" w:rsidRPr="007B3B0C">
              <w:rPr>
                <w:rFonts w:cs="Arial"/>
                <w:bCs/>
                <w:color w:val="FF0000"/>
                <w:lang w:val="it-IT"/>
              </w:rPr>
              <w:t xml:space="preserve"> </w:t>
            </w:r>
            <w:r>
              <w:rPr>
                <w:rFonts w:cs="Arial"/>
                <w:bCs/>
                <w:color w:val="FF0000"/>
                <w:lang w:val="it-IT"/>
              </w:rPr>
              <w:t xml:space="preserve">dell’importo originario. </w:t>
            </w:r>
            <w:r w:rsidR="007B3B0C" w:rsidRPr="00BD3C6A">
              <w:rPr>
                <w:rFonts w:cs="Arial"/>
                <w:color w:val="000000"/>
                <w:bdr w:val="none" w:sz="0" w:space="0" w:color="auto" w:frame="1"/>
                <w:lang w:val="it-IT"/>
              </w:rPr>
              <w:t xml:space="preserve">Per il calcolo della percentuale di variazione dell’indice si considera il mese di stipula del contratto e il mese precedente l’istanza da parte dell’operatore economico ovvero l’attivazione della procedura d’ufficio. </w:t>
            </w:r>
          </w:p>
        </w:tc>
      </w:tr>
      <w:tr w:rsidR="007B3B0C" w:rsidRPr="00B3687B" w14:paraId="4A14606E" w14:textId="77777777" w:rsidTr="00196768">
        <w:tc>
          <w:tcPr>
            <w:tcW w:w="4403" w:type="dxa"/>
          </w:tcPr>
          <w:p w14:paraId="3C1BF1EF" w14:textId="77777777" w:rsidR="007B3B0C" w:rsidRPr="009107FE" w:rsidRDefault="007B3B0C" w:rsidP="007B3B0C">
            <w:pPr>
              <w:pStyle w:val="Textblock-1"/>
              <w:tabs>
                <w:tab w:val="left" w:pos="360"/>
              </w:tabs>
              <w:suppressAutoHyphens w:val="0"/>
              <w:ind w:left="0"/>
              <w:contextualSpacing/>
              <w:rPr>
                <w:rFonts w:eastAsia="Times New Roman" w:cs="Arial"/>
                <w:bCs/>
                <w:color w:val="FF0000"/>
                <w:sz w:val="20"/>
                <w:lang w:val="it-IT"/>
              </w:rPr>
            </w:pPr>
          </w:p>
        </w:tc>
        <w:tc>
          <w:tcPr>
            <w:tcW w:w="852" w:type="dxa"/>
          </w:tcPr>
          <w:p w14:paraId="171D3B0A" w14:textId="77777777" w:rsidR="007B3B0C" w:rsidRPr="009107FE" w:rsidRDefault="007B3B0C" w:rsidP="007B3B0C">
            <w:pPr>
              <w:widowControl w:val="0"/>
              <w:rPr>
                <w:rFonts w:cs="Arial"/>
                <w:lang w:val="it-IT"/>
              </w:rPr>
            </w:pPr>
          </w:p>
        </w:tc>
        <w:tc>
          <w:tcPr>
            <w:tcW w:w="4258" w:type="dxa"/>
          </w:tcPr>
          <w:p w14:paraId="576EA09C" w14:textId="77777777" w:rsidR="007B3B0C" w:rsidRPr="006140E5" w:rsidRDefault="007B3B0C" w:rsidP="007B3B0C">
            <w:pPr>
              <w:widowControl w:val="0"/>
              <w:autoSpaceDE w:val="0"/>
              <w:autoSpaceDN w:val="0"/>
              <w:adjustRightInd w:val="0"/>
              <w:ind w:right="6"/>
              <w:jc w:val="both"/>
              <w:rPr>
                <w:rFonts w:cs="Arial"/>
                <w:bCs/>
                <w:color w:val="FF0000"/>
                <w:lang w:val="it-IT"/>
              </w:rPr>
            </w:pPr>
          </w:p>
        </w:tc>
      </w:tr>
      <w:tr w:rsidR="007B3B0C" w:rsidRPr="00B3687B" w14:paraId="30DF5ECD" w14:textId="77777777" w:rsidTr="00196768">
        <w:tc>
          <w:tcPr>
            <w:tcW w:w="4403" w:type="dxa"/>
          </w:tcPr>
          <w:p w14:paraId="0AC43B0C" w14:textId="77777777" w:rsidR="007B3B0C" w:rsidRPr="007341C0" w:rsidRDefault="007B3B0C" w:rsidP="007B3B0C">
            <w:pPr>
              <w:pStyle w:val="Default"/>
              <w:jc w:val="both"/>
              <w:rPr>
                <w:rFonts w:cs="Arial"/>
                <w:sz w:val="20"/>
                <w:szCs w:val="20"/>
                <w:lang w:val="de-DE"/>
              </w:rPr>
            </w:pPr>
            <w:r w:rsidRPr="007341C0">
              <w:rPr>
                <w:rFonts w:cs="Arial"/>
                <w:sz w:val="20"/>
                <w:szCs w:val="20"/>
                <w:lang w:val="de-DE"/>
              </w:rPr>
              <w:t xml:space="preserve">Die so berechnete prozentuale Abweichung wird auf jene Beträge, welche sich auf offene Leistungen beziehen, berechnet, d.h. auf jene Beträge, welche zum Zeitpunkt des Ansuchens bzw. der Einleitung des Verfahrens vom Amt noch </w:t>
            </w:r>
            <w:r w:rsidRPr="007341C0">
              <w:rPr>
                <w:rFonts w:cs="Arial"/>
                <w:sz w:val="20"/>
                <w:szCs w:val="20"/>
                <w:lang w:val="de-DE"/>
              </w:rPr>
              <w:lastRenderedPageBreak/>
              <w:t xml:space="preserve">nicht gezahlt wurden oder zu zahlen sind. Die Revision findet daher keine Anwendung an jene Beträge, die schon in Rechnung gestellt wurden oder die nicht in Rechnung gestellt wurden, obwohl die Voraussetzungen für die Ausstellung der Rechnung gänzlich erfüllt wären </w:t>
            </w:r>
            <w:r w:rsidRPr="006D39E4">
              <w:rPr>
                <w:rFonts w:cs="Arial"/>
                <w:i/>
                <w:iCs/>
                <w:color w:val="FF0000"/>
                <w:sz w:val="16"/>
                <w:szCs w:val="16"/>
                <w:highlight w:val="green"/>
                <w:lang w:val="de-DE"/>
              </w:rPr>
              <w:t>(bei der Planung beispielsweise, wenn die Projekte vom Auftraggeber genehmigt werden).</w:t>
            </w:r>
            <w:r w:rsidRPr="006D39E4">
              <w:rPr>
                <w:rFonts w:cs="Arial"/>
                <w:color w:val="FF0000"/>
                <w:sz w:val="20"/>
                <w:szCs w:val="20"/>
                <w:lang w:val="de-DE"/>
              </w:rPr>
              <w:t xml:space="preserve">  </w:t>
            </w:r>
          </w:p>
        </w:tc>
        <w:tc>
          <w:tcPr>
            <w:tcW w:w="852" w:type="dxa"/>
          </w:tcPr>
          <w:p w14:paraId="251A0218" w14:textId="77777777" w:rsidR="007B3B0C" w:rsidRPr="007341C0" w:rsidRDefault="007B3B0C" w:rsidP="007B3B0C">
            <w:pPr>
              <w:widowControl w:val="0"/>
              <w:jc w:val="both"/>
              <w:rPr>
                <w:rFonts w:cs="Arial"/>
                <w:lang w:val="de-DE"/>
              </w:rPr>
            </w:pPr>
          </w:p>
        </w:tc>
        <w:tc>
          <w:tcPr>
            <w:tcW w:w="4258" w:type="dxa"/>
          </w:tcPr>
          <w:p w14:paraId="71CF182D" w14:textId="77777777" w:rsidR="007B3B0C" w:rsidRPr="00D212F8" w:rsidRDefault="007B3B0C" w:rsidP="007B3B0C">
            <w:pPr>
              <w:shd w:val="clear" w:color="auto" w:fill="FFFFFF"/>
              <w:jc w:val="both"/>
              <w:rPr>
                <w:rFonts w:cs="Arial"/>
                <w:color w:val="000000"/>
                <w:bdr w:val="none" w:sz="0" w:space="0" w:color="auto" w:frame="1"/>
                <w:shd w:val="clear" w:color="auto" w:fill="FFFFFF"/>
                <w:lang w:val="it-IT"/>
              </w:rPr>
            </w:pPr>
            <w:r w:rsidRPr="00BD3C6A">
              <w:rPr>
                <w:rFonts w:cs="Arial"/>
                <w:color w:val="000000"/>
                <w:bdr w:val="none" w:sz="0" w:space="0" w:color="auto" w:frame="1"/>
                <w:shd w:val="clear" w:color="auto" w:fill="FFFFFF"/>
                <w:lang w:val="it-IT"/>
              </w:rPr>
              <w:t>La variazione percentuale così calcolata viene applicata agli importi delle prestazioni residue non già liquidat</w:t>
            </w:r>
            <w:r w:rsidRPr="001D6C35">
              <w:rPr>
                <w:rFonts w:cs="Arial"/>
                <w:color w:val="000000"/>
                <w:bdr w:val="none" w:sz="0" w:space="0" w:color="auto" w:frame="1"/>
                <w:shd w:val="clear" w:color="auto" w:fill="FFFFFF"/>
                <w:lang w:val="it-IT"/>
              </w:rPr>
              <w:t>i</w:t>
            </w:r>
            <w:r w:rsidRPr="00BD3C6A">
              <w:rPr>
                <w:rFonts w:cs="Arial"/>
                <w:color w:val="000000"/>
                <w:bdr w:val="none" w:sz="0" w:space="0" w:color="auto" w:frame="1"/>
                <w:shd w:val="clear" w:color="auto" w:fill="FFFFFF"/>
                <w:lang w:val="it-IT"/>
              </w:rPr>
              <w:t xml:space="preserve"> o liquidabili alla data dell’istanza o dell’attivazione della procedura</w:t>
            </w:r>
            <w:r w:rsidRPr="001D6C35">
              <w:rPr>
                <w:rFonts w:cs="Arial"/>
                <w:color w:val="000000"/>
                <w:bdr w:val="none" w:sz="0" w:space="0" w:color="auto" w:frame="1"/>
                <w:shd w:val="clear" w:color="auto" w:fill="FFFFFF"/>
                <w:lang w:val="it-IT"/>
              </w:rPr>
              <w:t>. L</w:t>
            </w:r>
            <w:r w:rsidRPr="00BD3C6A">
              <w:rPr>
                <w:rFonts w:cs="Arial"/>
                <w:color w:val="000000"/>
                <w:bdr w:val="none" w:sz="0" w:space="0" w:color="auto" w:frame="1"/>
                <w:shd w:val="clear" w:color="auto" w:fill="FFFFFF"/>
                <w:lang w:val="it-IT"/>
              </w:rPr>
              <w:t xml:space="preserve">a revisione non si applica quindi sugli importi fatturati né su </w:t>
            </w:r>
            <w:r w:rsidRPr="00BD3C6A">
              <w:rPr>
                <w:rFonts w:cs="Arial"/>
                <w:color w:val="000000"/>
                <w:bdr w:val="none" w:sz="0" w:space="0" w:color="auto" w:frame="1"/>
                <w:shd w:val="clear" w:color="auto" w:fill="FFFFFF"/>
                <w:lang w:val="it-IT"/>
              </w:rPr>
              <w:lastRenderedPageBreak/>
              <w:t xml:space="preserve">quelli per i quali, </w:t>
            </w:r>
            <w:r w:rsidRPr="001D6C35">
              <w:rPr>
                <w:rFonts w:cs="Arial"/>
                <w:color w:val="000000"/>
                <w:bdr w:val="none" w:sz="0" w:space="0" w:color="auto" w:frame="1"/>
                <w:shd w:val="clear" w:color="auto" w:fill="FFFFFF"/>
                <w:lang w:val="it-IT"/>
              </w:rPr>
              <w:t>ancorché</w:t>
            </w:r>
            <w:r w:rsidRPr="00BD3C6A">
              <w:rPr>
                <w:rFonts w:cs="Arial"/>
                <w:color w:val="000000"/>
                <w:bdr w:val="none" w:sz="0" w:space="0" w:color="auto" w:frame="1"/>
                <w:shd w:val="clear" w:color="auto" w:fill="FFFFFF"/>
                <w:lang w:val="it-IT"/>
              </w:rPr>
              <w:t xml:space="preserve"> non fatturati, si siano realizzate tutte le condizioni per la fatturazione </w:t>
            </w:r>
            <w:r w:rsidRPr="007B3B0C">
              <w:rPr>
                <w:rFonts w:cs="Arial"/>
                <w:i/>
                <w:iCs/>
                <w:color w:val="FF0000"/>
                <w:sz w:val="16"/>
                <w:szCs w:val="16"/>
                <w:highlight w:val="green"/>
                <w:bdr w:val="none" w:sz="0" w:space="0" w:color="auto" w:frame="1"/>
                <w:shd w:val="clear" w:color="auto" w:fill="FFFFFF"/>
                <w:lang w:val="it-IT"/>
              </w:rPr>
              <w:t>(ad esempio, nel caso della progettazione, approvazione dei progetti da parte del committente).</w:t>
            </w:r>
            <w:r w:rsidRPr="007B3B0C">
              <w:rPr>
                <w:rFonts w:cs="Arial"/>
                <w:color w:val="FF0000"/>
                <w:bdr w:val="none" w:sz="0" w:space="0" w:color="auto" w:frame="1"/>
                <w:lang w:val="it-IT"/>
              </w:rPr>
              <w:t>  </w:t>
            </w:r>
          </w:p>
        </w:tc>
      </w:tr>
      <w:tr w:rsidR="007B3B0C" w:rsidRPr="00B3687B" w14:paraId="1104C340" w14:textId="77777777" w:rsidTr="00196768">
        <w:tc>
          <w:tcPr>
            <w:tcW w:w="4403" w:type="dxa"/>
          </w:tcPr>
          <w:p w14:paraId="04449A0B" w14:textId="77777777" w:rsidR="007B3B0C" w:rsidRPr="009107FE" w:rsidRDefault="007B3B0C" w:rsidP="007B3B0C">
            <w:pPr>
              <w:pStyle w:val="Textblock-1"/>
              <w:tabs>
                <w:tab w:val="left" w:pos="360"/>
              </w:tabs>
              <w:suppressAutoHyphens w:val="0"/>
              <w:ind w:left="0"/>
              <w:contextualSpacing/>
              <w:rPr>
                <w:rFonts w:eastAsia="Times New Roman" w:cs="Arial"/>
                <w:bCs/>
                <w:color w:val="FF0000"/>
                <w:sz w:val="20"/>
                <w:lang w:val="it-IT"/>
              </w:rPr>
            </w:pPr>
          </w:p>
        </w:tc>
        <w:tc>
          <w:tcPr>
            <w:tcW w:w="852" w:type="dxa"/>
          </w:tcPr>
          <w:p w14:paraId="56D65AFB" w14:textId="77777777" w:rsidR="007B3B0C" w:rsidRPr="009107FE" w:rsidRDefault="007B3B0C" w:rsidP="007B3B0C">
            <w:pPr>
              <w:widowControl w:val="0"/>
              <w:rPr>
                <w:rFonts w:cs="Arial"/>
                <w:lang w:val="it-IT"/>
              </w:rPr>
            </w:pPr>
          </w:p>
        </w:tc>
        <w:tc>
          <w:tcPr>
            <w:tcW w:w="4258" w:type="dxa"/>
          </w:tcPr>
          <w:p w14:paraId="786D37DB" w14:textId="77777777" w:rsidR="007B3B0C" w:rsidRPr="006140E5" w:rsidRDefault="007B3B0C" w:rsidP="007B3B0C">
            <w:pPr>
              <w:widowControl w:val="0"/>
              <w:autoSpaceDE w:val="0"/>
              <w:autoSpaceDN w:val="0"/>
              <w:adjustRightInd w:val="0"/>
              <w:ind w:right="6"/>
              <w:jc w:val="both"/>
              <w:rPr>
                <w:rFonts w:cs="Arial"/>
                <w:bCs/>
                <w:color w:val="FF0000"/>
                <w:lang w:val="it-IT"/>
              </w:rPr>
            </w:pPr>
          </w:p>
        </w:tc>
      </w:tr>
    </w:tbl>
    <w:p w14:paraId="7EC316EF" w14:textId="77777777" w:rsidR="001D1FFA" w:rsidRPr="0044554B" w:rsidRDefault="00A47F48">
      <w:pPr>
        <w:rPr>
          <w:lang w:val="it-IT"/>
        </w:rPr>
      </w:pPr>
    </w:p>
    <w:sectPr w:rsidR="001D1FFA" w:rsidRPr="0044554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4286A" w14:textId="77777777" w:rsidR="00B36550" w:rsidRDefault="00B36550" w:rsidP="007341C0">
      <w:r>
        <w:separator/>
      </w:r>
    </w:p>
  </w:endnote>
  <w:endnote w:type="continuationSeparator" w:id="0">
    <w:p w14:paraId="46E0036F" w14:textId="77777777" w:rsidR="00B36550" w:rsidRDefault="00B36550" w:rsidP="0073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10298" w14:textId="77777777" w:rsidR="00B36550" w:rsidRDefault="00B36550" w:rsidP="007341C0">
      <w:r>
        <w:separator/>
      </w:r>
    </w:p>
  </w:footnote>
  <w:footnote w:type="continuationSeparator" w:id="0">
    <w:p w14:paraId="4B916091" w14:textId="77777777" w:rsidR="00B36550" w:rsidRDefault="00B36550" w:rsidP="00734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B6C50"/>
    <w:multiLevelType w:val="multilevel"/>
    <w:tmpl w:val="1D8494DE"/>
    <w:lvl w:ilvl="0">
      <w:start w:val="1"/>
      <w:numFmt w:val="decimal"/>
      <w:lvlText w:val="%1."/>
      <w:lvlJc w:val="left"/>
      <w:pPr>
        <w:ind w:left="360" w:hanging="360"/>
      </w:pPr>
      <w:rPr>
        <w:b/>
        <w:bCs/>
        <w:color w:val="auto"/>
        <w:sz w:val="20"/>
        <w:szCs w:val="20"/>
        <w:lang w:val="en-US"/>
      </w:rPr>
    </w:lvl>
    <w:lvl w:ilvl="1">
      <w:start w:val="1"/>
      <w:numFmt w:val="decimal"/>
      <w:lvlText w:val="%1.%2."/>
      <w:lvlJc w:val="left"/>
      <w:pPr>
        <w:ind w:left="792" w:hanging="432"/>
      </w:pPr>
      <w:rPr>
        <w:b/>
        <w:bCs/>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98D0520"/>
    <w:multiLevelType w:val="multilevel"/>
    <w:tmpl w:val="4866FE78"/>
    <w:lvl w:ilvl="0">
      <w:start w:val="1"/>
      <w:numFmt w:val="decimal"/>
      <w:lvlText w:val="%1."/>
      <w:lvlJc w:val="left"/>
      <w:pPr>
        <w:ind w:left="360" w:hanging="360"/>
      </w:pPr>
      <w:rPr>
        <w:b/>
        <w:bCs w:val="0"/>
        <w:color w:val="auto"/>
        <w:sz w:val="20"/>
        <w:szCs w:val="20"/>
      </w:rPr>
    </w:lvl>
    <w:lvl w:ilvl="1">
      <w:start w:val="1"/>
      <w:numFmt w:val="decimal"/>
      <w:lvlText w:val="%1.%2."/>
      <w:lvlJc w:val="left"/>
      <w:pPr>
        <w:ind w:left="792" w:hanging="432"/>
      </w:pPr>
      <w:rPr>
        <w:b/>
        <w:b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54B"/>
    <w:rsid w:val="0044554B"/>
    <w:rsid w:val="006D39E4"/>
    <w:rsid w:val="006D498F"/>
    <w:rsid w:val="007341C0"/>
    <w:rsid w:val="007B3B0C"/>
    <w:rsid w:val="00823B2B"/>
    <w:rsid w:val="008B581E"/>
    <w:rsid w:val="00A47F48"/>
    <w:rsid w:val="00AD2505"/>
    <w:rsid w:val="00B36550"/>
    <w:rsid w:val="00B3687B"/>
    <w:rsid w:val="00BE2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006719"/>
  <w15:chartTrackingRefBased/>
  <w15:docId w15:val="{CD4060A9-887D-4BD6-835B-3A1A9D23A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4554B"/>
    <w:pPr>
      <w:spacing w:after="0" w:line="240" w:lineRule="auto"/>
    </w:pPr>
    <w:rPr>
      <w:rFonts w:ascii="Arial" w:eastAsia="Times New Roman" w:hAnsi="Arial" w:cs="Times New Roman"/>
      <w:noProo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link w:val="DefaultChar"/>
    <w:rsid w:val="0044554B"/>
    <w:pPr>
      <w:autoSpaceDE w:val="0"/>
      <w:autoSpaceDN w:val="0"/>
      <w:adjustRightInd w:val="0"/>
      <w:spacing w:after="0" w:line="240" w:lineRule="auto"/>
    </w:pPr>
    <w:rPr>
      <w:rFonts w:ascii="Arial" w:eastAsia="Times New Roman" w:hAnsi="Arial" w:cs="Times New Roman"/>
      <w:noProof/>
      <w:color w:val="000000"/>
      <w:sz w:val="24"/>
      <w:szCs w:val="24"/>
      <w:lang w:val="it-IT" w:eastAsia="it-IT"/>
    </w:rPr>
  </w:style>
  <w:style w:type="character" w:customStyle="1" w:styleId="DefaultChar">
    <w:name w:val="Default Char"/>
    <w:link w:val="Default"/>
    <w:rsid w:val="0044554B"/>
    <w:rPr>
      <w:rFonts w:ascii="Arial" w:eastAsia="Times New Roman" w:hAnsi="Arial" w:cs="Times New Roman"/>
      <w:noProof/>
      <w:color w:val="000000"/>
      <w:sz w:val="24"/>
      <w:szCs w:val="24"/>
      <w:lang w:val="it-IT" w:eastAsia="it-IT"/>
    </w:rPr>
  </w:style>
  <w:style w:type="paragraph" w:customStyle="1" w:styleId="Textblock-1">
    <w:name w:val="Textblock-1"/>
    <w:basedOn w:val="Normale"/>
    <w:rsid w:val="0044554B"/>
    <w:pPr>
      <w:widowControl w:val="0"/>
      <w:suppressAutoHyphens/>
      <w:ind w:left="850"/>
      <w:jc w:val="both"/>
    </w:pPr>
    <w:rPr>
      <w:rFonts w:eastAsia="Andale Sans UI"/>
      <w:noProof w:val="0"/>
      <w:sz w:val="22"/>
      <w:lang w:val="de-DE" w:eastAsia="it-IT"/>
    </w:rPr>
  </w:style>
  <w:style w:type="paragraph" w:styleId="Paragrafoelenco">
    <w:name w:val="List Paragraph"/>
    <w:basedOn w:val="Normale"/>
    <w:uiPriority w:val="34"/>
    <w:qFormat/>
    <w:rsid w:val="0044554B"/>
    <w:pPr>
      <w:ind w:left="720"/>
      <w:contextualSpacing/>
    </w:pPr>
  </w:style>
  <w:style w:type="paragraph" w:customStyle="1" w:styleId="xmsonormal">
    <w:name w:val="x_msonormal"/>
    <w:basedOn w:val="Normale"/>
    <w:rsid w:val="0044554B"/>
    <w:rPr>
      <w:rFonts w:ascii="Calibri" w:eastAsiaTheme="minorHAnsi" w:hAnsi="Calibri" w:cs="Calibri"/>
      <w:noProof w:val="0"/>
      <w:sz w:val="22"/>
      <w:szCs w:val="22"/>
      <w:lang w:val="it-IT" w:eastAsia="it-IT"/>
    </w:rPr>
  </w:style>
  <w:style w:type="paragraph" w:styleId="Pidipagina">
    <w:name w:val="footer"/>
    <w:basedOn w:val="Normale"/>
    <w:link w:val="PidipaginaCarattere"/>
    <w:rsid w:val="007B3B0C"/>
    <w:pPr>
      <w:tabs>
        <w:tab w:val="center" w:pos="4536"/>
        <w:tab w:val="right" w:pos="9072"/>
      </w:tabs>
    </w:pPr>
  </w:style>
  <w:style w:type="character" w:customStyle="1" w:styleId="PidipaginaCarattere">
    <w:name w:val="Piè di pagina Carattere"/>
    <w:basedOn w:val="Carpredefinitoparagrafo"/>
    <w:link w:val="Pidipagina"/>
    <w:rsid w:val="007B3B0C"/>
    <w:rPr>
      <w:rFonts w:ascii="Arial" w:eastAsia="Times New Roman" w:hAnsi="Arial"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tat.provinz.bz.it/PriceDigit.aspx?INDEX=CONS&amp;lang=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774</Words>
  <Characters>4412</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Lanzafame, Valentina</dc:creator>
  <cp:keywords/>
  <dc:description/>
  <cp:lastModifiedBy>Filippi, Valeria</cp:lastModifiedBy>
  <cp:revision>2</cp:revision>
  <dcterms:created xsi:type="dcterms:W3CDTF">2022-10-04T14:52:00Z</dcterms:created>
  <dcterms:modified xsi:type="dcterms:W3CDTF">2022-10-04T14:52:00Z</dcterms:modified>
</cp:coreProperties>
</file>