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7" w:type="dxa"/>
        <w:tblInd w:w="-29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362"/>
        <w:gridCol w:w="4491"/>
      </w:tblGrid>
      <w:tr w:rsidR="00823A56" w:rsidRPr="003C688E" w14:paraId="2AC9879C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11EA6531" w14:textId="0F67394C" w:rsidR="00823A56" w:rsidRDefault="00823A56" w:rsidP="00951C95">
            <w:pPr>
              <w:spacing w:after="0" w:line="240" w:lineRule="auto"/>
              <w:ind w:left="7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</w:pPr>
            <w:r w:rsidRPr="005146E4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nlage</w:t>
            </w:r>
            <w:r w:rsidRPr="005146E4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 xml:space="preserve"> A </w:t>
            </w:r>
          </w:p>
          <w:p w14:paraId="775EF256" w14:textId="26C42133" w:rsidR="00823A56" w:rsidRPr="00807AC4" w:rsidRDefault="00823A56" w:rsidP="00951C95">
            <w:pPr>
              <w:spacing w:after="0" w:line="240" w:lineRule="auto"/>
              <w:ind w:left="7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zur</w:t>
            </w:r>
            <w:r w:rsidRPr="005146E4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 xml:space="preserve"> Mustervereinbarung 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„Z</w:t>
            </w:r>
            <w:r w:rsidRPr="00807AC4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wischengemeindliche Zusammenarbeit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5146E4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i.g.F.</w:t>
            </w: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de-DE"/>
              </w:rPr>
              <w:t>“</w:t>
            </w:r>
          </w:p>
        </w:tc>
        <w:tc>
          <w:tcPr>
            <w:tcW w:w="369" w:type="dxa"/>
            <w:shd w:val="clear" w:color="auto" w:fill="FFFFFF" w:themeFill="background1"/>
          </w:tcPr>
          <w:p w14:paraId="03910050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9" w:right="141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9277421" w14:textId="2639697F" w:rsidR="00823A56" w:rsidRPr="00051966" w:rsidRDefault="00823A56" w:rsidP="00951C95">
            <w:pPr>
              <w:pStyle w:val="StandardWeb"/>
              <w:spacing w:beforeAutospacing="0" w:after="0" w:line="240" w:lineRule="auto"/>
              <w:ind w:left="9" w:right="-7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51966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llegato</w:t>
            </w:r>
            <w:r w:rsidRPr="00051966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 xml:space="preserve"> A</w:t>
            </w:r>
          </w:p>
          <w:p w14:paraId="57E650E6" w14:textId="77777777" w:rsidR="00823A56" w:rsidRPr="00051966" w:rsidRDefault="00823A56" w:rsidP="00951C95">
            <w:pPr>
              <w:pStyle w:val="StandardWeb"/>
              <w:spacing w:beforeAutospacing="0" w:after="0" w:line="240" w:lineRule="auto"/>
              <w:ind w:left="9" w:right="-7"/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</w:pPr>
            <w:r w:rsidRPr="00051966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alla convenzione tipo</w:t>
            </w:r>
          </w:p>
          <w:p w14:paraId="1083C92D" w14:textId="27AAD1A3" w:rsidR="00823A56" w:rsidRPr="00AF1E38" w:rsidRDefault="00823A56" w:rsidP="00951C95">
            <w:pPr>
              <w:pStyle w:val="StandardWeb"/>
              <w:spacing w:beforeAutospacing="0" w:after="0" w:line="240" w:lineRule="auto"/>
              <w:ind w:left="9" w:right="-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051966">
              <w:rPr>
                <w:rFonts w:ascii="Arial" w:hAnsi="Arial" w:cs="Arial"/>
                <w:b/>
                <w:bCs/>
                <w:iCs/>
                <w:sz w:val="20"/>
                <w:szCs w:val="20"/>
                <w:lang w:val="it-IT"/>
              </w:rPr>
              <w:t>“collaborazione intercomunale t.v.”</w:t>
            </w:r>
          </w:p>
        </w:tc>
      </w:tr>
      <w:tr w:rsidR="00823A56" w:rsidRPr="003C688E" w14:paraId="0CDEDBFD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04EA8AD" w14:textId="77777777" w:rsidR="00823A56" w:rsidRPr="003C688E" w:rsidRDefault="00823A56" w:rsidP="00951C95">
            <w:pPr>
              <w:spacing w:after="0" w:line="240" w:lineRule="auto"/>
              <w:ind w:left="7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74E4C8E4" w14:textId="77777777" w:rsidR="00823A56" w:rsidRPr="00823A56" w:rsidRDefault="00823A56" w:rsidP="00823A56">
            <w:pPr>
              <w:pStyle w:val="StandardWeb"/>
              <w:spacing w:beforeAutospacing="0" w:after="0" w:line="240" w:lineRule="auto"/>
              <w:ind w:left="9" w:right="141"/>
              <w:jc w:val="left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4A9B057" w14:textId="6CC5A200" w:rsidR="00823A56" w:rsidRPr="00AF1E38" w:rsidRDefault="00823A56" w:rsidP="00951C95">
            <w:pPr>
              <w:pStyle w:val="StandardWeb"/>
              <w:spacing w:beforeAutospacing="0" w:after="0" w:line="240" w:lineRule="auto"/>
              <w:ind w:left="9" w:right="-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23A56" w:rsidRPr="003C688E" w14:paraId="678FDD33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EF0733D" w14:textId="77777777" w:rsidR="00823A56" w:rsidRDefault="00823A56" w:rsidP="00951C95">
            <w:pPr>
              <w:spacing w:after="0" w:line="240" w:lineRule="auto"/>
              <w:ind w:left="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1352551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AUSWAHLVERFARHEN </w:t>
            </w:r>
          </w:p>
          <w:p w14:paraId="095753E3" w14:textId="75A46CBF" w:rsidR="00823A56" w:rsidRDefault="00823A56" w:rsidP="00951C95">
            <w:pPr>
              <w:spacing w:after="0" w:line="240" w:lineRule="auto"/>
              <w:ind w:left="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bei</w:t>
            </w:r>
          </w:p>
          <w:p w14:paraId="20BB8C2B" w14:textId="7FC0D0DF" w:rsidR="00823A56" w:rsidRPr="00BC54A1" w:rsidRDefault="00823A56" w:rsidP="00951C95">
            <w:pPr>
              <w:spacing w:after="0" w:line="240" w:lineRule="auto"/>
              <w:ind w:left="7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C54A1">
              <w:rPr>
                <w:rFonts w:ascii="Arial" w:hAnsi="Arial" w:cs="Arial"/>
                <w:b/>
                <w:bCs/>
                <w:sz w:val="20"/>
                <w:szCs w:val="20"/>
              </w:rPr>
              <w:t>Gemeinsame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BC54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Führung des Gemeindes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C54A1">
              <w:rPr>
                <w:rFonts w:ascii="Arial" w:hAnsi="Arial" w:cs="Arial"/>
                <w:b/>
                <w:bCs/>
                <w:sz w:val="20"/>
                <w:szCs w:val="20"/>
              </w:rPr>
              <w:t>ekretariats im Sinne des Artikels 159-bis des RG Nr. 2/2018 i.g.F.</w:t>
            </w:r>
          </w:p>
        </w:tc>
        <w:tc>
          <w:tcPr>
            <w:tcW w:w="369" w:type="dxa"/>
            <w:shd w:val="clear" w:color="auto" w:fill="FFFFFF" w:themeFill="background1"/>
          </w:tcPr>
          <w:p w14:paraId="61DEB708" w14:textId="77777777" w:rsidR="00823A56" w:rsidRPr="00823A56" w:rsidRDefault="00823A56" w:rsidP="00823A56">
            <w:pPr>
              <w:pStyle w:val="StandardWeb"/>
              <w:spacing w:beforeAutospacing="0" w:after="0" w:line="240" w:lineRule="auto"/>
              <w:ind w:left="9" w:right="138"/>
              <w:jc w:val="left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A52B573" w14:textId="07FBCC71" w:rsidR="00823A56" w:rsidRPr="003C688E" w:rsidRDefault="00823A56" w:rsidP="00951C95">
            <w:pPr>
              <w:pStyle w:val="StandardWeb"/>
              <w:spacing w:beforeAutospacing="0" w:after="0" w:line="240" w:lineRule="auto"/>
              <w:ind w:left="9" w:right="-7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3C688E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PROCEDURA</w:t>
            </w:r>
          </w:p>
          <w:p w14:paraId="7921CAAC" w14:textId="67E4E2A0" w:rsidR="00823A56" w:rsidRPr="003C688E" w:rsidRDefault="00823A56" w:rsidP="00951C95">
            <w:pPr>
              <w:pStyle w:val="StandardWeb"/>
              <w:spacing w:beforeAutospacing="0" w:after="0" w:line="240" w:lineRule="auto"/>
              <w:ind w:left="9" w:right="-7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3C688E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in caso di</w:t>
            </w:r>
          </w:p>
          <w:p w14:paraId="55FD0AB0" w14:textId="13DFDD38" w:rsidR="00823A56" w:rsidRPr="003C688E" w:rsidRDefault="00823A56" w:rsidP="00951C95">
            <w:pPr>
              <w:pStyle w:val="StandardWeb"/>
              <w:spacing w:beforeAutospacing="0" w:after="0" w:line="240" w:lineRule="auto"/>
              <w:ind w:left="9" w:right="-7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3C688E"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  <w:t>Gestione associata della segreteria comunale ai sensi dell’articolo 159-bis della LR n. 2/2018 t.v.</w:t>
            </w:r>
          </w:p>
        </w:tc>
      </w:tr>
      <w:bookmarkEnd w:id="0"/>
      <w:tr w:rsidR="00823A56" w:rsidRPr="003C688E" w14:paraId="4AB10F67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49C41147" w14:textId="1AECBD8B" w:rsidR="00823A56" w:rsidRPr="003C688E" w:rsidRDefault="00823A56" w:rsidP="00951C95">
            <w:pPr>
              <w:spacing w:after="0" w:line="240" w:lineRule="auto"/>
              <w:ind w:left="14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569972CD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/>
                <w:iCs/>
                <w:color w:val="00000A"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1D7B114" w14:textId="38209FA6" w:rsidR="00823A56" w:rsidRPr="003C688E" w:rsidRDefault="00823A56" w:rsidP="00951C95">
            <w:pPr>
              <w:pStyle w:val="StandardWeb"/>
              <w:spacing w:beforeAutospacing="0" w:after="0" w:line="240" w:lineRule="auto"/>
              <w:ind w:left="134" w:right="-7"/>
              <w:rPr>
                <w:rFonts w:ascii="Arial" w:hAnsi="Arial" w:cs="Arial"/>
                <w:bCs/>
                <w:i/>
                <w:iCs/>
                <w:color w:val="00000A"/>
                <w:sz w:val="20"/>
                <w:szCs w:val="20"/>
                <w:lang w:val="it-IT"/>
              </w:rPr>
            </w:pPr>
          </w:p>
        </w:tc>
      </w:tr>
      <w:tr w:rsidR="00823A56" w:rsidRPr="003C688E" w14:paraId="354D4435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E3369D3" w14:textId="3E67D84A" w:rsidR="00823A56" w:rsidRPr="00167EDF" w:rsidRDefault="00823A56" w:rsidP="00951C95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285" w:hanging="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Bekleiden die Gemeindesekretäre/innen denselben Funktionsrang bzw.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d</w:t>
            </w:r>
            <w:r w:rsidR="0036071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ie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selbe </w:t>
            </w: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Klasse, ist ein Auswahlverfahren innerhalb 6 Monaten nach Abschluss der Vereinbarung über den gemeinsamen Sekretariatsdienst von der vorübergehend federführenden Gemeinde einzuleiten und muss innerhalb von 12 Monaten abgeschlossen werden. </w:t>
            </w:r>
          </w:p>
        </w:tc>
        <w:tc>
          <w:tcPr>
            <w:tcW w:w="369" w:type="dxa"/>
            <w:shd w:val="clear" w:color="auto" w:fill="FFFFFF" w:themeFill="background1"/>
          </w:tcPr>
          <w:p w14:paraId="4B620B03" w14:textId="77777777" w:rsidR="00823A56" w:rsidRPr="003C688E" w:rsidRDefault="00823A56" w:rsidP="00823A56">
            <w:pPr>
              <w:spacing w:after="0" w:line="240" w:lineRule="auto"/>
              <w:ind w:right="141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73727473" w14:textId="70D5DE78" w:rsidR="00823A56" w:rsidRPr="00167EDF" w:rsidRDefault="00823A56" w:rsidP="00951C95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283" w:right="-7" w:hanging="283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>Se i/le Segretari/e comunali sono della stessa qualifica risp</w:t>
            </w:r>
            <w:r w:rsidR="003C688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>ettivamente</w:t>
            </w: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>. della stessa classe, il comune capofila transitorio deve avviare una procedura di selezione entro 6 mesi dalla stipulazione della convenzione per la gestione associata del servizio di segreteria, che deve essere conclusa entro 12 mesi.</w:t>
            </w:r>
          </w:p>
          <w:p w14:paraId="556F98FF" w14:textId="60D1DF65" w:rsidR="00823A56" w:rsidRPr="00167EDF" w:rsidRDefault="00823A56" w:rsidP="00951C95">
            <w:pPr>
              <w:spacing w:after="0" w:line="240" w:lineRule="auto"/>
              <w:ind w:right="-7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</w:tr>
      <w:tr w:rsidR="00823A56" w:rsidRPr="003C688E" w14:paraId="704C3C45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EF5C8D8" w14:textId="77777777" w:rsidR="00823A56" w:rsidRPr="003C688E" w:rsidRDefault="00823A56" w:rsidP="00951C95">
            <w:pPr>
              <w:pStyle w:val="Listenabsatz"/>
              <w:spacing w:after="0" w:line="240" w:lineRule="auto"/>
              <w:ind w:left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316943FC" w14:textId="77777777" w:rsidR="00823A56" w:rsidRPr="00823A56" w:rsidRDefault="00823A56" w:rsidP="00823A56">
            <w:pPr>
              <w:spacing w:after="0" w:line="240" w:lineRule="auto"/>
              <w:ind w:right="141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val="it-IT"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1626F9DC" w14:textId="0B4D5958" w:rsidR="00823A56" w:rsidRPr="00167EDF" w:rsidRDefault="00823A56" w:rsidP="00951C95">
            <w:pPr>
              <w:pStyle w:val="Listenabsatz"/>
              <w:spacing w:after="0" w:line="240" w:lineRule="auto"/>
              <w:ind w:left="283" w:right="-7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</w:tr>
      <w:tr w:rsidR="00823A56" w:rsidRPr="003C688E" w14:paraId="7D57FBB4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7642A1F3" w14:textId="55D12490" w:rsidR="00823A56" w:rsidRPr="00360717" w:rsidRDefault="00823A56" w:rsidP="00360717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285" w:hanging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Die Kandidaten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/innen</w:t>
            </w: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werden zu einem Kolloquium eingeladen, welches von einer eigens vom Gemeinderat der vorübergehend federführenden Gemeinde ernannten Prüfungskommission durchgeführt wird. </w:t>
            </w:r>
            <w:r w:rsidRPr="0036071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Diese schlägt dem Gemeinderat den/die Kandidaten/in, für die Ernennung vor.</w:t>
            </w:r>
          </w:p>
        </w:tc>
        <w:tc>
          <w:tcPr>
            <w:tcW w:w="369" w:type="dxa"/>
            <w:shd w:val="clear" w:color="auto" w:fill="FFFFFF" w:themeFill="background1"/>
          </w:tcPr>
          <w:p w14:paraId="7D87BB8A" w14:textId="77777777" w:rsidR="00823A56" w:rsidRPr="003C688E" w:rsidRDefault="00823A56" w:rsidP="00823A56">
            <w:pPr>
              <w:spacing w:after="0" w:line="240" w:lineRule="auto"/>
              <w:ind w:right="141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16049097" w14:textId="2E61EB2C" w:rsidR="00823A56" w:rsidRPr="00167EDF" w:rsidRDefault="00823A56" w:rsidP="00951C9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88" w:right="-7" w:hanging="288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>I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>/Le</w:t>
            </w: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 xml:space="preserve"> candidati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>/e</w:t>
            </w: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 xml:space="preserve"> sono invitato ad un colloquio, che è svolto da una commissione di valutazione appositamente nominata dal consiglio comunale</w:t>
            </w:r>
            <w:r w:rsidRPr="003C688E">
              <w:rPr>
                <w:lang w:val="it-IT"/>
              </w:rPr>
              <w:t xml:space="preserve"> </w:t>
            </w: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 xml:space="preserve">del comune capofila transitorio. </w:t>
            </w:r>
          </w:p>
          <w:p w14:paraId="754BF08B" w14:textId="7EA64F9F" w:rsidR="00823A56" w:rsidRPr="00167EDF" w:rsidRDefault="00823A56" w:rsidP="00951C95">
            <w:pPr>
              <w:pStyle w:val="Listenabsatz"/>
              <w:spacing w:after="0" w:line="240" w:lineRule="auto"/>
              <w:ind w:left="288" w:right="-7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167ED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  <w:t>Questa proporrà il/la candidato/a, al consiglio comunale per la nomina.</w:t>
            </w:r>
          </w:p>
        </w:tc>
      </w:tr>
      <w:tr w:rsidR="00823A56" w:rsidRPr="003C688E" w14:paraId="6226B509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47F5D8C3" w14:textId="77777777" w:rsidR="00823A56" w:rsidRPr="003C688E" w:rsidRDefault="00823A56" w:rsidP="00951C95">
            <w:pPr>
              <w:pStyle w:val="Listenabsatz"/>
              <w:spacing w:after="0" w:line="240" w:lineRule="auto"/>
              <w:ind w:left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40F2D0BE" w14:textId="77777777" w:rsidR="00823A56" w:rsidRPr="00823A56" w:rsidRDefault="00823A56" w:rsidP="00823A56">
            <w:pPr>
              <w:pStyle w:val="Listenabsatz"/>
              <w:spacing w:after="0" w:line="240" w:lineRule="auto"/>
              <w:ind w:left="288" w:right="141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val="it-IT" w:eastAsia="de-DE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D899505" w14:textId="5B32A50D" w:rsidR="00823A56" w:rsidRPr="00167EDF" w:rsidRDefault="00823A56" w:rsidP="00951C95">
            <w:pPr>
              <w:pStyle w:val="Listenabsatz"/>
              <w:spacing w:after="0" w:line="240" w:lineRule="auto"/>
              <w:ind w:left="288" w:right="-7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</w:tr>
      <w:tr w:rsidR="00823A56" w:rsidRPr="003C688E" w14:paraId="6506006D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E28147A" w14:textId="4FC6174C" w:rsidR="00823A56" w:rsidRPr="004743C7" w:rsidRDefault="00823A56" w:rsidP="00951C9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85" w:hanging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4743C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Die Prüfungskommission nimmt die Bewertung anhand geeigneter Kriterien vor, wobei die Berufserfahrung, die Ausbildung und das Ergebnis des Kolloquiums bewertet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werden</w:t>
            </w:r>
            <w:r w:rsidRPr="004743C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369" w:type="dxa"/>
            <w:shd w:val="clear" w:color="auto" w:fill="FFFFFF" w:themeFill="background1"/>
          </w:tcPr>
          <w:p w14:paraId="0F3896F3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2A6688F" w14:textId="3E3EEDE1" w:rsidR="00823A56" w:rsidRPr="00846A99" w:rsidRDefault="00823A56" w:rsidP="00951C95">
            <w:pPr>
              <w:pStyle w:val="StandardWeb"/>
              <w:numPr>
                <w:ilvl w:val="0"/>
                <w:numId w:val="15"/>
              </w:numPr>
              <w:spacing w:beforeAutospacing="0" w:after="0" w:line="240" w:lineRule="auto"/>
              <w:ind w:left="288" w:right="-7" w:hanging="288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846A99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La commissione </w:t>
            </w:r>
            <w:r w:rsidRPr="00770BF9">
              <w:rPr>
                <w:rFonts w:ascii="Arial" w:hAnsi="Arial" w:cs="Arial"/>
                <w:iCs/>
                <w:sz w:val="20"/>
                <w:szCs w:val="20"/>
                <w:lang w:val="it-IT"/>
              </w:rPr>
              <w:t>di valutazione</w:t>
            </w:r>
            <w:r w:rsidRPr="00846A99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effettua la valutazione sulla base di opportuni criteri, valutando l'esperienza professionale, la formazione e l'esito del colloquio.</w:t>
            </w:r>
          </w:p>
        </w:tc>
      </w:tr>
      <w:tr w:rsidR="00823A56" w:rsidRPr="003C688E" w14:paraId="7FF700D9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43DEA1AD" w14:textId="77777777" w:rsidR="00823A56" w:rsidRPr="003C688E" w:rsidRDefault="00823A56" w:rsidP="00951C95">
            <w:pPr>
              <w:pStyle w:val="Listenabsatz"/>
              <w:spacing w:after="0" w:line="240" w:lineRule="auto"/>
              <w:ind w:left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6B9D5FB9" w14:textId="77777777" w:rsidR="00823A56" w:rsidRPr="00823A56" w:rsidRDefault="00823A56" w:rsidP="00823A56">
            <w:pPr>
              <w:pStyle w:val="StandardWeb"/>
              <w:spacing w:beforeAutospacing="0" w:after="0" w:line="240" w:lineRule="auto"/>
              <w:ind w:left="288" w:right="138"/>
              <w:jc w:val="left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4EED482F" w14:textId="0903A353" w:rsidR="00823A56" w:rsidRPr="00846A99" w:rsidRDefault="00823A56" w:rsidP="00951C95">
            <w:pPr>
              <w:pStyle w:val="StandardWeb"/>
              <w:spacing w:beforeAutospacing="0" w:after="0" w:line="240" w:lineRule="auto"/>
              <w:ind w:left="288" w:right="-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23A56" w:rsidRPr="003C688E" w14:paraId="3AAA779E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707A113" w14:textId="3024752F" w:rsidR="00823A56" w:rsidRPr="004743C7" w:rsidRDefault="00823A56" w:rsidP="00951C9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85" w:hanging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4743C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Die Gewichtung der Kriterien erfolgt laut geltender Personaldienstordnung der vorübergehend federführenden Gemeinde.</w:t>
            </w:r>
          </w:p>
        </w:tc>
        <w:tc>
          <w:tcPr>
            <w:tcW w:w="369" w:type="dxa"/>
            <w:shd w:val="clear" w:color="auto" w:fill="FFFFFF" w:themeFill="background1"/>
          </w:tcPr>
          <w:p w14:paraId="0E1CB301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ABB3343" w14:textId="0F6E1B5F" w:rsidR="00823A56" w:rsidRPr="00846A99" w:rsidRDefault="00823A56" w:rsidP="00951C95">
            <w:pPr>
              <w:pStyle w:val="StandardWeb"/>
              <w:numPr>
                <w:ilvl w:val="0"/>
                <w:numId w:val="17"/>
              </w:numPr>
              <w:spacing w:beforeAutospacing="0" w:after="0" w:line="240" w:lineRule="auto"/>
              <w:ind w:left="288" w:right="-7" w:hanging="288"/>
              <w:rPr>
                <w:rFonts w:ascii="Arial" w:hAnsi="Arial" w:cs="Arial"/>
                <w:bCs/>
                <w:i/>
                <w:iCs/>
                <w:color w:val="00000A"/>
                <w:sz w:val="20"/>
                <w:szCs w:val="20"/>
                <w:lang w:val="it-IT"/>
              </w:rPr>
            </w:pPr>
            <w:r w:rsidRPr="00846A99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I criteri sono ponderati secondo la vigente 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disciplina del regolamento del personale del </w:t>
            </w:r>
            <w:r w:rsidRPr="00846A99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comune </w:t>
            </w:r>
            <w:r w:rsidRPr="008263E1">
              <w:rPr>
                <w:rFonts w:ascii="Arial" w:hAnsi="Arial" w:cs="Arial"/>
                <w:iCs/>
                <w:sz w:val="20"/>
                <w:szCs w:val="20"/>
                <w:lang w:val="it-IT"/>
              </w:rPr>
              <w:t>capofila transitorio</w:t>
            </w:r>
            <w:r w:rsidRPr="00846A99">
              <w:rPr>
                <w:rFonts w:ascii="Arial" w:hAnsi="Arial" w:cs="Arial"/>
                <w:iCs/>
                <w:sz w:val="20"/>
                <w:szCs w:val="20"/>
                <w:lang w:val="it-IT"/>
              </w:rPr>
              <w:t>.</w:t>
            </w:r>
          </w:p>
        </w:tc>
      </w:tr>
      <w:tr w:rsidR="00823A56" w:rsidRPr="003C688E" w14:paraId="6E96FDE7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61F9BB65" w14:textId="77777777" w:rsidR="00823A56" w:rsidRPr="003C688E" w:rsidRDefault="00823A56" w:rsidP="00951C95">
            <w:pPr>
              <w:pStyle w:val="Listenabsatz"/>
              <w:spacing w:after="0" w:line="240" w:lineRule="auto"/>
              <w:ind w:left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27281C04" w14:textId="77777777" w:rsidR="00823A56" w:rsidRPr="00823A56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4496F738" w14:textId="7E0BD645" w:rsidR="00823A56" w:rsidRPr="00846A99" w:rsidRDefault="00823A56" w:rsidP="00951C95">
            <w:pPr>
              <w:pStyle w:val="StandardWeb"/>
              <w:spacing w:beforeAutospacing="0" w:after="0" w:line="240" w:lineRule="auto"/>
              <w:ind w:left="288" w:right="-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23A56" w:rsidRPr="003C688E" w14:paraId="37711FEF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76DE740" w14:textId="128E4D1E" w:rsidR="00823A56" w:rsidRPr="002C5553" w:rsidRDefault="00823A56" w:rsidP="00951C9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85" w:hanging="284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4743C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Die Prüfungskommission setzt sich aus folgenden Mitgliedern zusammen:</w:t>
            </w:r>
          </w:p>
        </w:tc>
        <w:tc>
          <w:tcPr>
            <w:tcW w:w="369" w:type="dxa"/>
            <w:shd w:val="clear" w:color="auto" w:fill="FFFFFF" w:themeFill="background1"/>
          </w:tcPr>
          <w:p w14:paraId="28404B15" w14:textId="77777777" w:rsidR="00823A56" w:rsidRPr="003C688E" w:rsidRDefault="00823A56" w:rsidP="00A05BF0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E4D52E0" w14:textId="48C77E2C" w:rsidR="00823A56" w:rsidRPr="002C5553" w:rsidRDefault="00823A56" w:rsidP="00951C95">
            <w:pPr>
              <w:pStyle w:val="StandardWeb"/>
              <w:numPr>
                <w:ilvl w:val="0"/>
                <w:numId w:val="19"/>
              </w:numPr>
              <w:spacing w:beforeAutospacing="0" w:after="0" w:line="240" w:lineRule="auto"/>
              <w:ind w:left="288" w:right="-7" w:hanging="283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846A99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La commissione </w:t>
            </w:r>
            <w:r w:rsidRPr="008263E1">
              <w:rPr>
                <w:rFonts w:ascii="Arial" w:hAnsi="Arial" w:cs="Arial"/>
                <w:iCs/>
                <w:sz w:val="20"/>
                <w:szCs w:val="20"/>
                <w:lang w:val="it-IT"/>
              </w:rPr>
              <w:t>di valutazione</w:t>
            </w:r>
            <w:r w:rsidRPr="00846A99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è composta dai seguenti membri:</w:t>
            </w:r>
          </w:p>
        </w:tc>
      </w:tr>
      <w:tr w:rsidR="00823A56" w:rsidRPr="003C688E" w14:paraId="69104AB7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05932420" w14:textId="272E7673" w:rsidR="00823A56" w:rsidRPr="00FF6115" w:rsidRDefault="00823A56" w:rsidP="00FF6115">
            <w:pPr>
              <w:pStyle w:val="Listenabsatz"/>
              <w:spacing w:after="0" w:line="240" w:lineRule="auto"/>
              <w:ind w:left="574" w:hanging="289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a)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aus einem/r 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Bürgermeister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/in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der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zusammenarbeitenden Gemeinden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der/die den Vorsitz führt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; dieser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/diese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wird im Einvernehmen der Bürgermeister bestimmt oder falls dies nicht möglich ist, mittels Losentscheides festgelegt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. D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as Einvernehmen oder de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n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Losentscheid gilt es schriftlich mittels der Anfertigung eines Kurzprotokolls festzuhalten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.</w:t>
            </w:r>
            <w:r w:rsidR="00FF611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FF611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Bei eventueller Verhinderung des/r bestimmten Bürgermeisters/in übernimmt einer der anderen Bürgermeister den Vorsitz.</w:t>
            </w:r>
          </w:p>
        </w:tc>
        <w:tc>
          <w:tcPr>
            <w:tcW w:w="369" w:type="dxa"/>
            <w:shd w:val="clear" w:color="auto" w:fill="FFFFFF" w:themeFill="background1"/>
          </w:tcPr>
          <w:p w14:paraId="53947671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0A00D93" w14:textId="458D2A16" w:rsidR="00823A56" w:rsidRDefault="00823A56" w:rsidP="00951C95">
            <w:pPr>
              <w:pStyle w:val="StandardWeb"/>
              <w:spacing w:beforeAutospacing="0" w:after="0" w:line="240" w:lineRule="auto"/>
              <w:ind w:left="575" w:right="-7" w:hanging="28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>a)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ab/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da u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>no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S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>indac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o/a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dei comuni 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partecipanti alla collaborazione in veste di presidente/ssa della commissione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; 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costui/ei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è determinato tramite d'intesa dei sindaci o, se ciò non è possibile, mediante sorteggio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. </w:t>
            </w:r>
          </w:p>
          <w:p w14:paraId="078DF695" w14:textId="77777777" w:rsidR="00823A56" w:rsidRDefault="00823A56" w:rsidP="00951C95">
            <w:pPr>
              <w:pStyle w:val="StandardWeb"/>
              <w:spacing w:beforeAutospacing="0" w:after="0" w:line="240" w:lineRule="auto"/>
              <w:ind w:left="575" w:right="-7" w:firstLine="1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L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>’intesa o il sorteggio deve essere verbalizzato redigendo un breve verbale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.</w:t>
            </w:r>
          </w:p>
          <w:p w14:paraId="33552D2E" w14:textId="0A336359" w:rsidR="00823A56" w:rsidRDefault="00823A56" w:rsidP="00951C95">
            <w:pPr>
              <w:pStyle w:val="StandardWeb"/>
              <w:spacing w:beforeAutospacing="0" w:after="0" w:line="240" w:lineRule="auto"/>
              <w:ind w:left="575" w:right="-7" w:firstLine="1"/>
              <w:rPr>
                <w:rFonts w:ascii="Arial" w:hAnsi="Arial" w:cs="Arial"/>
                <w:iCs/>
                <w:strike/>
                <w:sz w:val="20"/>
                <w:szCs w:val="20"/>
                <w:lang w:val="it-IT"/>
              </w:rPr>
            </w:pPr>
          </w:p>
          <w:p w14:paraId="78DD9E56" w14:textId="6622972F" w:rsidR="00823A56" w:rsidRPr="000939C1" w:rsidRDefault="00823A56" w:rsidP="00951C95">
            <w:pPr>
              <w:pStyle w:val="StandardWeb"/>
              <w:spacing w:beforeAutospacing="0" w:after="0" w:line="240" w:lineRule="auto"/>
              <w:ind w:left="575" w:right="-7" w:firstLine="1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0939C1">
              <w:rPr>
                <w:rFonts w:ascii="Arial" w:hAnsi="Arial" w:cs="Arial"/>
                <w:iCs/>
                <w:sz w:val="20"/>
                <w:szCs w:val="20"/>
                <w:lang w:val="it-IT"/>
              </w:rPr>
              <w:t>Se il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/la</w:t>
            </w:r>
            <w:r w:rsidRPr="000939C1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sindaco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0939C1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designato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0939C1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è impedito</w:t>
            </w:r>
            <w:r w:rsidRPr="000939C1">
              <w:rPr>
                <w:rFonts w:ascii="Arial" w:hAnsi="Arial" w:cs="Arial"/>
                <w:iCs/>
                <w:sz w:val="20"/>
                <w:szCs w:val="20"/>
                <w:lang w:val="it-IT"/>
              </w:rPr>
              <w:t>, presiederà uno degli altri sindaci.</w:t>
            </w:r>
          </w:p>
        </w:tc>
      </w:tr>
      <w:tr w:rsidR="00823A56" w:rsidRPr="003C688E" w14:paraId="43A61CF4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5E70E46" w14:textId="39A10DBA" w:rsidR="00823A56" w:rsidRPr="004743C7" w:rsidRDefault="00823A56" w:rsidP="00951C95">
            <w:pPr>
              <w:pStyle w:val="Listenabsatz"/>
              <w:spacing w:after="0" w:line="240" w:lineRule="auto"/>
              <w:ind w:left="574" w:hanging="289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b)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ab/>
              <w:t>aus einem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/r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leitenden Beamten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/in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oder mindestens der 8. Funktionsebene angehörenden Beamten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/in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des Landes oder der Region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369" w:type="dxa"/>
            <w:shd w:val="clear" w:color="auto" w:fill="FFFFFF" w:themeFill="background1"/>
          </w:tcPr>
          <w:p w14:paraId="268FFCCB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7C1B700A" w14:textId="0190AED6" w:rsidR="00823A56" w:rsidRPr="00846A99" w:rsidRDefault="00823A56" w:rsidP="00951C95">
            <w:pPr>
              <w:pStyle w:val="StandardWeb"/>
              <w:spacing w:beforeAutospacing="0" w:after="0" w:line="240" w:lineRule="auto"/>
              <w:ind w:left="575" w:right="-7" w:hanging="28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>b)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ab/>
              <w:t>di un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funzionario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o di un impiegato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pubblico a qualifica finzione non inferiore al 8° livello funzionale della Provincia o della Regione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.</w:t>
            </w:r>
          </w:p>
        </w:tc>
      </w:tr>
      <w:tr w:rsidR="00823A56" w:rsidRPr="003C688E" w14:paraId="16DF508A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C02476F" w14:textId="7AACB7C1" w:rsidR="00823A56" w:rsidRPr="004743C7" w:rsidRDefault="00823A56" w:rsidP="00951C95">
            <w:pPr>
              <w:pStyle w:val="Listenabsatz"/>
              <w:spacing w:after="0" w:line="240" w:lineRule="auto"/>
              <w:ind w:left="574" w:hanging="289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c)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ab/>
              <w:t>aus einem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/r 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Gemeindesekretär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/in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, der in einem Funktionsrang eingestuft ist, der zumindest dem</w:t>
            </w:r>
            <w:r>
              <w:t xml:space="preserve"> </w:t>
            </w:r>
            <w:r w:rsidRPr="00257B1A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Sekretariatssitz</w:t>
            </w:r>
            <w:r w:rsidRPr="002C555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im Auswahlverfahren entspricht.</w:t>
            </w:r>
          </w:p>
        </w:tc>
        <w:tc>
          <w:tcPr>
            <w:tcW w:w="369" w:type="dxa"/>
            <w:shd w:val="clear" w:color="auto" w:fill="FFFFFF" w:themeFill="background1"/>
          </w:tcPr>
          <w:p w14:paraId="7BE7DF0B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3E7B2FA3" w14:textId="7CE1C24C" w:rsidR="00823A56" w:rsidRPr="00846A99" w:rsidRDefault="00823A56" w:rsidP="00951C95">
            <w:pPr>
              <w:pStyle w:val="StandardWeb"/>
              <w:spacing w:beforeAutospacing="0" w:after="0" w:line="240" w:lineRule="auto"/>
              <w:ind w:left="575" w:right="-7" w:hanging="28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>c)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ab/>
              <w:t>un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Segretario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2C5553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comunale di qualifica almeno pari a quella della sede segretarile che è oggetto della procedura di selezione.</w:t>
            </w:r>
          </w:p>
        </w:tc>
      </w:tr>
      <w:tr w:rsidR="00823A56" w:rsidRPr="003C688E" w14:paraId="1BF80174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5B513B7" w14:textId="329FF1ED" w:rsidR="00823A56" w:rsidRPr="002C5553" w:rsidRDefault="00823A56" w:rsidP="00951C95">
            <w:pPr>
              <w:pStyle w:val="Listenabsatz"/>
              <w:spacing w:after="0" w:line="240" w:lineRule="auto"/>
              <w:ind w:left="291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BE76A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lastRenderedPageBreak/>
              <w:t>Ein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/e</w:t>
            </w:r>
            <w:r w:rsidRPr="00BE76A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Beamte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r/in</w:t>
            </w:r>
            <w:r w:rsidRPr="00BE76A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464C4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der vorübergehend federführenden Gemeinde</w:t>
            </w:r>
            <w:r w:rsidRPr="00BE76A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übt die Obliegenheiten des Schriftführers der Kommission aus.</w:t>
            </w:r>
          </w:p>
        </w:tc>
        <w:tc>
          <w:tcPr>
            <w:tcW w:w="369" w:type="dxa"/>
            <w:shd w:val="clear" w:color="auto" w:fill="FFFFFF" w:themeFill="background1"/>
          </w:tcPr>
          <w:p w14:paraId="775F8864" w14:textId="77777777" w:rsidR="00823A56" w:rsidRPr="003C688E" w:rsidRDefault="00823A56" w:rsidP="00823A56">
            <w:pPr>
              <w:spacing w:after="0" w:line="240" w:lineRule="auto"/>
              <w:ind w:right="141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1EC23856" w14:textId="0964B424" w:rsidR="00823A56" w:rsidRPr="002C5553" w:rsidRDefault="00823A56" w:rsidP="00951C95">
            <w:pPr>
              <w:pStyle w:val="Listenabsatz"/>
              <w:spacing w:after="0" w:line="240" w:lineRule="auto"/>
              <w:ind w:left="292" w:right="-7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1761DD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Un 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impiegato/a</w:t>
            </w:r>
            <w:r w:rsidRPr="001761DD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del Comune capofila 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transitorio</w:t>
            </w:r>
            <w:r w:rsidRPr="001761DD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svolge le funzioni di segretario della commissione.</w:t>
            </w:r>
          </w:p>
        </w:tc>
      </w:tr>
      <w:tr w:rsidR="00823A56" w:rsidRPr="003C688E" w14:paraId="3F87F0D3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7546E29" w14:textId="77777777" w:rsidR="00823A56" w:rsidRPr="003C688E" w:rsidRDefault="00823A56" w:rsidP="00951C95">
            <w:pPr>
              <w:pStyle w:val="Listenabsatz"/>
              <w:spacing w:after="0" w:line="240" w:lineRule="auto"/>
              <w:ind w:left="291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52298917" w14:textId="77777777" w:rsidR="00823A56" w:rsidRPr="00823A56" w:rsidRDefault="00823A56" w:rsidP="00823A56">
            <w:pPr>
              <w:spacing w:after="0" w:line="240" w:lineRule="auto"/>
              <w:ind w:right="141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5D131134" w14:textId="270050D3" w:rsidR="00823A56" w:rsidRPr="001761DD" w:rsidRDefault="00823A56" w:rsidP="00951C95">
            <w:pPr>
              <w:pStyle w:val="Listenabsatz"/>
              <w:spacing w:after="0" w:line="240" w:lineRule="auto"/>
              <w:ind w:left="292" w:right="-7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23A56" w:rsidRPr="003C688E" w14:paraId="643DC160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49F38D85" w14:textId="48485A03" w:rsidR="00823A56" w:rsidRPr="00BE76A8" w:rsidRDefault="00823A56" w:rsidP="00951C9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85" w:hanging="284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BE76A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Mit Ratsbeschluss der vorübergehend federführenden Gemeinde wird die Niederschrift der Wettbewerbskommission genehmigt und die Einstufung des/der Inhabers/in vorgenommen. Die Federführung des Sekretariatsdienstes übernimmt ab diesem Moment jene Gemeinde, welche den/die aus dem Auswahlverfahren hervorgegangenen Inhaber/in stellt. </w:t>
            </w:r>
          </w:p>
        </w:tc>
        <w:tc>
          <w:tcPr>
            <w:tcW w:w="369" w:type="dxa"/>
            <w:shd w:val="clear" w:color="auto" w:fill="FFFFFF" w:themeFill="background1"/>
          </w:tcPr>
          <w:p w14:paraId="406B0CEE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1F88F578" w14:textId="1E7D1A6A" w:rsidR="00823A56" w:rsidRPr="00BE76A8" w:rsidRDefault="00823A56" w:rsidP="00951C95">
            <w:pPr>
              <w:pStyle w:val="StandardWeb"/>
              <w:numPr>
                <w:ilvl w:val="0"/>
                <w:numId w:val="22"/>
              </w:numPr>
              <w:spacing w:beforeAutospacing="0" w:after="0" w:line="240" w:lineRule="auto"/>
              <w:ind w:left="288" w:right="-7" w:hanging="283"/>
              <w:rPr>
                <w:rFonts w:ascii="Arial" w:hAnsi="Arial" w:cs="Arial"/>
                <w:b/>
                <w:color w:val="00000A"/>
                <w:sz w:val="20"/>
                <w:szCs w:val="20"/>
                <w:lang w:val="it-IT"/>
              </w:rPr>
            </w:pPr>
            <w:r w:rsidRPr="00BE76A8">
              <w:rPr>
                <w:rFonts w:ascii="Arial" w:hAnsi="Arial" w:cs="Arial"/>
                <w:iCs/>
                <w:sz w:val="20"/>
                <w:szCs w:val="20"/>
                <w:lang w:val="it-IT"/>
              </w:rPr>
              <w:t>Con delibera del consiglio comunale del comune capofila transitorio viene approvato sia il verbale della commissione di valutazione che l’inquadramento del/della titolare/a. Da questo momento sarà</w:t>
            </w:r>
            <w:r w:rsidRPr="003C688E">
              <w:rPr>
                <w:rFonts w:ascii="Arial" w:hAnsi="Arial" w:cs="Arial"/>
                <w:sz w:val="20"/>
                <w:szCs w:val="20"/>
                <w:lang w:val="it-IT"/>
              </w:rPr>
              <w:t xml:space="preserve"> il </w:t>
            </w:r>
            <w:r w:rsidRPr="00BE76A8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comune capofila quel comune dal quale proviene il titolare uscente dalla procedura di selezione. </w:t>
            </w:r>
          </w:p>
        </w:tc>
      </w:tr>
      <w:tr w:rsidR="00823A56" w:rsidRPr="003C688E" w14:paraId="51FEE94C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9857067" w14:textId="77777777" w:rsidR="00823A56" w:rsidRPr="003C688E" w:rsidRDefault="00823A56" w:rsidP="00951C95">
            <w:pPr>
              <w:pStyle w:val="Listenabsatz"/>
              <w:spacing w:after="0" w:line="240" w:lineRule="auto"/>
              <w:ind w:left="285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it-IT" w:eastAsia="de-DE"/>
              </w:rPr>
            </w:pPr>
          </w:p>
        </w:tc>
        <w:tc>
          <w:tcPr>
            <w:tcW w:w="369" w:type="dxa"/>
            <w:shd w:val="clear" w:color="auto" w:fill="FFFFFF" w:themeFill="background1"/>
          </w:tcPr>
          <w:p w14:paraId="3DEE2A84" w14:textId="77777777" w:rsidR="00823A56" w:rsidRPr="00823A56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7F35E77F" w14:textId="65DBD7AE" w:rsidR="00823A56" w:rsidRPr="00BE76A8" w:rsidRDefault="00823A56" w:rsidP="00951C95">
            <w:pPr>
              <w:pStyle w:val="StandardWeb"/>
              <w:spacing w:beforeAutospacing="0" w:after="0" w:line="240" w:lineRule="auto"/>
              <w:ind w:left="288" w:right="-7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823A56" w:rsidRPr="003C688E" w14:paraId="1B6C9C83" w14:textId="77777777" w:rsidTr="00951C95"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162CCFC2" w14:textId="4D37292D" w:rsidR="00823A56" w:rsidRPr="003B13A6" w:rsidRDefault="00823A56" w:rsidP="00951C9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285" w:hanging="284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</w:pPr>
            <w:r w:rsidRPr="003B13A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Vorübergehend wird im Sinne des</w:t>
            </w:r>
            <w:r w:rsidRPr="003B13A6">
              <w:rPr>
                <w:rFonts w:ascii="Arial" w:hAnsi="Arial" w:cs="Arial"/>
                <w:sz w:val="20"/>
                <w:szCs w:val="20"/>
              </w:rPr>
              <w:t xml:space="preserve"> Artikels 159-bis des RG Nr. 2/2018</w:t>
            </w:r>
            <w:r w:rsidRPr="003B13A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die Funktion des Inhabers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des Sekretariatssitzes </w:t>
            </w:r>
            <w:r w:rsidRPr="003B13A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vom Gemeindesekretär/in der Gemeinde xy ausgeübt, welcher jener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/e</w:t>
            </w:r>
            <w:r w:rsidRPr="003B13A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mit dem hö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>heren</w:t>
            </w:r>
            <w:r w:rsidRPr="003B13A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de-DE"/>
              </w:rPr>
              <w:t xml:space="preserve"> Dienstalter ist. Gleichzeitig ist jene Gemeinde vorübergehend die federführende Gemeinde des Sekretariatsdienstes. </w:t>
            </w:r>
          </w:p>
        </w:tc>
        <w:tc>
          <w:tcPr>
            <w:tcW w:w="369" w:type="dxa"/>
            <w:shd w:val="clear" w:color="auto" w:fill="FFFFFF" w:themeFill="background1"/>
          </w:tcPr>
          <w:p w14:paraId="1AE3BDCA" w14:textId="77777777" w:rsidR="00823A56" w:rsidRPr="003C688E" w:rsidRDefault="00823A56" w:rsidP="00823A56">
            <w:pPr>
              <w:pStyle w:val="StandardWeb"/>
              <w:spacing w:beforeAutospacing="0" w:after="0" w:line="240" w:lineRule="auto"/>
              <w:ind w:left="0" w:right="138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4542" w:type="dxa"/>
            <w:shd w:val="clear" w:color="auto" w:fill="FFFFFF" w:themeFill="background1"/>
            <w:tcMar>
              <w:left w:w="-2" w:type="dxa"/>
            </w:tcMar>
          </w:tcPr>
          <w:p w14:paraId="2C4202CE" w14:textId="74E1F0E7" w:rsidR="00823A56" w:rsidRPr="003C688E" w:rsidRDefault="00823A56" w:rsidP="00951C95">
            <w:pPr>
              <w:pStyle w:val="StandardWeb"/>
              <w:numPr>
                <w:ilvl w:val="0"/>
                <w:numId w:val="22"/>
              </w:numPr>
              <w:spacing w:beforeAutospacing="0" w:after="0" w:line="240" w:lineRule="auto"/>
              <w:ind w:left="288" w:right="-7" w:hanging="283"/>
              <w:rPr>
                <w:lang w:val="it-IT"/>
              </w:rPr>
            </w:pPr>
            <w:r w:rsidRPr="003B13A6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Provvisoriamente, ai sensi dell'articolo 159-bis del RG n. 2/2018, la funzione di titolare </w:t>
            </w:r>
            <w:r w:rsidRPr="008B1D89">
              <w:rPr>
                <w:rFonts w:ascii="Arial" w:hAnsi="Arial" w:cs="Arial"/>
                <w:bCs/>
                <w:color w:val="00000A"/>
                <w:sz w:val="20"/>
                <w:szCs w:val="20"/>
                <w:lang w:val="it-IT"/>
              </w:rPr>
              <w:t>della sede segretarile</w:t>
            </w:r>
            <w:r w:rsidRPr="003B13A6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è esercitata dal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/la</w:t>
            </w:r>
            <w:r w:rsidRPr="003B13A6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segretario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3B13A6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comunale del comune xy, che è quello</w:t>
            </w:r>
            <w:r>
              <w:rPr>
                <w:rFonts w:ascii="Arial" w:hAnsi="Arial" w:cs="Arial"/>
                <w:iCs/>
                <w:sz w:val="20"/>
                <w:szCs w:val="20"/>
                <w:lang w:val="it-IT"/>
              </w:rPr>
              <w:t>/a</w:t>
            </w:r>
            <w:r w:rsidRPr="003B13A6">
              <w:rPr>
                <w:rFonts w:ascii="Arial" w:hAnsi="Arial" w:cs="Arial"/>
                <w:iCs/>
                <w:sz w:val="20"/>
                <w:szCs w:val="20"/>
                <w:lang w:val="it-IT"/>
              </w:rPr>
              <w:t xml:space="preserve"> di maggiore anzianità. </w:t>
            </w:r>
          </w:p>
          <w:p w14:paraId="502AF7AE" w14:textId="51E07DAC" w:rsidR="00823A56" w:rsidRPr="003C688E" w:rsidRDefault="00823A56" w:rsidP="00951C95">
            <w:pPr>
              <w:pStyle w:val="StandardWeb"/>
              <w:spacing w:beforeAutospacing="0" w:after="0" w:line="240" w:lineRule="auto"/>
              <w:ind w:left="288" w:right="-7"/>
              <w:rPr>
                <w:lang w:val="it-IT"/>
              </w:rPr>
            </w:pPr>
            <w:r w:rsidRPr="003B13A6">
              <w:rPr>
                <w:rFonts w:ascii="Arial" w:hAnsi="Arial" w:cs="Arial"/>
                <w:iCs/>
                <w:sz w:val="20"/>
                <w:szCs w:val="20"/>
                <w:lang w:val="it-IT"/>
              </w:rPr>
              <w:t>Allo stesso tempo, tale comune è temporaneamente il comune capofila del Servizio di Segreteria.</w:t>
            </w:r>
          </w:p>
        </w:tc>
      </w:tr>
    </w:tbl>
    <w:p w14:paraId="04D3C553" w14:textId="77777777" w:rsidR="009412DD" w:rsidRPr="003C688E" w:rsidRDefault="009412DD">
      <w:pPr>
        <w:rPr>
          <w:lang w:val="it-IT"/>
        </w:rPr>
      </w:pPr>
    </w:p>
    <w:sectPr w:rsidR="009412DD" w:rsidRPr="003C688E" w:rsidSect="001B776C">
      <w:footerReference w:type="default" r:id="rId8"/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4B77D" w14:textId="77777777" w:rsidR="00E57260" w:rsidRDefault="00E57260" w:rsidP="00430AB5">
      <w:pPr>
        <w:spacing w:after="0" w:line="240" w:lineRule="auto"/>
      </w:pPr>
      <w:r>
        <w:separator/>
      </w:r>
    </w:p>
  </w:endnote>
  <w:endnote w:type="continuationSeparator" w:id="0">
    <w:p w14:paraId="05099F85" w14:textId="77777777" w:rsidR="00E57260" w:rsidRDefault="00E57260" w:rsidP="0043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9283" w14:textId="438D95DE" w:rsidR="00E57260" w:rsidRDefault="00E57260" w:rsidP="0029185F">
    <w:pPr>
      <w:pStyle w:val="Fuzeile"/>
    </w:pPr>
  </w:p>
  <w:p w14:paraId="05806B22" w14:textId="77777777" w:rsidR="00E57260" w:rsidRDefault="00E572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E5FA" w14:textId="77777777" w:rsidR="00E57260" w:rsidRDefault="00E57260" w:rsidP="00430AB5">
      <w:pPr>
        <w:spacing w:after="0" w:line="240" w:lineRule="auto"/>
      </w:pPr>
      <w:r>
        <w:separator/>
      </w:r>
    </w:p>
  </w:footnote>
  <w:footnote w:type="continuationSeparator" w:id="0">
    <w:p w14:paraId="1D90583E" w14:textId="77777777" w:rsidR="00E57260" w:rsidRDefault="00E57260" w:rsidP="0043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31E"/>
    <w:multiLevelType w:val="hybridMultilevel"/>
    <w:tmpl w:val="2170485C"/>
    <w:lvl w:ilvl="0" w:tplc="0407000F">
      <w:start w:val="1"/>
      <w:numFmt w:val="decimal"/>
      <w:lvlText w:val="%1."/>
      <w:lvlJc w:val="left"/>
      <w:pPr>
        <w:ind w:left="854" w:hanging="360"/>
      </w:pPr>
    </w:lvl>
    <w:lvl w:ilvl="1" w:tplc="04070019" w:tentative="1">
      <w:start w:val="1"/>
      <w:numFmt w:val="lowerLetter"/>
      <w:lvlText w:val="%2."/>
      <w:lvlJc w:val="left"/>
      <w:pPr>
        <w:ind w:left="1574" w:hanging="360"/>
      </w:pPr>
    </w:lvl>
    <w:lvl w:ilvl="2" w:tplc="0407001B" w:tentative="1">
      <w:start w:val="1"/>
      <w:numFmt w:val="lowerRoman"/>
      <w:lvlText w:val="%3."/>
      <w:lvlJc w:val="right"/>
      <w:pPr>
        <w:ind w:left="2294" w:hanging="180"/>
      </w:pPr>
    </w:lvl>
    <w:lvl w:ilvl="3" w:tplc="0407000F" w:tentative="1">
      <w:start w:val="1"/>
      <w:numFmt w:val="decimal"/>
      <w:lvlText w:val="%4."/>
      <w:lvlJc w:val="left"/>
      <w:pPr>
        <w:ind w:left="3014" w:hanging="360"/>
      </w:pPr>
    </w:lvl>
    <w:lvl w:ilvl="4" w:tplc="04070019" w:tentative="1">
      <w:start w:val="1"/>
      <w:numFmt w:val="lowerLetter"/>
      <w:lvlText w:val="%5."/>
      <w:lvlJc w:val="left"/>
      <w:pPr>
        <w:ind w:left="3734" w:hanging="360"/>
      </w:pPr>
    </w:lvl>
    <w:lvl w:ilvl="5" w:tplc="0407001B" w:tentative="1">
      <w:start w:val="1"/>
      <w:numFmt w:val="lowerRoman"/>
      <w:lvlText w:val="%6."/>
      <w:lvlJc w:val="right"/>
      <w:pPr>
        <w:ind w:left="4454" w:hanging="180"/>
      </w:pPr>
    </w:lvl>
    <w:lvl w:ilvl="6" w:tplc="0407000F" w:tentative="1">
      <w:start w:val="1"/>
      <w:numFmt w:val="decimal"/>
      <w:lvlText w:val="%7."/>
      <w:lvlJc w:val="left"/>
      <w:pPr>
        <w:ind w:left="5174" w:hanging="360"/>
      </w:pPr>
    </w:lvl>
    <w:lvl w:ilvl="7" w:tplc="04070019" w:tentative="1">
      <w:start w:val="1"/>
      <w:numFmt w:val="lowerLetter"/>
      <w:lvlText w:val="%8."/>
      <w:lvlJc w:val="left"/>
      <w:pPr>
        <w:ind w:left="5894" w:hanging="360"/>
      </w:pPr>
    </w:lvl>
    <w:lvl w:ilvl="8" w:tplc="0407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" w15:restartNumberingAfterBreak="0">
    <w:nsid w:val="0BF02FB8"/>
    <w:multiLevelType w:val="hybridMultilevel"/>
    <w:tmpl w:val="AF7CAC46"/>
    <w:lvl w:ilvl="0" w:tplc="0407000F">
      <w:start w:val="1"/>
      <w:numFmt w:val="decimal"/>
      <w:lvlText w:val="%1."/>
      <w:lvlJc w:val="left"/>
      <w:pPr>
        <w:ind w:left="854" w:hanging="360"/>
      </w:pPr>
    </w:lvl>
    <w:lvl w:ilvl="1" w:tplc="04070019" w:tentative="1">
      <w:start w:val="1"/>
      <w:numFmt w:val="lowerLetter"/>
      <w:lvlText w:val="%2."/>
      <w:lvlJc w:val="left"/>
      <w:pPr>
        <w:ind w:left="1574" w:hanging="360"/>
      </w:pPr>
    </w:lvl>
    <w:lvl w:ilvl="2" w:tplc="0407001B" w:tentative="1">
      <w:start w:val="1"/>
      <w:numFmt w:val="lowerRoman"/>
      <w:lvlText w:val="%3."/>
      <w:lvlJc w:val="right"/>
      <w:pPr>
        <w:ind w:left="2294" w:hanging="180"/>
      </w:pPr>
    </w:lvl>
    <w:lvl w:ilvl="3" w:tplc="0407000F" w:tentative="1">
      <w:start w:val="1"/>
      <w:numFmt w:val="decimal"/>
      <w:lvlText w:val="%4."/>
      <w:lvlJc w:val="left"/>
      <w:pPr>
        <w:ind w:left="3014" w:hanging="360"/>
      </w:pPr>
    </w:lvl>
    <w:lvl w:ilvl="4" w:tplc="04070019" w:tentative="1">
      <w:start w:val="1"/>
      <w:numFmt w:val="lowerLetter"/>
      <w:lvlText w:val="%5."/>
      <w:lvlJc w:val="left"/>
      <w:pPr>
        <w:ind w:left="3734" w:hanging="360"/>
      </w:pPr>
    </w:lvl>
    <w:lvl w:ilvl="5" w:tplc="0407001B" w:tentative="1">
      <w:start w:val="1"/>
      <w:numFmt w:val="lowerRoman"/>
      <w:lvlText w:val="%6."/>
      <w:lvlJc w:val="right"/>
      <w:pPr>
        <w:ind w:left="4454" w:hanging="180"/>
      </w:pPr>
    </w:lvl>
    <w:lvl w:ilvl="6" w:tplc="0407000F" w:tentative="1">
      <w:start w:val="1"/>
      <w:numFmt w:val="decimal"/>
      <w:lvlText w:val="%7."/>
      <w:lvlJc w:val="left"/>
      <w:pPr>
        <w:ind w:left="5174" w:hanging="360"/>
      </w:pPr>
    </w:lvl>
    <w:lvl w:ilvl="7" w:tplc="04070019" w:tentative="1">
      <w:start w:val="1"/>
      <w:numFmt w:val="lowerLetter"/>
      <w:lvlText w:val="%8."/>
      <w:lvlJc w:val="left"/>
      <w:pPr>
        <w:ind w:left="5894" w:hanging="360"/>
      </w:pPr>
    </w:lvl>
    <w:lvl w:ilvl="8" w:tplc="0407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" w15:restartNumberingAfterBreak="0">
    <w:nsid w:val="0D0C2D84"/>
    <w:multiLevelType w:val="hybridMultilevel"/>
    <w:tmpl w:val="F6E2DAEC"/>
    <w:lvl w:ilvl="0" w:tplc="10A03EBC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794A"/>
    <w:multiLevelType w:val="hybridMultilevel"/>
    <w:tmpl w:val="B42A339A"/>
    <w:lvl w:ilvl="0" w:tplc="EE8C222C">
      <w:start w:val="1"/>
      <w:numFmt w:val="lowerLetter"/>
      <w:lvlText w:val="%1)"/>
      <w:lvlJc w:val="left"/>
      <w:pPr>
        <w:ind w:left="854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574" w:hanging="360"/>
      </w:pPr>
    </w:lvl>
    <w:lvl w:ilvl="2" w:tplc="0407001B" w:tentative="1">
      <w:start w:val="1"/>
      <w:numFmt w:val="lowerRoman"/>
      <w:lvlText w:val="%3."/>
      <w:lvlJc w:val="right"/>
      <w:pPr>
        <w:ind w:left="2294" w:hanging="180"/>
      </w:pPr>
    </w:lvl>
    <w:lvl w:ilvl="3" w:tplc="0407000F" w:tentative="1">
      <w:start w:val="1"/>
      <w:numFmt w:val="decimal"/>
      <w:lvlText w:val="%4."/>
      <w:lvlJc w:val="left"/>
      <w:pPr>
        <w:ind w:left="3014" w:hanging="360"/>
      </w:pPr>
    </w:lvl>
    <w:lvl w:ilvl="4" w:tplc="04070019" w:tentative="1">
      <w:start w:val="1"/>
      <w:numFmt w:val="lowerLetter"/>
      <w:lvlText w:val="%5."/>
      <w:lvlJc w:val="left"/>
      <w:pPr>
        <w:ind w:left="3734" w:hanging="360"/>
      </w:pPr>
    </w:lvl>
    <w:lvl w:ilvl="5" w:tplc="0407001B" w:tentative="1">
      <w:start w:val="1"/>
      <w:numFmt w:val="lowerRoman"/>
      <w:lvlText w:val="%6."/>
      <w:lvlJc w:val="right"/>
      <w:pPr>
        <w:ind w:left="4454" w:hanging="180"/>
      </w:pPr>
    </w:lvl>
    <w:lvl w:ilvl="6" w:tplc="0407000F" w:tentative="1">
      <w:start w:val="1"/>
      <w:numFmt w:val="decimal"/>
      <w:lvlText w:val="%7."/>
      <w:lvlJc w:val="left"/>
      <w:pPr>
        <w:ind w:left="5174" w:hanging="360"/>
      </w:pPr>
    </w:lvl>
    <w:lvl w:ilvl="7" w:tplc="04070019" w:tentative="1">
      <w:start w:val="1"/>
      <w:numFmt w:val="lowerLetter"/>
      <w:lvlText w:val="%8."/>
      <w:lvlJc w:val="left"/>
      <w:pPr>
        <w:ind w:left="5894" w:hanging="360"/>
      </w:pPr>
    </w:lvl>
    <w:lvl w:ilvl="8" w:tplc="0407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" w15:restartNumberingAfterBreak="0">
    <w:nsid w:val="2099407C"/>
    <w:multiLevelType w:val="hybridMultilevel"/>
    <w:tmpl w:val="0C2AE2D4"/>
    <w:lvl w:ilvl="0" w:tplc="E834D3D6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26C2"/>
    <w:multiLevelType w:val="hybridMultilevel"/>
    <w:tmpl w:val="732A8170"/>
    <w:lvl w:ilvl="0" w:tplc="79869D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C41611"/>
    <w:multiLevelType w:val="multilevel"/>
    <w:tmpl w:val="8E7A7194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D3B4AFF"/>
    <w:multiLevelType w:val="hybridMultilevel"/>
    <w:tmpl w:val="B33211A8"/>
    <w:lvl w:ilvl="0" w:tplc="0407000F">
      <w:start w:val="1"/>
      <w:numFmt w:val="decimal"/>
      <w:lvlText w:val="%1."/>
      <w:lvlJc w:val="left"/>
      <w:pPr>
        <w:ind w:left="854" w:hanging="360"/>
      </w:pPr>
    </w:lvl>
    <w:lvl w:ilvl="1" w:tplc="04070019" w:tentative="1">
      <w:start w:val="1"/>
      <w:numFmt w:val="lowerLetter"/>
      <w:lvlText w:val="%2."/>
      <w:lvlJc w:val="left"/>
      <w:pPr>
        <w:ind w:left="1574" w:hanging="360"/>
      </w:pPr>
    </w:lvl>
    <w:lvl w:ilvl="2" w:tplc="0407001B" w:tentative="1">
      <w:start w:val="1"/>
      <w:numFmt w:val="lowerRoman"/>
      <w:lvlText w:val="%3."/>
      <w:lvlJc w:val="right"/>
      <w:pPr>
        <w:ind w:left="2294" w:hanging="180"/>
      </w:pPr>
    </w:lvl>
    <w:lvl w:ilvl="3" w:tplc="0407000F" w:tentative="1">
      <w:start w:val="1"/>
      <w:numFmt w:val="decimal"/>
      <w:lvlText w:val="%4."/>
      <w:lvlJc w:val="left"/>
      <w:pPr>
        <w:ind w:left="3014" w:hanging="360"/>
      </w:pPr>
    </w:lvl>
    <w:lvl w:ilvl="4" w:tplc="04070019" w:tentative="1">
      <w:start w:val="1"/>
      <w:numFmt w:val="lowerLetter"/>
      <w:lvlText w:val="%5."/>
      <w:lvlJc w:val="left"/>
      <w:pPr>
        <w:ind w:left="3734" w:hanging="360"/>
      </w:pPr>
    </w:lvl>
    <w:lvl w:ilvl="5" w:tplc="0407001B" w:tentative="1">
      <w:start w:val="1"/>
      <w:numFmt w:val="lowerRoman"/>
      <w:lvlText w:val="%6."/>
      <w:lvlJc w:val="right"/>
      <w:pPr>
        <w:ind w:left="4454" w:hanging="180"/>
      </w:pPr>
    </w:lvl>
    <w:lvl w:ilvl="6" w:tplc="0407000F" w:tentative="1">
      <w:start w:val="1"/>
      <w:numFmt w:val="decimal"/>
      <w:lvlText w:val="%7."/>
      <w:lvlJc w:val="left"/>
      <w:pPr>
        <w:ind w:left="5174" w:hanging="360"/>
      </w:pPr>
    </w:lvl>
    <w:lvl w:ilvl="7" w:tplc="04070019" w:tentative="1">
      <w:start w:val="1"/>
      <w:numFmt w:val="lowerLetter"/>
      <w:lvlText w:val="%8."/>
      <w:lvlJc w:val="left"/>
      <w:pPr>
        <w:ind w:left="5894" w:hanging="360"/>
      </w:pPr>
    </w:lvl>
    <w:lvl w:ilvl="8" w:tplc="0407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3FDA4123"/>
    <w:multiLevelType w:val="hybridMultilevel"/>
    <w:tmpl w:val="9D007A40"/>
    <w:lvl w:ilvl="0" w:tplc="4BCC4C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9093F"/>
    <w:multiLevelType w:val="multilevel"/>
    <w:tmpl w:val="DC9265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8466010"/>
    <w:multiLevelType w:val="hybridMultilevel"/>
    <w:tmpl w:val="04465A1C"/>
    <w:lvl w:ilvl="0" w:tplc="37147CCA">
      <w:start w:val="6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86E8D"/>
    <w:multiLevelType w:val="hybridMultilevel"/>
    <w:tmpl w:val="C75827C4"/>
    <w:lvl w:ilvl="0" w:tplc="0407000F">
      <w:start w:val="1"/>
      <w:numFmt w:val="decimal"/>
      <w:lvlText w:val="%1."/>
      <w:lvlJc w:val="left"/>
      <w:pPr>
        <w:ind w:left="854" w:hanging="360"/>
      </w:pPr>
    </w:lvl>
    <w:lvl w:ilvl="1" w:tplc="04070019" w:tentative="1">
      <w:start w:val="1"/>
      <w:numFmt w:val="lowerLetter"/>
      <w:lvlText w:val="%2."/>
      <w:lvlJc w:val="left"/>
      <w:pPr>
        <w:ind w:left="1574" w:hanging="360"/>
      </w:pPr>
    </w:lvl>
    <w:lvl w:ilvl="2" w:tplc="0407001B" w:tentative="1">
      <w:start w:val="1"/>
      <w:numFmt w:val="lowerRoman"/>
      <w:lvlText w:val="%3."/>
      <w:lvlJc w:val="right"/>
      <w:pPr>
        <w:ind w:left="2294" w:hanging="180"/>
      </w:pPr>
    </w:lvl>
    <w:lvl w:ilvl="3" w:tplc="0407000F" w:tentative="1">
      <w:start w:val="1"/>
      <w:numFmt w:val="decimal"/>
      <w:lvlText w:val="%4."/>
      <w:lvlJc w:val="left"/>
      <w:pPr>
        <w:ind w:left="3014" w:hanging="360"/>
      </w:pPr>
    </w:lvl>
    <w:lvl w:ilvl="4" w:tplc="04070019" w:tentative="1">
      <w:start w:val="1"/>
      <w:numFmt w:val="lowerLetter"/>
      <w:lvlText w:val="%5."/>
      <w:lvlJc w:val="left"/>
      <w:pPr>
        <w:ind w:left="3734" w:hanging="360"/>
      </w:pPr>
    </w:lvl>
    <w:lvl w:ilvl="5" w:tplc="0407001B" w:tentative="1">
      <w:start w:val="1"/>
      <w:numFmt w:val="lowerRoman"/>
      <w:lvlText w:val="%6."/>
      <w:lvlJc w:val="right"/>
      <w:pPr>
        <w:ind w:left="4454" w:hanging="180"/>
      </w:pPr>
    </w:lvl>
    <w:lvl w:ilvl="6" w:tplc="0407000F" w:tentative="1">
      <w:start w:val="1"/>
      <w:numFmt w:val="decimal"/>
      <w:lvlText w:val="%7."/>
      <w:lvlJc w:val="left"/>
      <w:pPr>
        <w:ind w:left="5174" w:hanging="360"/>
      </w:pPr>
    </w:lvl>
    <w:lvl w:ilvl="7" w:tplc="04070019" w:tentative="1">
      <w:start w:val="1"/>
      <w:numFmt w:val="lowerLetter"/>
      <w:lvlText w:val="%8."/>
      <w:lvlJc w:val="left"/>
      <w:pPr>
        <w:ind w:left="5894" w:hanging="360"/>
      </w:pPr>
    </w:lvl>
    <w:lvl w:ilvl="8" w:tplc="0407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2" w15:restartNumberingAfterBreak="0">
    <w:nsid w:val="51672650"/>
    <w:multiLevelType w:val="multilevel"/>
    <w:tmpl w:val="1E2CF7DE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13" w15:restartNumberingAfterBreak="0">
    <w:nsid w:val="625A71E4"/>
    <w:multiLevelType w:val="hybridMultilevel"/>
    <w:tmpl w:val="0F1CF230"/>
    <w:lvl w:ilvl="0" w:tplc="2C7AD25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2708F"/>
    <w:multiLevelType w:val="multilevel"/>
    <w:tmpl w:val="C0CE4EC8"/>
    <w:lvl w:ilvl="0">
      <w:start w:val="5"/>
      <w:numFmt w:val="bullet"/>
      <w:lvlText w:val="-"/>
      <w:lvlJc w:val="left"/>
      <w:pPr>
        <w:ind w:left="494" w:hanging="360"/>
      </w:pPr>
      <w:rPr>
        <w:rFonts w:ascii="Arial" w:hAnsi="Arial" w:cs="Arial" w:hint="default"/>
        <w:sz w:val="16"/>
      </w:rPr>
    </w:lvl>
    <w:lvl w:ilvl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6B48A2"/>
    <w:multiLevelType w:val="hybridMultilevel"/>
    <w:tmpl w:val="606220D2"/>
    <w:lvl w:ilvl="0" w:tplc="8966A47A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43C251B"/>
    <w:multiLevelType w:val="multilevel"/>
    <w:tmpl w:val="567C3F54"/>
    <w:lvl w:ilvl="0">
      <w:start w:val="4"/>
      <w:numFmt w:val="bullet"/>
      <w:lvlText w:val="-"/>
      <w:lvlJc w:val="left"/>
      <w:pPr>
        <w:ind w:left="1135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6465C9"/>
    <w:multiLevelType w:val="multilevel"/>
    <w:tmpl w:val="588679F0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18" w15:restartNumberingAfterBreak="0">
    <w:nsid w:val="6FCB1BE7"/>
    <w:multiLevelType w:val="hybridMultilevel"/>
    <w:tmpl w:val="0D60691C"/>
    <w:lvl w:ilvl="0" w:tplc="B998977A">
      <w:start w:val="4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376A"/>
    <w:multiLevelType w:val="hybridMultilevel"/>
    <w:tmpl w:val="8E0E5546"/>
    <w:lvl w:ilvl="0" w:tplc="084A7F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D7771C"/>
    <w:multiLevelType w:val="hybridMultilevel"/>
    <w:tmpl w:val="0BBC703E"/>
    <w:lvl w:ilvl="0" w:tplc="5026571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95216B"/>
    <w:multiLevelType w:val="hybridMultilevel"/>
    <w:tmpl w:val="7A220D42"/>
    <w:lvl w:ilvl="0" w:tplc="6D2A516C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42" w:hanging="360"/>
      </w:pPr>
    </w:lvl>
    <w:lvl w:ilvl="2" w:tplc="0407001B" w:tentative="1">
      <w:start w:val="1"/>
      <w:numFmt w:val="lowerRoman"/>
      <w:lvlText w:val="%3."/>
      <w:lvlJc w:val="right"/>
      <w:pPr>
        <w:ind w:left="2662" w:hanging="180"/>
      </w:pPr>
    </w:lvl>
    <w:lvl w:ilvl="3" w:tplc="0407000F" w:tentative="1">
      <w:start w:val="1"/>
      <w:numFmt w:val="decimal"/>
      <w:lvlText w:val="%4."/>
      <w:lvlJc w:val="left"/>
      <w:pPr>
        <w:ind w:left="3382" w:hanging="360"/>
      </w:pPr>
    </w:lvl>
    <w:lvl w:ilvl="4" w:tplc="04070019" w:tentative="1">
      <w:start w:val="1"/>
      <w:numFmt w:val="lowerLetter"/>
      <w:lvlText w:val="%5."/>
      <w:lvlJc w:val="left"/>
      <w:pPr>
        <w:ind w:left="4102" w:hanging="360"/>
      </w:pPr>
    </w:lvl>
    <w:lvl w:ilvl="5" w:tplc="0407001B" w:tentative="1">
      <w:start w:val="1"/>
      <w:numFmt w:val="lowerRoman"/>
      <w:lvlText w:val="%6."/>
      <w:lvlJc w:val="right"/>
      <w:pPr>
        <w:ind w:left="4822" w:hanging="180"/>
      </w:pPr>
    </w:lvl>
    <w:lvl w:ilvl="6" w:tplc="0407000F" w:tentative="1">
      <w:start w:val="1"/>
      <w:numFmt w:val="decimal"/>
      <w:lvlText w:val="%7."/>
      <w:lvlJc w:val="left"/>
      <w:pPr>
        <w:ind w:left="5542" w:hanging="360"/>
      </w:pPr>
    </w:lvl>
    <w:lvl w:ilvl="7" w:tplc="04070019" w:tentative="1">
      <w:start w:val="1"/>
      <w:numFmt w:val="lowerLetter"/>
      <w:lvlText w:val="%8."/>
      <w:lvlJc w:val="left"/>
      <w:pPr>
        <w:ind w:left="6262" w:hanging="360"/>
      </w:pPr>
    </w:lvl>
    <w:lvl w:ilvl="8" w:tplc="0407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15"/>
  </w:num>
  <w:num w:numId="9">
    <w:abstractNumId w:val="5"/>
  </w:num>
  <w:num w:numId="10">
    <w:abstractNumId w:val="19"/>
  </w:num>
  <w:num w:numId="11">
    <w:abstractNumId w:val="21"/>
  </w:num>
  <w:num w:numId="12">
    <w:abstractNumId w:val="8"/>
  </w:num>
  <w:num w:numId="13">
    <w:abstractNumId w:val="13"/>
  </w:num>
  <w:num w:numId="14">
    <w:abstractNumId w:val="1"/>
  </w:num>
  <w:num w:numId="15">
    <w:abstractNumId w:val="2"/>
  </w:num>
  <w:num w:numId="16">
    <w:abstractNumId w:val="11"/>
  </w:num>
  <w:num w:numId="17">
    <w:abstractNumId w:val="18"/>
  </w:num>
  <w:num w:numId="18">
    <w:abstractNumId w:val="0"/>
  </w:num>
  <w:num w:numId="19">
    <w:abstractNumId w:val="4"/>
  </w:num>
  <w:num w:numId="20">
    <w:abstractNumId w:val="3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DD"/>
    <w:rsid w:val="000243DE"/>
    <w:rsid w:val="0003387F"/>
    <w:rsid w:val="00051966"/>
    <w:rsid w:val="000939C1"/>
    <w:rsid w:val="000A4133"/>
    <w:rsid w:val="000F26A6"/>
    <w:rsid w:val="00136841"/>
    <w:rsid w:val="00141A60"/>
    <w:rsid w:val="00167EDF"/>
    <w:rsid w:val="001761DD"/>
    <w:rsid w:val="00176312"/>
    <w:rsid w:val="00182736"/>
    <w:rsid w:val="001A43F8"/>
    <w:rsid w:val="001B776C"/>
    <w:rsid w:val="001C0808"/>
    <w:rsid w:val="001C5C8B"/>
    <w:rsid w:val="001C5D5C"/>
    <w:rsid w:val="001E0D81"/>
    <w:rsid w:val="00257B1A"/>
    <w:rsid w:val="00265DA9"/>
    <w:rsid w:val="00272E91"/>
    <w:rsid w:val="0029185F"/>
    <w:rsid w:val="002A7EEE"/>
    <w:rsid w:val="002B084B"/>
    <w:rsid w:val="002B087D"/>
    <w:rsid w:val="002C5553"/>
    <w:rsid w:val="002D13D1"/>
    <w:rsid w:val="003339BE"/>
    <w:rsid w:val="00342889"/>
    <w:rsid w:val="00360717"/>
    <w:rsid w:val="00390DE9"/>
    <w:rsid w:val="00392F3A"/>
    <w:rsid w:val="003A6B8E"/>
    <w:rsid w:val="003B13A6"/>
    <w:rsid w:val="003C1926"/>
    <w:rsid w:val="003C688E"/>
    <w:rsid w:val="00430AB5"/>
    <w:rsid w:val="00450FD4"/>
    <w:rsid w:val="00464C47"/>
    <w:rsid w:val="004743C7"/>
    <w:rsid w:val="004A2B9E"/>
    <w:rsid w:val="005146E4"/>
    <w:rsid w:val="00552A94"/>
    <w:rsid w:val="00616954"/>
    <w:rsid w:val="006638EB"/>
    <w:rsid w:val="006C50B9"/>
    <w:rsid w:val="006F4E6C"/>
    <w:rsid w:val="00770BF9"/>
    <w:rsid w:val="007B2FD2"/>
    <w:rsid w:val="007C2DD5"/>
    <w:rsid w:val="007E6867"/>
    <w:rsid w:val="00807AC4"/>
    <w:rsid w:val="00823A56"/>
    <w:rsid w:val="008263E1"/>
    <w:rsid w:val="00846A99"/>
    <w:rsid w:val="008A1B52"/>
    <w:rsid w:val="008A5901"/>
    <w:rsid w:val="008F1AF5"/>
    <w:rsid w:val="0093775A"/>
    <w:rsid w:val="009412DD"/>
    <w:rsid w:val="009470F0"/>
    <w:rsid w:val="00951C95"/>
    <w:rsid w:val="009933A3"/>
    <w:rsid w:val="009B0BFE"/>
    <w:rsid w:val="009C2285"/>
    <w:rsid w:val="009D0CD6"/>
    <w:rsid w:val="009D730F"/>
    <w:rsid w:val="009E46E3"/>
    <w:rsid w:val="009F3120"/>
    <w:rsid w:val="00A05BF0"/>
    <w:rsid w:val="00A135D8"/>
    <w:rsid w:val="00A46477"/>
    <w:rsid w:val="00A513F3"/>
    <w:rsid w:val="00A86A99"/>
    <w:rsid w:val="00AA7765"/>
    <w:rsid w:val="00AF1E38"/>
    <w:rsid w:val="00B1500B"/>
    <w:rsid w:val="00B22C59"/>
    <w:rsid w:val="00B42710"/>
    <w:rsid w:val="00B7135D"/>
    <w:rsid w:val="00BA79C4"/>
    <w:rsid w:val="00BC54A1"/>
    <w:rsid w:val="00BE76A8"/>
    <w:rsid w:val="00BF786C"/>
    <w:rsid w:val="00C5716A"/>
    <w:rsid w:val="00C61FBD"/>
    <w:rsid w:val="00C925A3"/>
    <w:rsid w:val="00C94547"/>
    <w:rsid w:val="00C95F20"/>
    <w:rsid w:val="00CA3146"/>
    <w:rsid w:val="00CC18B0"/>
    <w:rsid w:val="00D24C7F"/>
    <w:rsid w:val="00D350AA"/>
    <w:rsid w:val="00D41366"/>
    <w:rsid w:val="00D537B7"/>
    <w:rsid w:val="00D77EBE"/>
    <w:rsid w:val="00D910C6"/>
    <w:rsid w:val="00DC74FA"/>
    <w:rsid w:val="00DE70C9"/>
    <w:rsid w:val="00E042D3"/>
    <w:rsid w:val="00E42FB5"/>
    <w:rsid w:val="00E57260"/>
    <w:rsid w:val="00ED50BF"/>
    <w:rsid w:val="00F655AE"/>
    <w:rsid w:val="00FD6197"/>
    <w:rsid w:val="00FF2129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7CC29D"/>
  <w15:docId w15:val="{00EF50D6-5676-4E5C-938E-09A2049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E2563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E2563"/>
    <w:rPr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E256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  <w:color w:val="000000"/>
      <w:sz w:val="20"/>
    </w:rPr>
  </w:style>
  <w:style w:type="character" w:customStyle="1" w:styleId="ListLabel2">
    <w:name w:val="ListLabel 2"/>
    <w:qFormat/>
    <w:rPr>
      <w:rFonts w:ascii="Arial" w:eastAsia="Times New Roman" w:hAnsi="Arial" w:cs="Arial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eastAsia="Calibri" w:hAnsi="Arial" w:cs="Calibri"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hAnsi="Arial" w:cs="Arial"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Arial" w:hAnsi="Arial" w:cs="Calibri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Arial"/>
      <w:sz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Arial" w:hAnsi="Arial" w:cs="Calibri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tandardWeb">
    <w:name w:val="Normal (Web)"/>
    <w:basedOn w:val="Standard"/>
    <w:uiPriority w:val="99"/>
    <w:unhideWhenUsed/>
    <w:qFormat/>
    <w:rsid w:val="00376010"/>
    <w:pPr>
      <w:spacing w:beforeAutospacing="1" w:after="119" w:line="238" w:lineRule="atLeast"/>
      <w:ind w:left="1440" w:right="14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western">
    <w:name w:val="western"/>
    <w:basedOn w:val="Standard"/>
    <w:qFormat/>
    <w:rsid w:val="00376010"/>
    <w:pPr>
      <w:spacing w:beforeAutospacing="1" w:after="119" w:line="238" w:lineRule="atLeast"/>
      <w:ind w:left="1440" w:right="1440"/>
      <w:jc w:val="both"/>
    </w:pPr>
    <w:rPr>
      <w:rFonts w:ascii="Courier" w:eastAsia="Times New Roman" w:hAnsi="Courier" w:cs="Times New Roman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E2563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E2563"/>
    <w:pPr>
      <w:spacing w:after="200" w:line="240" w:lineRule="auto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E256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D0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AB5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3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0AB5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48E3-A4FD-4441-BC24-8BAA7B88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</dc:creator>
  <dc:description/>
  <cp:lastModifiedBy>Sanin, Dagmar</cp:lastModifiedBy>
  <cp:revision>27</cp:revision>
  <cp:lastPrinted>2022-08-04T15:09:00Z</cp:lastPrinted>
  <dcterms:created xsi:type="dcterms:W3CDTF">2022-10-12T07:56:00Z</dcterms:created>
  <dcterms:modified xsi:type="dcterms:W3CDTF">2022-12-15T10:50:00Z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