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4C0BC" w14:textId="77777777" w:rsidR="00BF2CC9" w:rsidRPr="003B3013" w:rsidRDefault="00BF2CC9" w:rsidP="0090341E">
      <w:pPr>
        <w:spacing w:before="100" w:beforeAutospacing="1" w:after="100" w:afterAutospacing="1" w:line="240" w:lineRule="auto"/>
        <w:jc w:val="center"/>
        <w:rPr>
          <w:rFonts w:eastAsia="Times New Roman" w:cs="Times New Roman"/>
          <w:b/>
          <w:bCs/>
        </w:rPr>
      </w:pPr>
      <w:r w:rsidRPr="003B3013">
        <w:rPr>
          <w:rFonts w:eastAsia="Times New Roman" w:cs="Times New Roman"/>
          <w:b/>
          <w:bCs/>
        </w:rPr>
        <w:t xml:space="preserve">Special </w:t>
      </w:r>
      <w:r w:rsidR="008902AD" w:rsidRPr="003B3013">
        <w:rPr>
          <w:rFonts w:eastAsia="Times New Roman" w:cs="Times New Roman"/>
          <w:b/>
          <w:bCs/>
        </w:rPr>
        <w:t>Issue</w:t>
      </w:r>
      <w:r w:rsidRPr="003B3013">
        <w:rPr>
          <w:rFonts w:eastAsia="Times New Roman" w:cs="Times New Roman"/>
          <w:b/>
          <w:bCs/>
        </w:rPr>
        <w:t xml:space="preserve"> / Edited Volume</w:t>
      </w:r>
      <w:r w:rsidR="008902AD" w:rsidRPr="003B3013">
        <w:rPr>
          <w:rFonts w:eastAsia="Times New Roman" w:cs="Times New Roman"/>
          <w:b/>
          <w:bCs/>
        </w:rPr>
        <w:t xml:space="preserve"> </w:t>
      </w:r>
    </w:p>
    <w:p w14:paraId="24C12AF5" w14:textId="68665321" w:rsidR="00BF2CC9" w:rsidRPr="00DC2A7A" w:rsidRDefault="00BF2CC9" w:rsidP="00DC2A7A">
      <w:pPr>
        <w:spacing w:before="100" w:beforeAutospacing="1" w:after="100" w:afterAutospacing="1" w:line="240" w:lineRule="auto"/>
        <w:jc w:val="center"/>
        <w:rPr>
          <w:rFonts w:eastAsia="Times New Roman" w:cs="Times New Roman"/>
          <w:b/>
          <w:bCs/>
        </w:rPr>
      </w:pPr>
      <w:r w:rsidRPr="003B3013">
        <w:rPr>
          <w:rFonts w:eastAsia="Times New Roman" w:cs="Times New Roman"/>
          <w:b/>
          <w:bCs/>
        </w:rPr>
        <w:t xml:space="preserve">Call for Papers </w:t>
      </w:r>
    </w:p>
    <w:p w14:paraId="50594BE5" w14:textId="0710A61C" w:rsidR="0047156F" w:rsidRPr="003B3013" w:rsidRDefault="0018128F" w:rsidP="00BF2CC9">
      <w:pPr>
        <w:spacing w:after="0" w:line="240" w:lineRule="auto"/>
        <w:jc w:val="center"/>
        <w:rPr>
          <w:rFonts w:eastAsia="Times New Roman" w:cs="Times New Roman"/>
          <w:b/>
          <w:bCs/>
          <w:sz w:val="22"/>
          <w:szCs w:val="22"/>
        </w:rPr>
      </w:pPr>
      <w:r w:rsidRPr="003B3013">
        <w:rPr>
          <w:rFonts w:eastAsia="Times New Roman" w:cs="Times New Roman"/>
          <w:b/>
          <w:bCs/>
          <w:sz w:val="22"/>
          <w:szCs w:val="22"/>
        </w:rPr>
        <w:t>Title:</w:t>
      </w:r>
    </w:p>
    <w:p w14:paraId="22A683EB" w14:textId="77777777" w:rsidR="00BF2CC9" w:rsidRDefault="0047156F" w:rsidP="00BF2CC9">
      <w:pPr>
        <w:spacing w:after="0" w:line="240" w:lineRule="auto"/>
        <w:jc w:val="center"/>
        <w:rPr>
          <w:rFonts w:eastAsia="Times New Roman" w:cs="Times New Roman"/>
          <w:b/>
          <w:bCs/>
          <w:color w:val="BF4E14" w:themeColor="accent2" w:themeShade="BF"/>
          <w:sz w:val="26"/>
          <w:szCs w:val="26"/>
        </w:rPr>
      </w:pPr>
      <w:r w:rsidRPr="00BF2CC9">
        <w:rPr>
          <w:rFonts w:eastAsia="Times New Roman" w:cs="Times New Roman"/>
          <w:b/>
          <w:bCs/>
          <w:color w:val="BF4E14" w:themeColor="accent2" w:themeShade="BF"/>
          <w:sz w:val="26"/>
          <w:szCs w:val="26"/>
        </w:rPr>
        <w:t xml:space="preserve">From Global Frameworks to Local Practices: </w:t>
      </w:r>
    </w:p>
    <w:p w14:paraId="659B8E71" w14:textId="2A874673" w:rsidR="0047156F" w:rsidRDefault="0047156F" w:rsidP="00BF2CC9">
      <w:pPr>
        <w:spacing w:after="0" w:line="240" w:lineRule="auto"/>
        <w:jc w:val="center"/>
        <w:rPr>
          <w:rFonts w:eastAsia="Times New Roman" w:cs="Times New Roman"/>
          <w:b/>
          <w:bCs/>
          <w:color w:val="BF4E14" w:themeColor="accent2" w:themeShade="BF"/>
          <w:sz w:val="26"/>
          <w:szCs w:val="26"/>
        </w:rPr>
      </w:pPr>
      <w:r w:rsidRPr="00BF2CC9">
        <w:rPr>
          <w:rFonts w:eastAsia="Times New Roman" w:cs="Times New Roman"/>
          <w:b/>
          <w:bCs/>
          <w:color w:val="BF4E14" w:themeColor="accent2" w:themeShade="BF"/>
          <w:sz w:val="26"/>
          <w:szCs w:val="26"/>
        </w:rPr>
        <w:t xml:space="preserve">The Role of International Labour Migration Law and Private Actors in Shaping National and </w:t>
      </w:r>
      <w:r w:rsidR="00234B7B" w:rsidRPr="00BF2CC9">
        <w:rPr>
          <w:rFonts w:eastAsia="Times New Roman" w:cs="Times New Roman"/>
          <w:b/>
          <w:bCs/>
          <w:color w:val="BF4E14" w:themeColor="accent2" w:themeShade="BF"/>
          <w:sz w:val="26"/>
          <w:szCs w:val="26"/>
        </w:rPr>
        <w:t>R</w:t>
      </w:r>
      <w:r w:rsidRPr="00BF2CC9">
        <w:rPr>
          <w:rFonts w:eastAsia="Times New Roman" w:cs="Times New Roman"/>
          <w:b/>
          <w:bCs/>
          <w:color w:val="BF4E14" w:themeColor="accent2" w:themeShade="BF"/>
          <w:sz w:val="26"/>
          <w:szCs w:val="26"/>
        </w:rPr>
        <w:t>egional Migration Governance</w:t>
      </w:r>
    </w:p>
    <w:p w14:paraId="7BB9317D" w14:textId="77777777" w:rsidR="00BF2CC9" w:rsidRPr="00BF2CC9" w:rsidRDefault="00BF2CC9" w:rsidP="00BF2CC9">
      <w:pPr>
        <w:spacing w:after="0" w:line="240" w:lineRule="auto"/>
        <w:jc w:val="center"/>
        <w:rPr>
          <w:rFonts w:eastAsia="Times New Roman" w:cs="Times New Roman"/>
          <w:b/>
          <w:bCs/>
          <w:color w:val="BF4E14" w:themeColor="accent2" w:themeShade="BF"/>
          <w:sz w:val="26"/>
          <w:szCs w:val="26"/>
        </w:rPr>
      </w:pPr>
    </w:p>
    <w:p w14:paraId="3FD2C5CC" w14:textId="77777777" w:rsidR="005742B2" w:rsidRDefault="005742B2" w:rsidP="003C3601">
      <w:pPr>
        <w:spacing w:after="0" w:line="240" w:lineRule="auto"/>
        <w:jc w:val="both"/>
        <w:rPr>
          <w:b/>
          <w:bCs/>
          <w:sz w:val="22"/>
          <w:szCs w:val="22"/>
        </w:rPr>
      </w:pPr>
    </w:p>
    <w:p w14:paraId="40AC7323" w14:textId="5C76421A" w:rsidR="006725CD" w:rsidRPr="0018128F" w:rsidRDefault="00622FEF" w:rsidP="003C3601">
      <w:pPr>
        <w:spacing w:after="0" w:line="240" w:lineRule="auto"/>
        <w:jc w:val="both"/>
        <w:rPr>
          <w:b/>
          <w:bCs/>
          <w:sz w:val="22"/>
          <w:szCs w:val="22"/>
        </w:rPr>
      </w:pPr>
      <w:r>
        <w:rPr>
          <w:b/>
          <w:bCs/>
          <w:sz w:val="22"/>
          <w:szCs w:val="22"/>
        </w:rPr>
        <w:t>E</w:t>
      </w:r>
      <w:r w:rsidR="006725CD" w:rsidRPr="0018128F">
        <w:rPr>
          <w:b/>
          <w:bCs/>
          <w:sz w:val="22"/>
          <w:szCs w:val="22"/>
        </w:rPr>
        <w:t xml:space="preserve">ditors: </w:t>
      </w:r>
    </w:p>
    <w:p w14:paraId="5E3BDDA0" w14:textId="12DC0AD3" w:rsidR="008C26F7" w:rsidRPr="00A150E3" w:rsidRDefault="00A150E3" w:rsidP="00A150E3">
      <w:pPr>
        <w:spacing w:after="0" w:line="240" w:lineRule="auto"/>
        <w:jc w:val="both"/>
        <w:rPr>
          <w:sz w:val="22"/>
          <w:szCs w:val="22"/>
        </w:rPr>
      </w:pPr>
      <w:r w:rsidRPr="00A150E3">
        <w:rPr>
          <w:sz w:val="22"/>
          <w:szCs w:val="22"/>
        </w:rPr>
        <w:t xml:space="preserve">- </w:t>
      </w:r>
      <w:r w:rsidR="008C26F7" w:rsidRPr="00A150E3">
        <w:rPr>
          <w:sz w:val="22"/>
          <w:szCs w:val="22"/>
        </w:rPr>
        <w:t>Younous Arbaoui, V</w:t>
      </w:r>
      <w:r w:rsidR="00B3742C" w:rsidRPr="00A150E3">
        <w:rPr>
          <w:sz w:val="22"/>
          <w:szCs w:val="22"/>
        </w:rPr>
        <w:t>rije Universiteit</w:t>
      </w:r>
      <w:r w:rsidR="008C26F7" w:rsidRPr="00A150E3">
        <w:rPr>
          <w:sz w:val="22"/>
          <w:szCs w:val="22"/>
        </w:rPr>
        <w:t xml:space="preserve"> Amsterdam</w:t>
      </w:r>
      <w:r w:rsidR="00E74DEA" w:rsidRPr="00A150E3">
        <w:rPr>
          <w:sz w:val="22"/>
          <w:szCs w:val="22"/>
        </w:rPr>
        <w:t>, Amsterdam Centre for Migration and Refugee Law</w:t>
      </w:r>
    </w:p>
    <w:p w14:paraId="12BED18A" w14:textId="4993E418" w:rsidR="008C26F7" w:rsidRPr="00A150E3" w:rsidRDefault="00A150E3" w:rsidP="00A150E3">
      <w:pPr>
        <w:spacing w:after="0" w:line="240" w:lineRule="auto"/>
        <w:jc w:val="both"/>
        <w:rPr>
          <w:sz w:val="22"/>
          <w:szCs w:val="22"/>
        </w:rPr>
      </w:pPr>
      <w:r w:rsidRPr="00A150E3">
        <w:rPr>
          <w:sz w:val="22"/>
          <w:szCs w:val="22"/>
        </w:rPr>
        <w:t xml:space="preserve">- </w:t>
      </w:r>
      <w:r w:rsidR="008C26F7" w:rsidRPr="00A150E3">
        <w:rPr>
          <w:sz w:val="22"/>
          <w:szCs w:val="22"/>
        </w:rPr>
        <w:t xml:space="preserve">Tesseltje de Lange, Radboud </w:t>
      </w:r>
      <w:r w:rsidR="00F7506F" w:rsidRPr="00A150E3">
        <w:rPr>
          <w:sz w:val="22"/>
          <w:szCs w:val="22"/>
        </w:rPr>
        <w:t>University</w:t>
      </w:r>
      <w:r w:rsidR="008C26F7" w:rsidRPr="00A150E3">
        <w:rPr>
          <w:sz w:val="22"/>
          <w:szCs w:val="22"/>
        </w:rPr>
        <w:t xml:space="preserve"> Nijmegen</w:t>
      </w:r>
      <w:r w:rsidR="00AE1F66" w:rsidRPr="00A150E3">
        <w:rPr>
          <w:sz w:val="22"/>
          <w:szCs w:val="22"/>
        </w:rPr>
        <w:t>, Centre for Migration Law</w:t>
      </w:r>
    </w:p>
    <w:p w14:paraId="1F78FFEF" w14:textId="77777777" w:rsidR="005742B2" w:rsidRPr="00A150E3" w:rsidRDefault="005742B2" w:rsidP="003C3601">
      <w:pPr>
        <w:spacing w:after="0" w:line="240" w:lineRule="auto"/>
        <w:jc w:val="both"/>
        <w:rPr>
          <w:b/>
          <w:bCs/>
          <w:sz w:val="22"/>
          <w:szCs w:val="22"/>
        </w:rPr>
      </w:pPr>
    </w:p>
    <w:p w14:paraId="493CF12C" w14:textId="13FB0199" w:rsidR="00681649" w:rsidRPr="00681649" w:rsidRDefault="00681649" w:rsidP="003C3601">
      <w:pPr>
        <w:spacing w:after="0" w:line="240" w:lineRule="auto"/>
        <w:jc w:val="both"/>
        <w:rPr>
          <w:b/>
          <w:bCs/>
          <w:sz w:val="22"/>
          <w:szCs w:val="22"/>
        </w:rPr>
      </w:pPr>
      <w:bookmarkStart w:id="0" w:name="_Hlk215520425"/>
      <w:r w:rsidRPr="00681649">
        <w:rPr>
          <w:b/>
          <w:bCs/>
          <w:sz w:val="22"/>
          <w:szCs w:val="22"/>
        </w:rPr>
        <w:t>Description</w:t>
      </w:r>
      <w:r w:rsidR="006319F0">
        <w:rPr>
          <w:b/>
          <w:bCs/>
          <w:sz w:val="22"/>
          <w:szCs w:val="22"/>
        </w:rPr>
        <w:t>:</w:t>
      </w:r>
    </w:p>
    <w:p w14:paraId="114F6813" w14:textId="77777777" w:rsidR="00BF2CC9" w:rsidRDefault="00CA7A01" w:rsidP="0027283E">
      <w:pPr>
        <w:spacing w:after="0" w:line="240" w:lineRule="auto"/>
        <w:jc w:val="both"/>
        <w:rPr>
          <w:sz w:val="22"/>
          <w:szCs w:val="22"/>
        </w:rPr>
      </w:pPr>
      <w:r w:rsidRPr="00387225">
        <w:rPr>
          <w:sz w:val="22"/>
          <w:szCs w:val="22"/>
        </w:rPr>
        <w:t xml:space="preserve">International labour migration is </w:t>
      </w:r>
      <w:r w:rsidR="0063018D">
        <w:rPr>
          <w:sz w:val="22"/>
          <w:szCs w:val="22"/>
        </w:rPr>
        <w:t xml:space="preserve">largely governed by three key </w:t>
      </w:r>
      <w:r w:rsidR="0074791C">
        <w:rPr>
          <w:sz w:val="22"/>
          <w:szCs w:val="22"/>
        </w:rPr>
        <w:t xml:space="preserve">legal frameworks, namely: </w:t>
      </w:r>
    </w:p>
    <w:p w14:paraId="73F86037" w14:textId="77777777" w:rsidR="00BF2CC9" w:rsidRDefault="0074791C" w:rsidP="00BF2CC9">
      <w:pPr>
        <w:pStyle w:val="ListParagraph"/>
        <w:numPr>
          <w:ilvl w:val="0"/>
          <w:numId w:val="22"/>
        </w:numPr>
        <w:spacing w:after="0" w:line="240" w:lineRule="auto"/>
        <w:jc w:val="both"/>
        <w:rPr>
          <w:rFonts w:eastAsia="Times New Roman" w:cs="Times New Roman"/>
          <w:sz w:val="22"/>
          <w:szCs w:val="22"/>
        </w:rPr>
      </w:pPr>
      <w:r w:rsidRPr="00BF2CC9">
        <w:rPr>
          <w:rFonts w:eastAsia="Times New Roman" w:cs="Times New Roman"/>
          <w:sz w:val="22"/>
          <w:szCs w:val="22"/>
        </w:rPr>
        <w:t>The International Convention on the Protection of the Rights of All Migrant Workers and Members of Their Families (ICRMW</w:t>
      </w:r>
      <w:proofErr w:type="gramStart"/>
      <w:r w:rsidRPr="00BF2CC9">
        <w:rPr>
          <w:rFonts w:eastAsia="Times New Roman" w:cs="Times New Roman"/>
          <w:sz w:val="22"/>
          <w:szCs w:val="22"/>
        </w:rPr>
        <w:t>);</w:t>
      </w:r>
      <w:proofErr w:type="gramEnd"/>
      <w:r w:rsidRPr="00BF2CC9">
        <w:rPr>
          <w:rFonts w:eastAsia="Times New Roman" w:cs="Times New Roman"/>
          <w:sz w:val="22"/>
          <w:szCs w:val="22"/>
        </w:rPr>
        <w:t xml:space="preserve"> </w:t>
      </w:r>
    </w:p>
    <w:p w14:paraId="257E2746" w14:textId="77777777" w:rsidR="00BF2CC9" w:rsidRDefault="0074791C" w:rsidP="00BF2CC9">
      <w:pPr>
        <w:pStyle w:val="ListParagraph"/>
        <w:numPr>
          <w:ilvl w:val="0"/>
          <w:numId w:val="22"/>
        </w:numPr>
        <w:spacing w:after="0" w:line="240" w:lineRule="auto"/>
        <w:jc w:val="both"/>
        <w:rPr>
          <w:rFonts w:eastAsia="Times New Roman" w:cs="Times New Roman"/>
          <w:sz w:val="22"/>
          <w:szCs w:val="22"/>
        </w:rPr>
      </w:pPr>
      <w:r w:rsidRPr="00BF2CC9">
        <w:rPr>
          <w:rFonts w:eastAsia="Times New Roman" w:cs="Times New Roman"/>
          <w:sz w:val="22"/>
          <w:szCs w:val="22"/>
        </w:rPr>
        <w:t>the Global Compact for Safe, Orderly and Regular Migration (GCM)</w:t>
      </w:r>
      <w:r w:rsidR="00EB4D3E" w:rsidRPr="00BF2CC9">
        <w:rPr>
          <w:rFonts w:eastAsia="Times New Roman" w:cs="Times New Roman"/>
          <w:sz w:val="22"/>
          <w:szCs w:val="22"/>
        </w:rPr>
        <w:t xml:space="preserve">, and the </w:t>
      </w:r>
    </w:p>
    <w:p w14:paraId="13E0936D" w14:textId="77777777" w:rsidR="00BF2CC9" w:rsidRDefault="00EB4D3E" w:rsidP="00BF2CC9">
      <w:pPr>
        <w:pStyle w:val="ListParagraph"/>
        <w:numPr>
          <w:ilvl w:val="0"/>
          <w:numId w:val="22"/>
        </w:numPr>
        <w:spacing w:after="0" w:line="240" w:lineRule="auto"/>
        <w:jc w:val="both"/>
        <w:rPr>
          <w:rFonts w:eastAsia="Times New Roman" w:cs="Times New Roman"/>
          <w:sz w:val="22"/>
          <w:szCs w:val="22"/>
        </w:rPr>
      </w:pPr>
      <w:r w:rsidRPr="00BF2CC9">
        <w:rPr>
          <w:rFonts w:eastAsia="Times New Roman" w:cs="Times New Roman"/>
          <w:sz w:val="22"/>
          <w:szCs w:val="22"/>
        </w:rPr>
        <w:t xml:space="preserve">International Labour Organization </w:t>
      </w:r>
      <w:r w:rsidR="00935C38" w:rsidRPr="00BF2CC9">
        <w:rPr>
          <w:rFonts w:eastAsia="Times New Roman" w:cs="Times New Roman"/>
          <w:sz w:val="22"/>
          <w:szCs w:val="22"/>
        </w:rPr>
        <w:t xml:space="preserve">(ILO) </w:t>
      </w:r>
      <w:r w:rsidRPr="00BF2CC9">
        <w:rPr>
          <w:rFonts w:eastAsia="Times New Roman" w:cs="Times New Roman"/>
          <w:sz w:val="22"/>
          <w:szCs w:val="22"/>
        </w:rPr>
        <w:t>conventions on promoting decent work and labour migration.</w:t>
      </w:r>
      <w:r w:rsidR="002C7A18" w:rsidRPr="00BF2CC9">
        <w:rPr>
          <w:rFonts w:eastAsia="Times New Roman" w:cs="Times New Roman"/>
          <w:sz w:val="22"/>
          <w:szCs w:val="22"/>
        </w:rPr>
        <w:t xml:space="preserve"> </w:t>
      </w:r>
    </w:p>
    <w:p w14:paraId="2D74022C" w14:textId="5992D7D6" w:rsidR="00993512" w:rsidRPr="00BF2CC9" w:rsidRDefault="00DE6060" w:rsidP="00BF2CC9">
      <w:pPr>
        <w:spacing w:after="0" w:line="240" w:lineRule="auto"/>
        <w:jc w:val="both"/>
        <w:rPr>
          <w:rFonts w:eastAsia="Times New Roman" w:cs="Times New Roman"/>
          <w:sz w:val="22"/>
          <w:szCs w:val="22"/>
        </w:rPr>
      </w:pPr>
      <w:r w:rsidRPr="00BF2CC9">
        <w:rPr>
          <w:rFonts w:eastAsia="Times New Roman" w:cs="Times New Roman"/>
          <w:sz w:val="22"/>
          <w:szCs w:val="22"/>
        </w:rPr>
        <w:t>The ICRMW, as a legally binding core international human rights instrument, establishes a robust framework for safeguarding the human and labour rights of migrant workers and their families, ensuring their protection regardless of migration status.</w:t>
      </w:r>
      <w:r w:rsidRPr="00BF2CC9">
        <w:rPr>
          <w:sz w:val="22"/>
          <w:szCs w:val="22"/>
        </w:rPr>
        <w:t xml:space="preserve"> </w:t>
      </w:r>
      <w:r w:rsidR="003C0509" w:rsidRPr="00BF2CC9">
        <w:rPr>
          <w:rFonts w:eastAsia="Times New Roman" w:cs="Times New Roman"/>
          <w:sz w:val="22"/>
          <w:szCs w:val="22"/>
        </w:rPr>
        <w:t>The GCM is</w:t>
      </w:r>
      <w:r w:rsidR="00BC2884" w:rsidRPr="00BF2CC9">
        <w:rPr>
          <w:rFonts w:eastAsia="Times New Roman" w:cs="Times New Roman"/>
          <w:sz w:val="22"/>
          <w:szCs w:val="22"/>
        </w:rPr>
        <w:t xml:space="preserve"> </w:t>
      </w:r>
      <w:r w:rsidR="003C0509" w:rsidRPr="00BF2CC9">
        <w:rPr>
          <w:rFonts w:eastAsia="Times New Roman" w:cs="Times New Roman"/>
          <w:sz w:val="22"/>
          <w:szCs w:val="22"/>
        </w:rPr>
        <w:t>an inter</w:t>
      </w:r>
      <w:r w:rsidR="00387225" w:rsidRPr="00BF2CC9">
        <w:rPr>
          <w:rFonts w:eastAsia="Times New Roman" w:cs="Times New Roman"/>
          <w:sz w:val="22"/>
          <w:szCs w:val="22"/>
        </w:rPr>
        <w:t>-</w:t>
      </w:r>
      <w:r w:rsidR="003C0509" w:rsidRPr="00BF2CC9">
        <w:rPr>
          <w:rFonts w:eastAsia="Times New Roman" w:cs="Times New Roman"/>
          <w:sz w:val="22"/>
          <w:szCs w:val="22"/>
        </w:rPr>
        <w:t xml:space="preserve">governmentally negotiated agreement within the UN framework that comprehensively addresses migration at the global level. </w:t>
      </w:r>
      <w:r w:rsidR="00F102E6" w:rsidRPr="00BF2CC9">
        <w:rPr>
          <w:rFonts w:eastAsia="Times New Roman" w:cs="Times New Roman"/>
          <w:sz w:val="22"/>
          <w:szCs w:val="22"/>
        </w:rPr>
        <w:t xml:space="preserve">While </w:t>
      </w:r>
      <w:r w:rsidR="003C0509" w:rsidRPr="00BF2CC9">
        <w:rPr>
          <w:rFonts w:eastAsia="Times New Roman" w:cs="Times New Roman"/>
          <w:sz w:val="22"/>
          <w:szCs w:val="22"/>
        </w:rPr>
        <w:t xml:space="preserve">non-binding, </w:t>
      </w:r>
      <w:r w:rsidR="00F102E6" w:rsidRPr="00BF2CC9">
        <w:rPr>
          <w:rFonts w:eastAsia="Times New Roman" w:cs="Times New Roman"/>
          <w:sz w:val="22"/>
          <w:szCs w:val="22"/>
        </w:rPr>
        <w:t xml:space="preserve">the GCM </w:t>
      </w:r>
      <w:r w:rsidR="003C0509" w:rsidRPr="00BF2CC9">
        <w:rPr>
          <w:rFonts w:eastAsia="Times New Roman" w:cs="Times New Roman"/>
          <w:sz w:val="22"/>
          <w:szCs w:val="22"/>
        </w:rPr>
        <w:t xml:space="preserve">serves as a global framework for international cooperation on migration, promoting safe, orderly, and regular migration through a human rights-based approach. Indeed, the GCM rests on core human rights treaties, including the </w:t>
      </w:r>
      <w:r w:rsidR="000823A6" w:rsidRPr="00BF2CC9">
        <w:rPr>
          <w:rFonts w:eastAsia="Times New Roman" w:cs="Times New Roman"/>
          <w:sz w:val="22"/>
          <w:szCs w:val="22"/>
        </w:rPr>
        <w:t>ICRMW</w:t>
      </w:r>
      <w:r w:rsidR="005B4FE0" w:rsidRPr="00BF2CC9">
        <w:rPr>
          <w:rFonts w:eastAsia="Times New Roman" w:cs="Times New Roman"/>
          <w:sz w:val="22"/>
          <w:szCs w:val="22"/>
        </w:rPr>
        <w:t xml:space="preserve">. </w:t>
      </w:r>
      <w:r w:rsidR="00E84039" w:rsidRPr="00BF2CC9">
        <w:rPr>
          <w:rFonts w:eastAsia="Times New Roman" w:cs="Times New Roman"/>
          <w:sz w:val="22"/>
          <w:szCs w:val="22"/>
        </w:rPr>
        <w:t>In this vein, the UN Committee on Migrant Workers (CMW) recently adopted “General comment No. 6 on the convergent protection of the rights of migrant workers and members of their families through the International Convention on the Protection of the Rights of All Migrant Workers and Members of Their Families and the Global Compact for Safe, Orderly and Regular Migration”</w:t>
      </w:r>
      <w:r w:rsidR="00E512B1">
        <w:rPr>
          <w:rFonts w:eastAsia="Times New Roman" w:cs="Times New Roman"/>
          <w:sz w:val="22"/>
          <w:szCs w:val="22"/>
        </w:rPr>
        <w:t>. This General Comment</w:t>
      </w:r>
      <w:r w:rsidR="00E84039" w:rsidRPr="00BF2CC9">
        <w:rPr>
          <w:rFonts w:eastAsia="Times New Roman" w:cs="Times New Roman"/>
          <w:sz w:val="22"/>
          <w:szCs w:val="22"/>
        </w:rPr>
        <w:t xml:space="preserve"> aim</w:t>
      </w:r>
      <w:r w:rsidR="00E512B1">
        <w:rPr>
          <w:rFonts w:eastAsia="Times New Roman" w:cs="Times New Roman"/>
          <w:sz w:val="22"/>
          <w:szCs w:val="22"/>
        </w:rPr>
        <w:t>s</w:t>
      </w:r>
      <w:r w:rsidR="00E84039" w:rsidRPr="00BF2CC9">
        <w:rPr>
          <w:rFonts w:eastAsia="Times New Roman" w:cs="Times New Roman"/>
          <w:sz w:val="22"/>
          <w:szCs w:val="22"/>
        </w:rPr>
        <w:t xml:space="preserve"> to guide States in the implementation of the GCM</w:t>
      </w:r>
      <w:r w:rsidR="0027283E" w:rsidRPr="00BF2CC9">
        <w:rPr>
          <w:rFonts w:eastAsia="Times New Roman" w:cs="Times New Roman"/>
          <w:sz w:val="22"/>
          <w:szCs w:val="22"/>
        </w:rPr>
        <w:t xml:space="preserve"> in line with the Convention. That said, the GCM </w:t>
      </w:r>
      <w:r w:rsidR="005B4FE0" w:rsidRPr="00BF2CC9">
        <w:rPr>
          <w:rFonts w:eastAsia="Times New Roman" w:cs="Times New Roman"/>
          <w:sz w:val="22"/>
          <w:szCs w:val="22"/>
        </w:rPr>
        <w:t>also rests on</w:t>
      </w:r>
      <w:r w:rsidR="00935C38" w:rsidRPr="00BF2CC9">
        <w:rPr>
          <w:rFonts w:eastAsia="Times New Roman" w:cs="Times New Roman"/>
          <w:sz w:val="22"/>
          <w:szCs w:val="22"/>
        </w:rPr>
        <w:t xml:space="preserve"> </w:t>
      </w:r>
      <w:r w:rsidR="005B4FE0" w:rsidRPr="00BF2CC9">
        <w:rPr>
          <w:rFonts w:eastAsia="Times New Roman" w:cs="Times New Roman"/>
          <w:sz w:val="22"/>
          <w:szCs w:val="22"/>
        </w:rPr>
        <w:t xml:space="preserve">various </w:t>
      </w:r>
      <w:r w:rsidR="00935C38" w:rsidRPr="00BF2CC9">
        <w:rPr>
          <w:rFonts w:eastAsia="Times New Roman" w:cs="Times New Roman"/>
          <w:sz w:val="22"/>
          <w:szCs w:val="22"/>
        </w:rPr>
        <w:t xml:space="preserve">ILO </w:t>
      </w:r>
      <w:r w:rsidR="004F241B" w:rsidRPr="00BF2CC9">
        <w:rPr>
          <w:rFonts w:eastAsia="Times New Roman" w:cs="Times New Roman"/>
          <w:sz w:val="22"/>
          <w:szCs w:val="22"/>
        </w:rPr>
        <w:t xml:space="preserve">conventions, in particular </w:t>
      </w:r>
      <w:r w:rsidR="004F241B" w:rsidRPr="00BF2CC9">
        <w:rPr>
          <w:sz w:val="22"/>
          <w:szCs w:val="22"/>
        </w:rPr>
        <w:t>Migration for Employment Convention (No. 97), Migrant Workers (Supplementary Provisions) Convention</w:t>
      </w:r>
      <w:r w:rsidR="005B4FE0" w:rsidRPr="00BF2CC9">
        <w:rPr>
          <w:sz w:val="22"/>
          <w:szCs w:val="22"/>
        </w:rPr>
        <w:t xml:space="preserve"> </w:t>
      </w:r>
      <w:r w:rsidR="004F241B" w:rsidRPr="00BF2CC9">
        <w:rPr>
          <w:sz w:val="22"/>
          <w:szCs w:val="22"/>
        </w:rPr>
        <w:t>(No. 143), Equality of Treatment (Social Security) Convention</w:t>
      </w:r>
      <w:r w:rsidR="005B4FE0" w:rsidRPr="00BF2CC9">
        <w:rPr>
          <w:sz w:val="22"/>
          <w:szCs w:val="22"/>
        </w:rPr>
        <w:t xml:space="preserve"> </w:t>
      </w:r>
      <w:r w:rsidR="004F241B" w:rsidRPr="00BF2CC9">
        <w:rPr>
          <w:sz w:val="22"/>
          <w:szCs w:val="22"/>
        </w:rPr>
        <w:t>(No. 118), and Domestic Workers Convention</w:t>
      </w:r>
      <w:r w:rsidR="005B4FE0" w:rsidRPr="00BF2CC9">
        <w:rPr>
          <w:sz w:val="22"/>
          <w:szCs w:val="22"/>
        </w:rPr>
        <w:t xml:space="preserve"> </w:t>
      </w:r>
      <w:r w:rsidR="004F241B" w:rsidRPr="00BF2CC9">
        <w:rPr>
          <w:sz w:val="22"/>
          <w:szCs w:val="22"/>
        </w:rPr>
        <w:t>(No. 189).</w:t>
      </w:r>
      <w:r w:rsidR="00A942A1" w:rsidRPr="00BF2CC9">
        <w:rPr>
          <w:sz w:val="22"/>
          <w:szCs w:val="22"/>
        </w:rPr>
        <w:t xml:space="preserve"> Together, </w:t>
      </w:r>
      <w:r w:rsidR="00E512B1">
        <w:rPr>
          <w:sz w:val="22"/>
          <w:szCs w:val="22"/>
        </w:rPr>
        <w:t xml:space="preserve">the ICRMW, the GCM and ILO Conventions </w:t>
      </w:r>
      <w:r w:rsidR="00A942A1" w:rsidRPr="00BF2CC9">
        <w:rPr>
          <w:sz w:val="22"/>
          <w:szCs w:val="22"/>
        </w:rPr>
        <w:t xml:space="preserve">form a </w:t>
      </w:r>
      <w:r w:rsidR="00A942A1" w:rsidRPr="00BF2CC9">
        <w:rPr>
          <w:rFonts w:eastAsia="Times New Roman" w:cs="Times New Roman"/>
          <w:sz w:val="22"/>
          <w:szCs w:val="22"/>
        </w:rPr>
        <w:t>comprehensive international framework dedicated to labour migration governance and the protection of migrant workers' rights.</w:t>
      </w:r>
      <w:r w:rsidR="00993512" w:rsidRPr="00BF2CC9">
        <w:rPr>
          <w:rFonts w:eastAsia="Times New Roman" w:cs="Times New Roman"/>
          <w:sz w:val="22"/>
          <w:szCs w:val="22"/>
        </w:rPr>
        <w:t xml:space="preserve"> </w:t>
      </w:r>
      <w:r w:rsidR="00A41A32" w:rsidRPr="00A41A32">
        <w:rPr>
          <w:rFonts w:eastAsia="Times New Roman" w:cs="Times New Roman"/>
          <w:sz w:val="22"/>
          <w:szCs w:val="22"/>
        </w:rPr>
        <w:t>The GCM’s references to both instruments, together with the CMW’s General Comment No. 6 and the ILO’s active engagement in the GCM process (Cholewinski 2020), exemplify an ongoing process of cross-fertilization between these three global frameworks (Slaughter 1994; Giorgetti and Pollack 2022).</w:t>
      </w:r>
    </w:p>
    <w:bookmarkEnd w:id="0"/>
    <w:p w14:paraId="64E14D15" w14:textId="77777777" w:rsidR="00250C27" w:rsidRDefault="00250C27" w:rsidP="00250C27">
      <w:pPr>
        <w:spacing w:after="0" w:line="240" w:lineRule="auto"/>
        <w:jc w:val="both"/>
        <w:rPr>
          <w:sz w:val="22"/>
        </w:rPr>
      </w:pPr>
    </w:p>
    <w:p w14:paraId="442EFC8F" w14:textId="55689430" w:rsidR="005602D4" w:rsidRPr="00993512" w:rsidRDefault="00A41A32" w:rsidP="00250C27">
      <w:pPr>
        <w:spacing w:after="0" w:line="240" w:lineRule="auto"/>
        <w:jc w:val="both"/>
        <w:rPr>
          <w:rFonts w:eastAsia="Times New Roman" w:cs="Times New Roman"/>
          <w:sz w:val="22"/>
          <w:szCs w:val="22"/>
        </w:rPr>
      </w:pPr>
      <w:bookmarkStart w:id="1" w:name="_Hlk215520363"/>
      <w:r w:rsidRPr="00A41A32">
        <w:rPr>
          <w:sz w:val="22"/>
        </w:rPr>
        <w:t>While existing research has examined the relationship between these soft- and hard-law international</w:t>
      </w:r>
      <w:r w:rsidRPr="00A41A32">
        <w:rPr>
          <w:b/>
          <w:bCs/>
          <w:sz w:val="22"/>
        </w:rPr>
        <w:t xml:space="preserve"> </w:t>
      </w:r>
      <w:r w:rsidRPr="00821EC7">
        <w:rPr>
          <w:sz w:val="22"/>
        </w:rPr>
        <w:t>instruments</w:t>
      </w:r>
      <w:r w:rsidRPr="00A41A32">
        <w:rPr>
          <w:sz w:val="22"/>
        </w:rPr>
        <w:t xml:space="preserve"> (Desmond 2022; Cholewinski 2020; Grange and Majcher 2020; Chetail 2023; Desmond, Grange and Majcher 2022), </w:t>
      </w:r>
      <w:r w:rsidRPr="00A41A32">
        <w:rPr>
          <w:b/>
          <w:bCs/>
          <w:sz w:val="22"/>
        </w:rPr>
        <w:t xml:space="preserve">the extent to which cross-fertilization between these frameworks occurs in national and regional labour migration policies and practices </w:t>
      </w:r>
      <w:r w:rsidRPr="00A41A32">
        <w:rPr>
          <w:sz w:val="22"/>
        </w:rPr>
        <w:t>remains understudied. Does such cross-fertilization take place? If so, how? And which conditions stimulate or, conversely, limit this process? (Arbaoui and Semaoui 2024; Arbaoui 2026)</w:t>
      </w:r>
      <w:r w:rsidR="00F406B8" w:rsidRPr="00993512">
        <w:rPr>
          <w:sz w:val="22"/>
        </w:rPr>
        <w:t>.</w:t>
      </w:r>
      <w:r w:rsidR="002A3210" w:rsidRPr="00993512">
        <w:rPr>
          <w:sz w:val="22"/>
        </w:rPr>
        <w:t xml:space="preserve"> </w:t>
      </w:r>
      <w:bookmarkEnd w:id="1"/>
      <w:r w:rsidR="0033365B" w:rsidRPr="00993512">
        <w:rPr>
          <w:sz w:val="22"/>
        </w:rPr>
        <w:t xml:space="preserve">In addition, </w:t>
      </w:r>
      <w:r w:rsidR="008C5EFB" w:rsidRPr="00993512">
        <w:rPr>
          <w:sz w:val="22"/>
        </w:rPr>
        <w:t>wh</w:t>
      </w:r>
      <w:r w:rsidR="00DD380A" w:rsidRPr="00993512">
        <w:rPr>
          <w:sz w:val="22"/>
        </w:rPr>
        <w:t>ereas</w:t>
      </w:r>
      <w:r w:rsidR="008C5EFB" w:rsidRPr="00993512">
        <w:rPr>
          <w:sz w:val="22"/>
        </w:rPr>
        <w:t xml:space="preserve"> </w:t>
      </w:r>
      <w:r w:rsidR="0067339A" w:rsidRPr="00993512">
        <w:rPr>
          <w:sz w:val="22"/>
          <w:szCs w:val="22"/>
        </w:rPr>
        <w:t xml:space="preserve">migrant worker perspectives have been investigated, </w:t>
      </w:r>
      <w:r w:rsidR="0067339A" w:rsidRPr="00BF2CC9">
        <w:rPr>
          <w:b/>
          <w:bCs/>
          <w:sz w:val="22"/>
          <w:szCs w:val="22"/>
        </w:rPr>
        <w:t>the role, strains and gains of the private sector in the making and implementation of international labour migration law and policy</w:t>
      </w:r>
      <w:r w:rsidR="0067339A" w:rsidRPr="00993512">
        <w:rPr>
          <w:sz w:val="22"/>
          <w:szCs w:val="22"/>
        </w:rPr>
        <w:t xml:space="preserve"> </w:t>
      </w:r>
      <w:r w:rsidR="00BF2CC9">
        <w:rPr>
          <w:sz w:val="22"/>
          <w:szCs w:val="22"/>
        </w:rPr>
        <w:t xml:space="preserve">on </w:t>
      </w:r>
      <w:r w:rsidR="0067339A" w:rsidRPr="00993512">
        <w:rPr>
          <w:sz w:val="22"/>
          <w:szCs w:val="22"/>
        </w:rPr>
        <w:t xml:space="preserve">migration </w:t>
      </w:r>
      <w:proofErr w:type="gramStart"/>
      <w:r w:rsidR="0067339A" w:rsidRPr="00993512">
        <w:rPr>
          <w:sz w:val="22"/>
          <w:szCs w:val="22"/>
        </w:rPr>
        <w:t>remains</w:t>
      </w:r>
      <w:proofErr w:type="gramEnd"/>
      <w:r w:rsidR="0067339A" w:rsidRPr="00993512">
        <w:rPr>
          <w:sz w:val="22"/>
          <w:szCs w:val="22"/>
        </w:rPr>
        <w:t xml:space="preserve"> understudied. As Bisong (2020) rightly notes, the private sector is not a single entity. Bisong elaborates on these private sector actors’ characteristics, roles and motivations, and how  and when they interact with migrants (Ibid). To this, we would emphasize the added role of immigration law and policy. On this policy interaction, Piper and Foley (2021) posit that the role of ‘private sector’ has increased in the realm of global governance. They illustrate their findings through the ILO-IOM partnership which, they argue, has blurred the divide between public and private </w:t>
      </w:r>
      <w:r w:rsidR="0067339A" w:rsidRPr="00993512">
        <w:rPr>
          <w:sz w:val="22"/>
          <w:szCs w:val="22"/>
        </w:rPr>
        <w:lastRenderedPageBreak/>
        <w:t>realms.</w:t>
      </w:r>
      <w:r w:rsidR="00613E68" w:rsidRPr="00993512">
        <w:rPr>
          <w:sz w:val="22"/>
          <w:szCs w:val="22"/>
        </w:rPr>
        <w:t xml:space="preserve"> </w:t>
      </w:r>
      <w:r w:rsidR="0067339A" w:rsidRPr="00993512">
        <w:rPr>
          <w:sz w:val="22"/>
          <w:szCs w:val="22"/>
        </w:rPr>
        <w:t xml:space="preserve">The International Labour </w:t>
      </w:r>
      <w:proofErr w:type="spellStart"/>
      <w:r w:rsidR="0067339A" w:rsidRPr="00993512">
        <w:rPr>
          <w:sz w:val="22"/>
          <w:szCs w:val="22"/>
        </w:rPr>
        <w:t>Organisation</w:t>
      </w:r>
      <w:proofErr w:type="spellEnd"/>
      <w:r w:rsidR="0067339A" w:rsidRPr="00993512">
        <w:rPr>
          <w:sz w:val="22"/>
          <w:szCs w:val="22"/>
        </w:rPr>
        <w:t xml:space="preserve"> (ILO), a tripartite international organization (IO), has stepped up its game towards a ‘fair migration agenda’, which links development goals  with the rights of migrant workers, while the IOM (International Organization for Migration) has also ventured into setting standards. Together, they watch over the implementation of the labour-related Global Compact on Migration objectives. Poeschel et al. (2025) have illustrated how the private sector engages business to business (B2B) models towards skilling and labour migration to address shortages outside  IO frameworks. While Piper and Foley (2021) remain critical of private sector engagement in the making of global governance arrangements (such as the GCM), other have repeatedly stressed the difficulty of engaging ‘the private sector’, e.g. individual employers, in global skills and mobility partnerships (GSPs), programs which again are often led by IOs like the IOM and ILO (e.g. EMN, 2022; Hooper &amp; Sohst, 2024). Poeschel et al (2025) name factors impeding GSPs, chalking up the private sector’s lack of interest </w:t>
      </w:r>
      <w:proofErr w:type="gramStart"/>
      <w:r w:rsidR="0067339A" w:rsidRPr="00993512">
        <w:rPr>
          <w:sz w:val="22"/>
          <w:szCs w:val="22"/>
        </w:rPr>
        <w:t>to</w:t>
      </w:r>
      <w:proofErr w:type="gramEnd"/>
      <w:r w:rsidR="0067339A" w:rsidRPr="00993512">
        <w:rPr>
          <w:sz w:val="22"/>
          <w:szCs w:val="22"/>
        </w:rPr>
        <w:t>, inter alia, slow timelines, small scales, complexity and political constraints and the absence of consistent regulatory structures.</w:t>
      </w:r>
    </w:p>
    <w:p w14:paraId="18F75C18" w14:textId="77777777" w:rsidR="002A3210" w:rsidRPr="005E3FA2" w:rsidRDefault="002A3210" w:rsidP="002A3210">
      <w:pPr>
        <w:spacing w:after="0" w:line="240" w:lineRule="auto"/>
        <w:jc w:val="both"/>
        <w:rPr>
          <w:sz w:val="22"/>
        </w:rPr>
      </w:pPr>
    </w:p>
    <w:p w14:paraId="6BAD3DA4" w14:textId="77777777" w:rsidR="00BF2CC9" w:rsidRDefault="00452705" w:rsidP="005E3FA2">
      <w:pPr>
        <w:spacing w:after="0" w:line="240" w:lineRule="auto"/>
        <w:jc w:val="both"/>
        <w:rPr>
          <w:sz w:val="22"/>
        </w:rPr>
      </w:pPr>
      <w:r w:rsidRPr="005E3FA2">
        <w:rPr>
          <w:sz w:val="22"/>
        </w:rPr>
        <w:t xml:space="preserve">This </w:t>
      </w:r>
      <w:r w:rsidR="00BF2CC9">
        <w:rPr>
          <w:sz w:val="22"/>
        </w:rPr>
        <w:t>Special Issue / Edited Volume</w:t>
      </w:r>
      <w:r w:rsidRPr="005E3FA2">
        <w:rPr>
          <w:sz w:val="22"/>
        </w:rPr>
        <w:t xml:space="preserve"> seeks to </w:t>
      </w:r>
      <w:r w:rsidRPr="00BF2CC9">
        <w:rPr>
          <w:b/>
          <w:bCs/>
          <w:sz w:val="22"/>
        </w:rPr>
        <w:t>bridge the above-mentioned gaps</w:t>
      </w:r>
      <w:r w:rsidRPr="005E3FA2">
        <w:rPr>
          <w:sz w:val="22"/>
        </w:rPr>
        <w:t xml:space="preserve"> by </w:t>
      </w:r>
      <w:r w:rsidR="00BD5FE9" w:rsidRPr="005E3FA2">
        <w:rPr>
          <w:sz w:val="22"/>
        </w:rPr>
        <w:t xml:space="preserve">assessing </w:t>
      </w:r>
      <w:r w:rsidRPr="005E3FA2">
        <w:rPr>
          <w:sz w:val="22"/>
        </w:rPr>
        <w:t xml:space="preserve">the interplay between international </w:t>
      </w:r>
      <w:r w:rsidR="00800710" w:rsidRPr="005E3FA2">
        <w:rPr>
          <w:sz w:val="22"/>
        </w:rPr>
        <w:t xml:space="preserve">labour </w:t>
      </w:r>
      <w:r w:rsidRPr="005E3FA2">
        <w:rPr>
          <w:sz w:val="22"/>
        </w:rPr>
        <w:t>instruments (the ICRMW, the GCM, and relevant ILO Conventions) in national and regional labour migration practices, as well as the role of private-sector actors (</w:t>
      </w:r>
      <w:r w:rsidRPr="00452705">
        <w:rPr>
          <w:sz w:val="22"/>
        </w:rPr>
        <w:t>such as employers, recruitment agencies, and other intermediaries) in shaping those practices.</w:t>
      </w:r>
      <w:r w:rsidR="005E3FA2">
        <w:rPr>
          <w:sz w:val="22"/>
        </w:rPr>
        <w:t xml:space="preserve"> </w:t>
      </w:r>
    </w:p>
    <w:p w14:paraId="7AD74E45" w14:textId="77777777" w:rsidR="00BF2CC9" w:rsidRDefault="00BF2CC9" w:rsidP="005E3FA2">
      <w:pPr>
        <w:spacing w:after="0" w:line="240" w:lineRule="auto"/>
        <w:jc w:val="both"/>
        <w:rPr>
          <w:sz w:val="22"/>
        </w:rPr>
      </w:pPr>
    </w:p>
    <w:p w14:paraId="130B3615" w14:textId="70229C69" w:rsidR="003D367B" w:rsidRDefault="00452705" w:rsidP="005E3FA2">
      <w:pPr>
        <w:spacing w:after="0" w:line="240" w:lineRule="auto"/>
        <w:jc w:val="both"/>
        <w:rPr>
          <w:sz w:val="22"/>
        </w:rPr>
      </w:pPr>
      <w:r w:rsidRPr="00452705">
        <w:rPr>
          <w:sz w:val="22"/>
        </w:rPr>
        <w:t>We welcome papers that explore these themes through critical, legal, empirical, or comparative approaches, including contributions from disciplines such as law, socio-legal studies, political economy, business, and human resource management.</w:t>
      </w:r>
    </w:p>
    <w:p w14:paraId="30754154" w14:textId="77777777" w:rsidR="00BF2CC9" w:rsidRDefault="00BF2CC9" w:rsidP="005E3FA2">
      <w:pPr>
        <w:spacing w:after="0" w:line="240" w:lineRule="auto"/>
        <w:jc w:val="both"/>
        <w:rPr>
          <w:sz w:val="22"/>
        </w:rPr>
      </w:pPr>
    </w:p>
    <w:p w14:paraId="56B765B6" w14:textId="494F0A4F" w:rsidR="00BF2CC9" w:rsidRDefault="00BF2CC9" w:rsidP="005E3FA2">
      <w:pPr>
        <w:spacing w:after="0" w:line="240" w:lineRule="auto"/>
        <w:jc w:val="both"/>
        <w:rPr>
          <w:sz w:val="22"/>
        </w:rPr>
      </w:pPr>
      <w:r>
        <w:rPr>
          <w:sz w:val="22"/>
        </w:rPr>
        <w:t xml:space="preserve">A distinguished international journal / publisher will be approached to publish the volume </w:t>
      </w:r>
      <w:r w:rsidR="0028244C">
        <w:rPr>
          <w:sz w:val="22"/>
        </w:rPr>
        <w:t xml:space="preserve">pref. </w:t>
      </w:r>
      <w:r>
        <w:rPr>
          <w:sz w:val="22"/>
        </w:rPr>
        <w:t xml:space="preserve">open access. </w:t>
      </w:r>
    </w:p>
    <w:p w14:paraId="51129D31" w14:textId="77777777" w:rsidR="003D367B" w:rsidRDefault="003D367B" w:rsidP="003D367B">
      <w:pPr>
        <w:spacing w:after="0" w:line="240" w:lineRule="auto"/>
        <w:jc w:val="both"/>
        <w:rPr>
          <w:sz w:val="22"/>
        </w:rPr>
      </w:pPr>
    </w:p>
    <w:p w14:paraId="322CFBA7" w14:textId="77777777" w:rsidR="00DC2A7A" w:rsidRDefault="00DC2A7A" w:rsidP="003D367B">
      <w:pPr>
        <w:spacing w:after="0" w:line="240" w:lineRule="auto"/>
        <w:jc w:val="both"/>
        <w:rPr>
          <w:sz w:val="22"/>
        </w:rPr>
      </w:pPr>
    </w:p>
    <w:p w14:paraId="2A808701" w14:textId="7259E388" w:rsidR="009027AB" w:rsidRPr="003D367B" w:rsidRDefault="009027AB" w:rsidP="003D367B">
      <w:pPr>
        <w:spacing w:after="0" w:line="240" w:lineRule="auto"/>
        <w:jc w:val="both"/>
        <w:rPr>
          <w:sz w:val="22"/>
        </w:rPr>
      </w:pPr>
      <w:r w:rsidRPr="009027AB">
        <w:rPr>
          <w:rStyle w:val="Strong"/>
          <w:sz w:val="22"/>
          <w:szCs w:val="22"/>
        </w:rPr>
        <w:t>Timeline</w:t>
      </w:r>
      <w:r w:rsidR="005E3FA2">
        <w:rPr>
          <w:rStyle w:val="Strong"/>
          <w:sz w:val="22"/>
          <w:szCs w:val="22"/>
        </w:rPr>
        <w:t xml:space="preserve">: </w:t>
      </w:r>
    </w:p>
    <w:p w14:paraId="1FC7F8EC" w14:textId="77777777" w:rsidR="009027AB" w:rsidRPr="009027AB" w:rsidRDefault="009027AB" w:rsidP="009027AB">
      <w:pPr>
        <w:pStyle w:val="NormalWeb"/>
        <w:numPr>
          <w:ilvl w:val="0"/>
          <w:numId w:val="20"/>
        </w:numPr>
        <w:spacing w:before="0" w:beforeAutospacing="0" w:after="0" w:afterAutospacing="0"/>
        <w:rPr>
          <w:rFonts w:asciiTheme="minorHAnsi" w:hAnsiTheme="minorHAnsi"/>
          <w:sz w:val="22"/>
          <w:szCs w:val="22"/>
        </w:rPr>
      </w:pPr>
      <w:r w:rsidRPr="009027AB">
        <w:rPr>
          <w:rStyle w:val="Strong"/>
          <w:rFonts w:asciiTheme="minorHAnsi" w:eastAsiaTheme="majorEastAsia" w:hAnsiTheme="minorHAnsi"/>
          <w:b w:val="0"/>
          <w:bCs w:val="0"/>
          <w:sz w:val="22"/>
          <w:szCs w:val="22"/>
        </w:rPr>
        <w:t>Abstract submission:</w:t>
      </w:r>
      <w:r w:rsidRPr="009027AB">
        <w:rPr>
          <w:rFonts w:asciiTheme="minorHAnsi" w:hAnsiTheme="minorHAnsi"/>
          <w:b/>
          <w:bCs/>
          <w:sz w:val="22"/>
          <w:szCs w:val="22"/>
        </w:rPr>
        <w:t xml:space="preserve"> </w:t>
      </w:r>
      <w:r w:rsidRPr="009027AB">
        <w:rPr>
          <w:rFonts w:asciiTheme="minorHAnsi" w:hAnsiTheme="minorHAnsi"/>
          <w:sz w:val="22"/>
          <w:szCs w:val="22"/>
        </w:rPr>
        <w:t>15 January 2026</w:t>
      </w:r>
    </w:p>
    <w:p w14:paraId="55A53B1E" w14:textId="77777777" w:rsidR="009027AB" w:rsidRPr="009027AB" w:rsidRDefault="009027AB" w:rsidP="009027AB">
      <w:pPr>
        <w:pStyle w:val="NormalWeb"/>
        <w:numPr>
          <w:ilvl w:val="0"/>
          <w:numId w:val="20"/>
        </w:numPr>
        <w:spacing w:before="0" w:beforeAutospacing="0" w:after="0" w:afterAutospacing="0"/>
        <w:rPr>
          <w:rFonts w:asciiTheme="minorHAnsi" w:hAnsiTheme="minorHAnsi"/>
          <w:b/>
          <w:bCs/>
          <w:sz w:val="22"/>
          <w:szCs w:val="22"/>
        </w:rPr>
      </w:pPr>
      <w:r w:rsidRPr="009027AB">
        <w:rPr>
          <w:rStyle w:val="Strong"/>
          <w:rFonts w:asciiTheme="minorHAnsi" w:eastAsiaTheme="majorEastAsia" w:hAnsiTheme="minorHAnsi"/>
          <w:b w:val="0"/>
          <w:bCs w:val="0"/>
          <w:sz w:val="22"/>
          <w:szCs w:val="22"/>
        </w:rPr>
        <w:t>Notification of acceptance:</w:t>
      </w:r>
      <w:r w:rsidRPr="009027AB">
        <w:rPr>
          <w:rFonts w:asciiTheme="minorHAnsi" w:hAnsiTheme="minorHAnsi"/>
          <w:b/>
          <w:bCs/>
          <w:sz w:val="22"/>
          <w:szCs w:val="22"/>
        </w:rPr>
        <w:t xml:space="preserve"> </w:t>
      </w:r>
      <w:r w:rsidRPr="009027AB">
        <w:rPr>
          <w:rFonts w:asciiTheme="minorHAnsi" w:hAnsiTheme="minorHAnsi"/>
          <w:sz w:val="22"/>
          <w:szCs w:val="22"/>
        </w:rPr>
        <w:t>15 February 2026</w:t>
      </w:r>
    </w:p>
    <w:p w14:paraId="3ED9CF61" w14:textId="77777777" w:rsidR="009027AB" w:rsidRPr="009027AB" w:rsidRDefault="009027AB" w:rsidP="009027AB">
      <w:pPr>
        <w:pStyle w:val="NormalWeb"/>
        <w:numPr>
          <w:ilvl w:val="0"/>
          <w:numId w:val="20"/>
        </w:numPr>
        <w:spacing w:before="0" w:beforeAutospacing="0" w:after="0" w:afterAutospacing="0"/>
        <w:rPr>
          <w:rFonts w:asciiTheme="minorHAnsi" w:hAnsiTheme="minorHAnsi"/>
          <w:b/>
          <w:bCs/>
          <w:sz w:val="22"/>
          <w:szCs w:val="22"/>
        </w:rPr>
      </w:pPr>
      <w:r w:rsidRPr="009027AB">
        <w:rPr>
          <w:rStyle w:val="Strong"/>
          <w:rFonts w:asciiTheme="minorHAnsi" w:eastAsiaTheme="majorEastAsia" w:hAnsiTheme="minorHAnsi"/>
          <w:b w:val="0"/>
          <w:bCs w:val="0"/>
          <w:sz w:val="22"/>
          <w:szCs w:val="22"/>
        </w:rPr>
        <w:t>First draft submission:</w:t>
      </w:r>
      <w:r w:rsidRPr="009027AB">
        <w:rPr>
          <w:rFonts w:asciiTheme="minorHAnsi" w:hAnsiTheme="minorHAnsi"/>
          <w:b/>
          <w:bCs/>
          <w:sz w:val="22"/>
          <w:szCs w:val="22"/>
        </w:rPr>
        <w:t xml:space="preserve"> </w:t>
      </w:r>
      <w:r w:rsidRPr="009027AB">
        <w:rPr>
          <w:rFonts w:asciiTheme="minorHAnsi" w:hAnsiTheme="minorHAnsi"/>
          <w:sz w:val="22"/>
          <w:szCs w:val="22"/>
        </w:rPr>
        <w:t>Summer 2026</w:t>
      </w:r>
    </w:p>
    <w:p w14:paraId="44F5A224" w14:textId="563B15CA" w:rsidR="009027AB" w:rsidRPr="009027AB" w:rsidRDefault="009027AB" w:rsidP="009027AB">
      <w:pPr>
        <w:pStyle w:val="NormalWeb"/>
        <w:numPr>
          <w:ilvl w:val="0"/>
          <w:numId w:val="20"/>
        </w:numPr>
        <w:spacing w:before="0" w:beforeAutospacing="0" w:after="0" w:afterAutospacing="0"/>
        <w:rPr>
          <w:rFonts w:asciiTheme="minorHAnsi" w:hAnsiTheme="minorHAnsi"/>
          <w:b/>
          <w:bCs/>
          <w:sz w:val="22"/>
          <w:szCs w:val="22"/>
        </w:rPr>
      </w:pPr>
      <w:r w:rsidRPr="009027AB">
        <w:rPr>
          <w:rStyle w:val="Strong"/>
          <w:rFonts w:asciiTheme="minorHAnsi" w:eastAsiaTheme="majorEastAsia" w:hAnsiTheme="minorHAnsi"/>
          <w:b w:val="0"/>
          <w:bCs w:val="0"/>
          <w:sz w:val="22"/>
          <w:szCs w:val="22"/>
        </w:rPr>
        <w:t>Online workshop:</w:t>
      </w:r>
      <w:r w:rsidRPr="009027AB">
        <w:rPr>
          <w:rFonts w:asciiTheme="minorHAnsi" w:hAnsiTheme="minorHAnsi"/>
          <w:b/>
          <w:bCs/>
          <w:sz w:val="22"/>
          <w:szCs w:val="22"/>
        </w:rPr>
        <w:t xml:space="preserve"> </w:t>
      </w:r>
      <w:r w:rsidRPr="009027AB">
        <w:rPr>
          <w:rFonts w:asciiTheme="minorHAnsi" w:hAnsiTheme="minorHAnsi"/>
          <w:sz w:val="22"/>
          <w:szCs w:val="22"/>
        </w:rPr>
        <w:t>Summer</w:t>
      </w:r>
      <w:r w:rsidR="0028244C">
        <w:rPr>
          <w:rFonts w:asciiTheme="minorHAnsi" w:hAnsiTheme="minorHAnsi"/>
          <w:sz w:val="22"/>
          <w:szCs w:val="22"/>
        </w:rPr>
        <w:t>/Fall</w:t>
      </w:r>
      <w:r w:rsidRPr="009027AB">
        <w:rPr>
          <w:rFonts w:asciiTheme="minorHAnsi" w:hAnsiTheme="minorHAnsi"/>
          <w:sz w:val="22"/>
          <w:szCs w:val="22"/>
        </w:rPr>
        <w:t xml:space="preserve"> 2026</w:t>
      </w:r>
    </w:p>
    <w:p w14:paraId="1E5A1A1E" w14:textId="4E71DA9D" w:rsidR="009027AB" w:rsidRPr="009027AB" w:rsidRDefault="009027AB" w:rsidP="009027AB">
      <w:pPr>
        <w:pStyle w:val="NormalWeb"/>
        <w:numPr>
          <w:ilvl w:val="0"/>
          <w:numId w:val="20"/>
        </w:numPr>
        <w:spacing w:before="0" w:beforeAutospacing="0" w:after="0" w:afterAutospacing="0"/>
        <w:rPr>
          <w:rFonts w:asciiTheme="minorHAnsi" w:hAnsiTheme="minorHAnsi"/>
          <w:b/>
          <w:bCs/>
          <w:sz w:val="22"/>
          <w:szCs w:val="22"/>
        </w:rPr>
      </w:pPr>
      <w:r w:rsidRPr="009027AB">
        <w:rPr>
          <w:rStyle w:val="Strong"/>
          <w:rFonts w:asciiTheme="minorHAnsi" w:eastAsiaTheme="majorEastAsia" w:hAnsiTheme="minorHAnsi"/>
          <w:b w:val="0"/>
          <w:bCs w:val="0"/>
          <w:sz w:val="22"/>
          <w:szCs w:val="22"/>
        </w:rPr>
        <w:t>Final paper submission:</w:t>
      </w:r>
      <w:r w:rsidRPr="009027AB">
        <w:rPr>
          <w:rFonts w:asciiTheme="minorHAnsi" w:hAnsiTheme="minorHAnsi"/>
          <w:b/>
          <w:bCs/>
          <w:sz w:val="22"/>
          <w:szCs w:val="22"/>
        </w:rPr>
        <w:t xml:space="preserve"> </w:t>
      </w:r>
      <w:r w:rsidRPr="009027AB">
        <w:rPr>
          <w:rFonts w:asciiTheme="minorHAnsi" w:hAnsiTheme="minorHAnsi"/>
          <w:sz w:val="22"/>
          <w:szCs w:val="22"/>
        </w:rPr>
        <w:t>Fall</w:t>
      </w:r>
      <w:r w:rsidR="0028244C">
        <w:rPr>
          <w:rFonts w:asciiTheme="minorHAnsi" w:hAnsiTheme="minorHAnsi"/>
          <w:sz w:val="22"/>
          <w:szCs w:val="22"/>
        </w:rPr>
        <w:t>/Winter</w:t>
      </w:r>
      <w:r w:rsidRPr="009027AB">
        <w:rPr>
          <w:rFonts w:asciiTheme="minorHAnsi" w:hAnsiTheme="minorHAnsi"/>
          <w:sz w:val="22"/>
          <w:szCs w:val="22"/>
        </w:rPr>
        <w:t xml:space="preserve"> 2026</w:t>
      </w:r>
      <w:r w:rsidR="0028244C">
        <w:rPr>
          <w:rFonts w:asciiTheme="minorHAnsi" w:hAnsiTheme="minorHAnsi"/>
          <w:sz w:val="22"/>
          <w:szCs w:val="22"/>
        </w:rPr>
        <w:t>/2027</w:t>
      </w:r>
    </w:p>
    <w:p w14:paraId="6DF66749" w14:textId="74A3FC3C" w:rsidR="009027AB" w:rsidRPr="00DC2A7A" w:rsidRDefault="009027AB" w:rsidP="00DC2A7A">
      <w:pPr>
        <w:pStyle w:val="NormalWeb"/>
        <w:numPr>
          <w:ilvl w:val="0"/>
          <w:numId w:val="20"/>
        </w:numPr>
        <w:spacing w:before="0" w:beforeAutospacing="0" w:after="0" w:afterAutospacing="0"/>
        <w:rPr>
          <w:rFonts w:asciiTheme="minorHAnsi" w:hAnsiTheme="minorHAnsi"/>
          <w:b/>
          <w:bCs/>
          <w:sz w:val="22"/>
          <w:szCs w:val="22"/>
        </w:rPr>
      </w:pPr>
      <w:r w:rsidRPr="009027AB">
        <w:rPr>
          <w:rStyle w:val="Strong"/>
          <w:rFonts w:asciiTheme="minorHAnsi" w:eastAsiaTheme="majorEastAsia" w:hAnsiTheme="minorHAnsi"/>
          <w:b w:val="0"/>
          <w:bCs w:val="0"/>
          <w:sz w:val="22"/>
          <w:szCs w:val="22"/>
        </w:rPr>
        <w:t>Expected publication:</w:t>
      </w:r>
      <w:r w:rsidRPr="009027AB">
        <w:rPr>
          <w:rFonts w:asciiTheme="minorHAnsi" w:hAnsiTheme="minorHAnsi"/>
          <w:b/>
          <w:bCs/>
          <w:sz w:val="22"/>
          <w:szCs w:val="22"/>
        </w:rPr>
        <w:t xml:space="preserve"> </w:t>
      </w:r>
      <w:r w:rsidRPr="009027AB">
        <w:rPr>
          <w:rFonts w:asciiTheme="minorHAnsi" w:hAnsiTheme="minorHAnsi"/>
          <w:sz w:val="22"/>
          <w:szCs w:val="22"/>
        </w:rPr>
        <w:t>Summer/Fall 2027</w:t>
      </w:r>
    </w:p>
    <w:p w14:paraId="5E3D82BF" w14:textId="77777777" w:rsidR="00DC2A7A" w:rsidRPr="00DC2A7A" w:rsidRDefault="00DC2A7A" w:rsidP="00DC2A7A">
      <w:pPr>
        <w:pStyle w:val="NormalWeb"/>
        <w:spacing w:before="0" w:beforeAutospacing="0" w:after="0" w:afterAutospacing="0"/>
        <w:ind w:left="720"/>
        <w:rPr>
          <w:rFonts w:asciiTheme="minorHAnsi" w:hAnsiTheme="minorHAnsi"/>
          <w:b/>
          <w:bCs/>
          <w:sz w:val="22"/>
          <w:szCs w:val="22"/>
        </w:rPr>
      </w:pPr>
    </w:p>
    <w:p w14:paraId="0782AC74" w14:textId="1F65485C" w:rsidR="006C7A4C" w:rsidRDefault="0028244C" w:rsidP="00DC2A7A">
      <w:pPr>
        <w:spacing w:after="0" w:line="240" w:lineRule="auto"/>
        <w:jc w:val="both"/>
        <w:rPr>
          <w:sz w:val="22"/>
          <w:szCs w:val="22"/>
        </w:rPr>
      </w:pPr>
      <w:r>
        <w:rPr>
          <w:sz w:val="22"/>
          <w:szCs w:val="22"/>
        </w:rPr>
        <w:t>250 word paper p</w:t>
      </w:r>
      <w:r w:rsidR="008650C0" w:rsidRPr="004C537E">
        <w:rPr>
          <w:sz w:val="22"/>
          <w:szCs w:val="22"/>
        </w:rPr>
        <w:t xml:space="preserve">roposals </w:t>
      </w:r>
      <w:r>
        <w:rPr>
          <w:sz w:val="22"/>
          <w:szCs w:val="22"/>
        </w:rPr>
        <w:t xml:space="preserve">and an author(s) bio </w:t>
      </w:r>
      <w:r w:rsidR="008650C0" w:rsidRPr="004C537E">
        <w:rPr>
          <w:sz w:val="22"/>
          <w:szCs w:val="22"/>
        </w:rPr>
        <w:t>can be emailed to Younous Arbaoui</w:t>
      </w:r>
      <w:r w:rsidR="008650C0">
        <w:rPr>
          <w:sz w:val="22"/>
          <w:szCs w:val="22"/>
        </w:rPr>
        <w:t xml:space="preserve"> </w:t>
      </w:r>
      <w:r w:rsidR="008650C0" w:rsidRPr="0087073E">
        <w:rPr>
          <w:i/>
          <w:iCs/>
          <w:sz w:val="22"/>
          <w:szCs w:val="22"/>
        </w:rPr>
        <w:t>and</w:t>
      </w:r>
      <w:r w:rsidR="008650C0" w:rsidRPr="004C537E">
        <w:rPr>
          <w:sz w:val="22"/>
          <w:szCs w:val="22"/>
        </w:rPr>
        <w:t xml:space="preserve"> Tesseltje de Lange</w:t>
      </w:r>
      <w:r w:rsidR="008650C0">
        <w:rPr>
          <w:sz w:val="22"/>
          <w:szCs w:val="22"/>
        </w:rPr>
        <w:t xml:space="preserve"> </w:t>
      </w:r>
      <w:r w:rsidR="0087073E">
        <w:rPr>
          <w:sz w:val="22"/>
          <w:szCs w:val="22"/>
        </w:rPr>
        <w:t>(</w:t>
      </w:r>
      <w:hyperlink r:id="rId10" w:history="1">
        <w:r w:rsidR="0087073E" w:rsidRPr="001C715B">
          <w:rPr>
            <w:rStyle w:val="Hyperlink"/>
            <w:sz w:val="22"/>
            <w:szCs w:val="22"/>
          </w:rPr>
          <w:t>y.arbaoui@vu.nl</w:t>
        </w:r>
      </w:hyperlink>
      <w:r w:rsidR="0087073E">
        <w:rPr>
          <w:sz w:val="22"/>
          <w:szCs w:val="22"/>
        </w:rPr>
        <w:t xml:space="preserve">; </w:t>
      </w:r>
      <w:hyperlink r:id="rId11" w:history="1">
        <w:r w:rsidR="0087073E" w:rsidRPr="001C715B">
          <w:rPr>
            <w:rStyle w:val="Hyperlink"/>
            <w:sz w:val="22"/>
            <w:szCs w:val="22"/>
          </w:rPr>
          <w:t>Tesseltje.delange@ru.nl</w:t>
        </w:r>
      </w:hyperlink>
      <w:r w:rsidR="008650C0">
        <w:rPr>
          <w:sz w:val="22"/>
          <w:szCs w:val="22"/>
        </w:rPr>
        <w:t xml:space="preserve">). </w:t>
      </w:r>
      <w:r w:rsidR="008650C0" w:rsidRPr="004C537E">
        <w:rPr>
          <w:sz w:val="22"/>
          <w:szCs w:val="22"/>
        </w:rPr>
        <w:t xml:space="preserve"> </w:t>
      </w:r>
    </w:p>
    <w:p w14:paraId="59686747" w14:textId="125C6295" w:rsidR="00955990" w:rsidRDefault="00D418EA" w:rsidP="00C77501">
      <w:pPr>
        <w:pStyle w:val="Header"/>
        <w:tabs>
          <w:tab w:val="clear" w:pos="4513"/>
          <w:tab w:val="clear" w:pos="9026"/>
          <w:tab w:val="right" w:pos="9360"/>
        </w:tabs>
        <w:rPr>
          <w:noProof/>
        </w:rPr>
      </w:pPr>
      <w:r>
        <w:rPr>
          <w:noProof/>
        </w:rPr>
        <w:drawing>
          <wp:inline distT="0" distB="0" distL="0" distR="0" wp14:anchorId="36F36370" wp14:editId="0DAB6173">
            <wp:extent cx="2039042" cy="1304925"/>
            <wp:effectExtent l="0" t="0" r="0" b="0"/>
            <wp:docPr id="1352488788" name="Picture 6" descr="A logo with red and grey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88788" name="Picture 6" descr="A logo with red and grey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5514" cy="1309067"/>
                    </a:xfrm>
                    <a:prstGeom prst="rect">
                      <a:avLst/>
                    </a:prstGeom>
                    <a:noFill/>
                  </pic:spPr>
                </pic:pic>
              </a:graphicData>
            </a:graphic>
          </wp:inline>
        </w:drawing>
      </w:r>
      <w:r w:rsidR="000B3625">
        <w:rPr>
          <w:noProof/>
        </w:rPr>
        <w:t xml:space="preserve">  </w:t>
      </w:r>
      <w:r w:rsidR="005232BF">
        <w:rPr>
          <w:i/>
          <w:iCs/>
          <w:noProof/>
          <w:color w:val="4472C4"/>
          <w:sz w:val="22"/>
          <w:szCs w:val="22"/>
          <w:bdr w:val="none" w:sz="0" w:space="0" w:color="auto" w:frame="1"/>
        </w:rPr>
        <w:drawing>
          <wp:inline distT="0" distB="0" distL="0" distR="0" wp14:anchorId="63842B53" wp14:editId="4F718046">
            <wp:extent cx="2266950" cy="473254"/>
            <wp:effectExtent l="0" t="0" r="0" b="3175"/>
            <wp:docPr id="2046360036" name="Picture 4"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60036" name="Picture 4" descr="A black background with red text&#10;&#10;AI-generated content may be incorrect."/>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310078" cy="482257"/>
                    </a:xfrm>
                    <a:prstGeom prst="rect">
                      <a:avLst/>
                    </a:prstGeom>
                    <a:noFill/>
                    <a:ln>
                      <a:noFill/>
                    </a:ln>
                  </pic:spPr>
                </pic:pic>
              </a:graphicData>
            </a:graphic>
          </wp:inline>
        </w:drawing>
      </w:r>
      <w:r w:rsidR="00A669D0">
        <w:rPr>
          <w:noProof/>
        </w:rPr>
        <w:t xml:space="preserve">                  </w:t>
      </w:r>
      <w:r w:rsidR="00A669D0">
        <w:rPr>
          <w:noProof/>
        </w:rPr>
        <w:drawing>
          <wp:inline distT="0" distB="0" distL="0" distR="0" wp14:anchorId="3AC40E04" wp14:editId="6E41549C">
            <wp:extent cx="1552575" cy="1552575"/>
            <wp:effectExtent l="0" t="0" r="0" b="0"/>
            <wp:docPr id="2" name="Picture 1" descr="A logo with a butterf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a butterfly&#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p>
    <w:p w14:paraId="79A2D1DC" w14:textId="77777777" w:rsidR="005232BF" w:rsidRDefault="005232BF" w:rsidP="00C77501">
      <w:pPr>
        <w:pStyle w:val="Header"/>
        <w:tabs>
          <w:tab w:val="clear" w:pos="4513"/>
          <w:tab w:val="clear" w:pos="9026"/>
          <w:tab w:val="right" w:pos="9360"/>
        </w:tabs>
        <w:rPr>
          <w:noProof/>
        </w:rPr>
      </w:pPr>
    </w:p>
    <w:p w14:paraId="32ED6597" w14:textId="026F8F15" w:rsidR="00C77501" w:rsidRPr="00C77501" w:rsidRDefault="00BF2CC9" w:rsidP="00C77501">
      <w:pPr>
        <w:pStyle w:val="Header"/>
        <w:tabs>
          <w:tab w:val="clear" w:pos="4513"/>
          <w:tab w:val="clear" w:pos="9026"/>
          <w:tab w:val="right" w:pos="9360"/>
        </w:tabs>
        <w:rPr>
          <w:noProof/>
        </w:rPr>
      </w:pPr>
      <w:r>
        <w:rPr>
          <w:noProof/>
        </w:rPr>
        <w:drawing>
          <wp:inline distT="0" distB="0" distL="0" distR="0" wp14:anchorId="0CD0C404" wp14:editId="16960D23">
            <wp:extent cx="5160645" cy="808990"/>
            <wp:effectExtent l="0" t="0" r="1905" b="10160"/>
            <wp:docPr id="307459369" name="Picture 11" descr="A logo with blue and purpl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59369" name="Picture 11" descr="A logo with blue and purple lines&#10;&#10;AI-generated content may be incorrect."/>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5160645" cy="808990"/>
                    </a:xfrm>
                    <a:prstGeom prst="rect">
                      <a:avLst/>
                    </a:prstGeom>
                    <a:noFill/>
                    <a:ln>
                      <a:noFill/>
                    </a:ln>
                  </pic:spPr>
                </pic:pic>
              </a:graphicData>
            </a:graphic>
          </wp:inline>
        </w:drawing>
      </w:r>
    </w:p>
    <w:p w14:paraId="12785B69" w14:textId="60A0E425" w:rsidR="00955990" w:rsidRPr="004C537E" w:rsidRDefault="00955990" w:rsidP="007D17AA">
      <w:pPr>
        <w:spacing w:after="0" w:line="240" w:lineRule="auto"/>
        <w:jc w:val="both"/>
        <w:rPr>
          <w:sz w:val="22"/>
          <w:szCs w:val="22"/>
        </w:rPr>
      </w:pPr>
    </w:p>
    <w:sectPr w:rsidR="00955990" w:rsidRPr="004C537E" w:rsidSect="00BF2CC9">
      <w:headerReference w:type="default" r:id="rId18"/>
      <w:footerReference w:type="default" r:id="rId19"/>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4877" w14:textId="77777777" w:rsidR="008D68C9" w:rsidRDefault="008D68C9" w:rsidP="00BC77B1">
      <w:pPr>
        <w:spacing w:after="0" w:line="240" w:lineRule="auto"/>
      </w:pPr>
      <w:r>
        <w:separator/>
      </w:r>
    </w:p>
  </w:endnote>
  <w:endnote w:type="continuationSeparator" w:id="0">
    <w:p w14:paraId="06F15AD1" w14:textId="77777777" w:rsidR="008D68C9" w:rsidRDefault="008D68C9" w:rsidP="00BC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26A0" w14:textId="1B1C5CD0" w:rsidR="0068069F" w:rsidRDefault="00557E5A" w:rsidP="00557E5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BDBE" w14:textId="77777777" w:rsidR="008D68C9" w:rsidRDefault="008D68C9" w:rsidP="00BC77B1">
      <w:pPr>
        <w:spacing w:after="0" w:line="240" w:lineRule="auto"/>
      </w:pPr>
      <w:r>
        <w:separator/>
      </w:r>
    </w:p>
  </w:footnote>
  <w:footnote w:type="continuationSeparator" w:id="0">
    <w:p w14:paraId="65704EA9" w14:textId="77777777" w:rsidR="008D68C9" w:rsidRDefault="008D68C9" w:rsidP="00BC7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71DD" w14:textId="77777777" w:rsidR="0090341E" w:rsidRDefault="0090341E" w:rsidP="0090341E">
    <w:pPr>
      <w:pStyle w:val="Header"/>
      <w:tabs>
        <w:tab w:val="clear" w:pos="4513"/>
        <w:tab w:val="clear" w:pos="9026"/>
        <w:tab w:val="right" w:pos="9360"/>
      </w:tabs>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6068"/>
    <w:multiLevelType w:val="multilevel"/>
    <w:tmpl w:val="73842894"/>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A5BEF"/>
    <w:multiLevelType w:val="hybridMultilevel"/>
    <w:tmpl w:val="71322878"/>
    <w:lvl w:ilvl="0" w:tplc="E346B678">
      <w:start w:val="1"/>
      <w:numFmt w:val="bullet"/>
      <w:lvlText w:val="-"/>
      <w:lvlJc w:val="left"/>
      <w:pPr>
        <w:ind w:left="720" w:hanging="360"/>
      </w:pPr>
      <w:rPr>
        <w:rFonts w:ascii="Aptos" w:hAnsi="Aptos" w:hint="default"/>
      </w:rPr>
    </w:lvl>
    <w:lvl w:ilvl="1" w:tplc="86C2411E">
      <w:start w:val="1"/>
      <w:numFmt w:val="bullet"/>
      <w:lvlText w:val="o"/>
      <w:lvlJc w:val="left"/>
      <w:pPr>
        <w:ind w:left="1440" w:hanging="360"/>
      </w:pPr>
      <w:rPr>
        <w:rFonts w:ascii="Courier New" w:hAnsi="Courier New" w:hint="default"/>
      </w:rPr>
    </w:lvl>
    <w:lvl w:ilvl="2" w:tplc="81A4EF28">
      <w:start w:val="1"/>
      <w:numFmt w:val="bullet"/>
      <w:lvlText w:val=""/>
      <w:lvlJc w:val="left"/>
      <w:pPr>
        <w:ind w:left="2160" w:hanging="360"/>
      </w:pPr>
      <w:rPr>
        <w:rFonts w:ascii="Wingdings" w:hAnsi="Wingdings" w:hint="default"/>
      </w:rPr>
    </w:lvl>
    <w:lvl w:ilvl="3" w:tplc="5D04BF90">
      <w:start w:val="1"/>
      <w:numFmt w:val="bullet"/>
      <w:lvlText w:val=""/>
      <w:lvlJc w:val="left"/>
      <w:pPr>
        <w:ind w:left="2880" w:hanging="360"/>
      </w:pPr>
      <w:rPr>
        <w:rFonts w:ascii="Symbol" w:hAnsi="Symbol" w:hint="default"/>
      </w:rPr>
    </w:lvl>
    <w:lvl w:ilvl="4" w:tplc="93A81092">
      <w:start w:val="1"/>
      <w:numFmt w:val="bullet"/>
      <w:lvlText w:val="o"/>
      <w:lvlJc w:val="left"/>
      <w:pPr>
        <w:ind w:left="3600" w:hanging="360"/>
      </w:pPr>
      <w:rPr>
        <w:rFonts w:ascii="Courier New" w:hAnsi="Courier New" w:hint="default"/>
      </w:rPr>
    </w:lvl>
    <w:lvl w:ilvl="5" w:tplc="37E4802E">
      <w:start w:val="1"/>
      <w:numFmt w:val="bullet"/>
      <w:lvlText w:val=""/>
      <w:lvlJc w:val="left"/>
      <w:pPr>
        <w:ind w:left="4320" w:hanging="360"/>
      </w:pPr>
      <w:rPr>
        <w:rFonts w:ascii="Wingdings" w:hAnsi="Wingdings" w:hint="default"/>
      </w:rPr>
    </w:lvl>
    <w:lvl w:ilvl="6" w:tplc="D7021BAC">
      <w:start w:val="1"/>
      <w:numFmt w:val="bullet"/>
      <w:lvlText w:val=""/>
      <w:lvlJc w:val="left"/>
      <w:pPr>
        <w:ind w:left="5040" w:hanging="360"/>
      </w:pPr>
      <w:rPr>
        <w:rFonts w:ascii="Symbol" w:hAnsi="Symbol" w:hint="default"/>
      </w:rPr>
    </w:lvl>
    <w:lvl w:ilvl="7" w:tplc="FA9AB364">
      <w:start w:val="1"/>
      <w:numFmt w:val="bullet"/>
      <w:lvlText w:val="o"/>
      <w:lvlJc w:val="left"/>
      <w:pPr>
        <w:ind w:left="5760" w:hanging="360"/>
      </w:pPr>
      <w:rPr>
        <w:rFonts w:ascii="Courier New" w:hAnsi="Courier New" w:hint="default"/>
      </w:rPr>
    </w:lvl>
    <w:lvl w:ilvl="8" w:tplc="A63E1FD8">
      <w:start w:val="1"/>
      <w:numFmt w:val="bullet"/>
      <w:lvlText w:val=""/>
      <w:lvlJc w:val="left"/>
      <w:pPr>
        <w:ind w:left="6480" w:hanging="360"/>
      </w:pPr>
      <w:rPr>
        <w:rFonts w:ascii="Wingdings" w:hAnsi="Wingdings" w:hint="default"/>
      </w:rPr>
    </w:lvl>
  </w:abstractNum>
  <w:abstractNum w:abstractNumId="2" w15:restartNumberingAfterBreak="0">
    <w:nsid w:val="19B270AD"/>
    <w:multiLevelType w:val="multilevel"/>
    <w:tmpl w:val="D3B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4FE78"/>
    <w:multiLevelType w:val="hybridMultilevel"/>
    <w:tmpl w:val="9D344D2C"/>
    <w:lvl w:ilvl="0" w:tplc="1EB6B360">
      <w:start w:val="1"/>
      <w:numFmt w:val="bullet"/>
      <w:lvlText w:val="-"/>
      <w:lvlJc w:val="left"/>
      <w:pPr>
        <w:ind w:left="720" w:hanging="360"/>
      </w:pPr>
      <w:rPr>
        <w:rFonts w:ascii="Aptos" w:hAnsi="Aptos" w:hint="default"/>
      </w:rPr>
    </w:lvl>
    <w:lvl w:ilvl="1" w:tplc="E4EA8840">
      <w:start w:val="1"/>
      <w:numFmt w:val="bullet"/>
      <w:lvlText w:val="o"/>
      <w:lvlJc w:val="left"/>
      <w:pPr>
        <w:ind w:left="1440" w:hanging="360"/>
      </w:pPr>
      <w:rPr>
        <w:rFonts w:ascii="Courier New" w:hAnsi="Courier New" w:hint="default"/>
      </w:rPr>
    </w:lvl>
    <w:lvl w:ilvl="2" w:tplc="6360E9FA">
      <w:start w:val="1"/>
      <w:numFmt w:val="bullet"/>
      <w:lvlText w:val=""/>
      <w:lvlJc w:val="left"/>
      <w:pPr>
        <w:ind w:left="2160" w:hanging="360"/>
      </w:pPr>
      <w:rPr>
        <w:rFonts w:ascii="Wingdings" w:hAnsi="Wingdings" w:hint="default"/>
      </w:rPr>
    </w:lvl>
    <w:lvl w:ilvl="3" w:tplc="9E9EACF4">
      <w:start w:val="1"/>
      <w:numFmt w:val="bullet"/>
      <w:lvlText w:val=""/>
      <w:lvlJc w:val="left"/>
      <w:pPr>
        <w:ind w:left="2880" w:hanging="360"/>
      </w:pPr>
      <w:rPr>
        <w:rFonts w:ascii="Symbol" w:hAnsi="Symbol" w:hint="default"/>
      </w:rPr>
    </w:lvl>
    <w:lvl w:ilvl="4" w:tplc="A4EC7350">
      <w:start w:val="1"/>
      <w:numFmt w:val="bullet"/>
      <w:lvlText w:val="o"/>
      <w:lvlJc w:val="left"/>
      <w:pPr>
        <w:ind w:left="3600" w:hanging="360"/>
      </w:pPr>
      <w:rPr>
        <w:rFonts w:ascii="Courier New" w:hAnsi="Courier New" w:hint="default"/>
      </w:rPr>
    </w:lvl>
    <w:lvl w:ilvl="5" w:tplc="1D36E8A4">
      <w:start w:val="1"/>
      <w:numFmt w:val="bullet"/>
      <w:lvlText w:val=""/>
      <w:lvlJc w:val="left"/>
      <w:pPr>
        <w:ind w:left="4320" w:hanging="360"/>
      </w:pPr>
      <w:rPr>
        <w:rFonts w:ascii="Wingdings" w:hAnsi="Wingdings" w:hint="default"/>
      </w:rPr>
    </w:lvl>
    <w:lvl w:ilvl="6" w:tplc="73144834">
      <w:start w:val="1"/>
      <w:numFmt w:val="bullet"/>
      <w:lvlText w:val=""/>
      <w:lvlJc w:val="left"/>
      <w:pPr>
        <w:ind w:left="5040" w:hanging="360"/>
      </w:pPr>
      <w:rPr>
        <w:rFonts w:ascii="Symbol" w:hAnsi="Symbol" w:hint="default"/>
      </w:rPr>
    </w:lvl>
    <w:lvl w:ilvl="7" w:tplc="53183D1A">
      <w:start w:val="1"/>
      <w:numFmt w:val="bullet"/>
      <w:lvlText w:val="o"/>
      <w:lvlJc w:val="left"/>
      <w:pPr>
        <w:ind w:left="5760" w:hanging="360"/>
      </w:pPr>
      <w:rPr>
        <w:rFonts w:ascii="Courier New" w:hAnsi="Courier New" w:hint="default"/>
      </w:rPr>
    </w:lvl>
    <w:lvl w:ilvl="8" w:tplc="7DBE45C4">
      <w:start w:val="1"/>
      <w:numFmt w:val="bullet"/>
      <w:lvlText w:val=""/>
      <w:lvlJc w:val="left"/>
      <w:pPr>
        <w:ind w:left="6480" w:hanging="360"/>
      </w:pPr>
      <w:rPr>
        <w:rFonts w:ascii="Wingdings" w:hAnsi="Wingdings" w:hint="default"/>
      </w:rPr>
    </w:lvl>
  </w:abstractNum>
  <w:abstractNum w:abstractNumId="4" w15:restartNumberingAfterBreak="0">
    <w:nsid w:val="22FE244A"/>
    <w:multiLevelType w:val="multilevel"/>
    <w:tmpl w:val="D46E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37E9D"/>
    <w:multiLevelType w:val="multilevel"/>
    <w:tmpl w:val="73842894"/>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646D0"/>
    <w:multiLevelType w:val="hybridMultilevel"/>
    <w:tmpl w:val="3A24DDBA"/>
    <w:lvl w:ilvl="0" w:tplc="98A8DE36">
      <w:numFmt w:val="bullet"/>
      <w:lvlText w:val="-"/>
      <w:lvlJc w:val="left"/>
      <w:pPr>
        <w:ind w:left="720" w:hanging="360"/>
      </w:pPr>
      <w:rPr>
        <w:rFonts w:ascii="Aptos" w:eastAsia="Aptos" w:hAnsi="Apto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A3E4D29"/>
    <w:multiLevelType w:val="hybridMultilevel"/>
    <w:tmpl w:val="DBD639FE"/>
    <w:lvl w:ilvl="0" w:tplc="7B5CDB84">
      <w:numFmt w:val="bullet"/>
      <w:lvlText w:val="-"/>
      <w:lvlJc w:val="left"/>
      <w:pPr>
        <w:ind w:left="720" w:hanging="360"/>
      </w:pPr>
      <w:rPr>
        <w:rFonts w:ascii="Aptos" w:eastAsia="Aptos" w:hAnsi="Aptos" w:cs="Aria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 w15:restartNumberingAfterBreak="0">
    <w:nsid w:val="305C0229"/>
    <w:multiLevelType w:val="hybridMultilevel"/>
    <w:tmpl w:val="17486AA2"/>
    <w:lvl w:ilvl="0" w:tplc="1EB6B360">
      <w:start w:val="1"/>
      <w:numFmt w:val="bullet"/>
      <w:lvlText w:val="-"/>
      <w:lvlJc w:val="left"/>
      <w:pPr>
        <w:ind w:left="1080" w:hanging="360"/>
      </w:pPr>
      <w:rPr>
        <w:rFonts w:ascii="Aptos" w:hAnsi="Aptos"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15:restartNumberingAfterBreak="0">
    <w:nsid w:val="4165384B"/>
    <w:multiLevelType w:val="hybridMultilevel"/>
    <w:tmpl w:val="ADDC83CA"/>
    <w:lvl w:ilvl="0" w:tplc="7FB6E326">
      <w:start w:val="1"/>
      <w:numFmt w:val="bullet"/>
      <w:lvlText w:val="-"/>
      <w:lvlJc w:val="left"/>
      <w:pPr>
        <w:ind w:left="720" w:hanging="360"/>
      </w:pPr>
      <w:rPr>
        <w:rFonts w:ascii="Aptos" w:hAnsi="Aptos" w:hint="default"/>
      </w:rPr>
    </w:lvl>
    <w:lvl w:ilvl="1" w:tplc="A7561722">
      <w:start w:val="1"/>
      <w:numFmt w:val="bullet"/>
      <w:lvlText w:val="o"/>
      <w:lvlJc w:val="left"/>
      <w:pPr>
        <w:ind w:left="1440" w:hanging="360"/>
      </w:pPr>
      <w:rPr>
        <w:rFonts w:ascii="Courier New" w:hAnsi="Courier New" w:hint="default"/>
      </w:rPr>
    </w:lvl>
    <w:lvl w:ilvl="2" w:tplc="E6AE2CB4">
      <w:start w:val="1"/>
      <w:numFmt w:val="bullet"/>
      <w:lvlText w:val=""/>
      <w:lvlJc w:val="left"/>
      <w:pPr>
        <w:ind w:left="2160" w:hanging="360"/>
      </w:pPr>
      <w:rPr>
        <w:rFonts w:ascii="Wingdings" w:hAnsi="Wingdings" w:hint="default"/>
      </w:rPr>
    </w:lvl>
    <w:lvl w:ilvl="3" w:tplc="73BA1E98">
      <w:start w:val="1"/>
      <w:numFmt w:val="bullet"/>
      <w:lvlText w:val=""/>
      <w:lvlJc w:val="left"/>
      <w:pPr>
        <w:ind w:left="2880" w:hanging="360"/>
      </w:pPr>
      <w:rPr>
        <w:rFonts w:ascii="Symbol" w:hAnsi="Symbol" w:hint="default"/>
      </w:rPr>
    </w:lvl>
    <w:lvl w:ilvl="4" w:tplc="35F44F20">
      <w:start w:val="1"/>
      <w:numFmt w:val="bullet"/>
      <w:lvlText w:val="o"/>
      <w:lvlJc w:val="left"/>
      <w:pPr>
        <w:ind w:left="3600" w:hanging="360"/>
      </w:pPr>
      <w:rPr>
        <w:rFonts w:ascii="Courier New" w:hAnsi="Courier New" w:hint="default"/>
      </w:rPr>
    </w:lvl>
    <w:lvl w:ilvl="5" w:tplc="D3C258B8">
      <w:start w:val="1"/>
      <w:numFmt w:val="bullet"/>
      <w:lvlText w:val=""/>
      <w:lvlJc w:val="left"/>
      <w:pPr>
        <w:ind w:left="4320" w:hanging="360"/>
      </w:pPr>
      <w:rPr>
        <w:rFonts w:ascii="Wingdings" w:hAnsi="Wingdings" w:hint="default"/>
      </w:rPr>
    </w:lvl>
    <w:lvl w:ilvl="6" w:tplc="EE864860">
      <w:start w:val="1"/>
      <w:numFmt w:val="bullet"/>
      <w:lvlText w:val=""/>
      <w:lvlJc w:val="left"/>
      <w:pPr>
        <w:ind w:left="5040" w:hanging="360"/>
      </w:pPr>
      <w:rPr>
        <w:rFonts w:ascii="Symbol" w:hAnsi="Symbol" w:hint="default"/>
      </w:rPr>
    </w:lvl>
    <w:lvl w:ilvl="7" w:tplc="02A48E1C">
      <w:start w:val="1"/>
      <w:numFmt w:val="bullet"/>
      <w:lvlText w:val="o"/>
      <w:lvlJc w:val="left"/>
      <w:pPr>
        <w:ind w:left="5760" w:hanging="360"/>
      </w:pPr>
      <w:rPr>
        <w:rFonts w:ascii="Courier New" w:hAnsi="Courier New" w:hint="default"/>
      </w:rPr>
    </w:lvl>
    <w:lvl w:ilvl="8" w:tplc="425C466C">
      <w:start w:val="1"/>
      <w:numFmt w:val="bullet"/>
      <w:lvlText w:val=""/>
      <w:lvlJc w:val="left"/>
      <w:pPr>
        <w:ind w:left="6480" w:hanging="360"/>
      </w:pPr>
      <w:rPr>
        <w:rFonts w:ascii="Wingdings" w:hAnsi="Wingdings" w:hint="default"/>
      </w:rPr>
    </w:lvl>
  </w:abstractNum>
  <w:abstractNum w:abstractNumId="10" w15:restartNumberingAfterBreak="0">
    <w:nsid w:val="486F0920"/>
    <w:multiLevelType w:val="multilevel"/>
    <w:tmpl w:val="63EE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84F54"/>
    <w:multiLevelType w:val="multilevel"/>
    <w:tmpl w:val="FFA879E4"/>
    <w:lvl w:ilvl="0">
      <w:start w:val="1"/>
      <w:numFmt w:val="bullet"/>
      <w:lvlText w:val="-"/>
      <w:lvlJc w:val="left"/>
      <w:pPr>
        <w:tabs>
          <w:tab w:val="num" w:pos="720"/>
        </w:tabs>
        <w:ind w:left="720" w:hanging="360"/>
      </w:pPr>
      <w:rPr>
        <w:rFonts w:ascii="Palatino Linotype" w:eastAsia="Times New Roman" w:hAnsi="Palatino Linotype"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2318C2"/>
    <w:multiLevelType w:val="multilevel"/>
    <w:tmpl w:val="73842894"/>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BC2503"/>
    <w:multiLevelType w:val="multilevel"/>
    <w:tmpl w:val="FFA879E4"/>
    <w:lvl w:ilvl="0">
      <w:start w:val="1"/>
      <w:numFmt w:val="bullet"/>
      <w:lvlText w:val="-"/>
      <w:lvlJc w:val="left"/>
      <w:pPr>
        <w:tabs>
          <w:tab w:val="num" w:pos="720"/>
        </w:tabs>
        <w:ind w:left="720" w:hanging="360"/>
      </w:pPr>
      <w:rPr>
        <w:rFonts w:ascii="Palatino Linotype" w:eastAsia="Times New Roman" w:hAnsi="Palatino Linotype"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374E20"/>
    <w:multiLevelType w:val="hybridMultilevel"/>
    <w:tmpl w:val="E55A55DA"/>
    <w:lvl w:ilvl="0" w:tplc="41F828C8">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EB51AA"/>
    <w:multiLevelType w:val="multilevel"/>
    <w:tmpl w:val="21C6058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5F6F2"/>
    <w:multiLevelType w:val="hybridMultilevel"/>
    <w:tmpl w:val="C3F6534C"/>
    <w:lvl w:ilvl="0" w:tplc="DF1CE9C2">
      <w:start w:val="1"/>
      <w:numFmt w:val="bullet"/>
      <w:lvlText w:val="-"/>
      <w:lvlJc w:val="left"/>
      <w:pPr>
        <w:ind w:left="720" w:hanging="360"/>
      </w:pPr>
      <w:rPr>
        <w:rFonts w:ascii="Aptos" w:hAnsi="Aptos" w:hint="default"/>
      </w:rPr>
    </w:lvl>
    <w:lvl w:ilvl="1" w:tplc="47502C94">
      <w:start w:val="1"/>
      <w:numFmt w:val="bullet"/>
      <w:lvlText w:val="o"/>
      <w:lvlJc w:val="left"/>
      <w:pPr>
        <w:ind w:left="1440" w:hanging="360"/>
      </w:pPr>
      <w:rPr>
        <w:rFonts w:ascii="Courier New" w:hAnsi="Courier New" w:hint="default"/>
      </w:rPr>
    </w:lvl>
    <w:lvl w:ilvl="2" w:tplc="9C3AC27C">
      <w:start w:val="1"/>
      <w:numFmt w:val="bullet"/>
      <w:lvlText w:val=""/>
      <w:lvlJc w:val="left"/>
      <w:pPr>
        <w:ind w:left="2160" w:hanging="360"/>
      </w:pPr>
      <w:rPr>
        <w:rFonts w:ascii="Wingdings" w:hAnsi="Wingdings" w:hint="default"/>
      </w:rPr>
    </w:lvl>
    <w:lvl w:ilvl="3" w:tplc="C2781854">
      <w:start w:val="1"/>
      <w:numFmt w:val="bullet"/>
      <w:lvlText w:val=""/>
      <w:lvlJc w:val="left"/>
      <w:pPr>
        <w:ind w:left="2880" w:hanging="360"/>
      </w:pPr>
      <w:rPr>
        <w:rFonts w:ascii="Symbol" w:hAnsi="Symbol" w:hint="default"/>
      </w:rPr>
    </w:lvl>
    <w:lvl w:ilvl="4" w:tplc="9FB68EE2">
      <w:start w:val="1"/>
      <w:numFmt w:val="bullet"/>
      <w:lvlText w:val="o"/>
      <w:lvlJc w:val="left"/>
      <w:pPr>
        <w:ind w:left="3600" w:hanging="360"/>
      </w:pPr>
      <w:rPr>
        <w:rFonts w:ascii="Courier New" w:hAnsi="Courier New" w:hint="default"/>
      </w:rPr>
    </w:lvl>
    <w:lvl w:ilvl="5" w:tplc="DF705D28">
      <w:start w:val="1"/>
      <w:numFmt w:val="bullet"/>
      <w:lvlText w:val=""/>
      <w:lvlJc w:val="left"/>
      <w:pPr>
        <w:ind w:left="4320" w:hanging="360"/>
      </w:pPr>
      <w:rPr>
        <w:rFonts w:ascii="Wingdings" w:hAnsi="Wingdings" w:hint="default"/>
      </w:rPr>
    </w:lvl>
    <w:lvl w:ilvl="6" w:tplc="4A60BDD4">
      <w:start w:val="1"/>
      <w:numFmt w:val="bullet"/>
      <w:lvlText w:val=""/>
      <w:lvlJc w:val="left"/>
      <w:pPr>
        <w:ind w:left="5040" w:hanging="360"/>
      </w:pPr>
      <w:rPr>
        <w:rFonts w:ascii="Symbol" w:hAnsi="Symbol" w:hint="default"/>
      </w:rPr>
    </w:lvl>
    <w:lvl w:ilvl="7" w:tplc="233AEDAE">
      <w:start w:val="1"/>
      <w:numFmt w:val="bullet"/>
      <w:lvlText w:val="o"/>
      <w:lvlJc w:val="left"/>
      <w:pPr>
        <w:ind w:left="5760" w:hanging="360"/>
      </w:pPr>
      <w:rPr>
        <w:rFonts w:ascii="Courier New" w:hAnsi="Courier New" w:hint="default"/>
      </w:rPr>
    </w:lvl>
    <w:lvl w:ilvl="8" w:tplc="DF626CA6">
      <w:start w:val="1"/>
      <w:numFmt w:val="bullet"/>
      <w:lvlText w:val=""/>
      <w:lvlJc w:val="left"/>
      <w:pPr>
        <w:ind w:left="6480" w:hanging="360"/>
      </w:pPr>
      <w:rPr>
        <w:rFonts w:ascii="Wingdings" w:hAnsi="Wingdings" w:hint="default"/>
      </w:rPr>
    </w:lvl>
  </w:abstractNum>
  <w:abstractNum w:abstractNumId="17" w15:restartNumberingAfterBreak="0">
    <w:nsid w:val="61E37C88"/>
    <w:multiLevelType w:val="multilevel"/>
    <w:tmpl w:val="ED0C6BDA"/>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2D0749"/>
    <w:multiLevelType w:val="multilevel"/>
    <w:tmpl w:val="7474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172A6"/>
    <w:multiLevelType w:val="multilevel"/>
    <w:tmpl w:val="FFA879E4"/>
    <w:lvl w:ilvl="0">
      <w:start w:val="1"/>
      <w:numFmt w:val="bullet"/>
      <w:lvlText w:val="-"/>
      <w:lvlJc w:val="left"/>
      <w:pPr>
        <w:tabs>
          <w:tab w:val="num" w:pos="720"/>
        </w:tabs>
        <w:ind w:left="720" w:hanging="360"/>
      </w:pPr>
      <w:rPr>
        <w:rFonts w:ascii="Palatino Linotype" w:eastAsia="Times New Roman" w:hAnsi="Palatino Linotype"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BA6B0A"/>
    <w:multiLevelType w:val="hybridMultilevel"/>
    <w:tmpl w:val="7F8245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70234869">
    <w:abstractNumId w:val="3"/>
  </w:num>
  <w:num w:numId="2" w16cid:durableId="1041520020">
    <w:abstractNumId w:val="1"/>
  </w:num>
  <w:num w:numId="3" w16cid:durableId="221988268">
    <w:abstractNumId w:val="16"/>
  </w:num>
  <w:num w:numId="4" w16cid:durableId="737442033">
    <w:abstractNumId w:val="9"/>
  </w:num>
  <w:num w:numId="5" w16cid:durableId="2104297108">
    <w:abstractNumId w:val="18"/>
  </w:num>
  <w:num w:numId="6" w16cid:durableId="252445568">
    <w:abstractNumId w:val="2"/>
  </w:num>
  <w:num w:numId="7" w16cid:durableId="1212114122">
    <w:abstractNumId w:val="7"/>
  </w:num>
  <w:num w:numId="8" w16cid:durableId="1722049786">
    <w:abstractNumId w:val="15"/>
  </w:num>
  <w:num w:numId="9" w16cid:durableId="816262686">
    <w:abstractNumId w:val="4"/>
  </w:num>
  <w:num w:numId="10" w16cid:durableId="2104034673">
    <w:abstractNumId w:val="7"/>
  </w:num>
  <w:num w:numId="11" w16cid:durableId="1281188426">
    <w:abstractNumId w:val="17"/>
  </w:num>
  <w:num w:numId="12" w16cid:durableId="433786734">
    <w:abstractNumId w:val="8"/>
  </w:num>
  <w:num w:numId="13" w16cid:durableId="46420878">
    <w:abstractNumId w:val="12"/>
  </w:num>
  <w:num w:numId="14" w16cid:durableId="868643704">
    <w:abstractNumId w:val="5"/>
  </w:num>
  <w:num w:numId="15" w16cid:durableId="1907493234">
    <w:abstractNumId w:val="0"/>
  </w:num>
  <w:num w:numId="16" w16cid:durableId="284193886">
    <w:abstractNumId w:val="6"/>
  </w:num>
  <w:num w:numId="17" w16cid:durableId="176238581">
    <w:abstractNumId w:val="20"/>
  </w:num>
  <w:num w:numId="18" w16cid:durableId="1342392856">
    <w:abstractNumId w:val="10"/>
  </w:num>
  <w:num w:numId="19" w16cid:durableId="354574395">
    <w:abstractNumId w:val="19"/>
  </w:num>
  <w:num w:numId="20" w16cid:durableId="778837345">
    <w:abstractNumId w:val="11"/>
  </w:num>
  <w:num w:numId="21" w16cid:durableId="1592395968">
    <w:abstractNumId w:val="13"/>
  </w:num>
  <w:num w:numId="22" w16cid:durableId="7942536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B7ECA2"/>
    <w:rsid w:val="0000227A"/>
    <w:rsid w:val="000028A6"/>
    <w:rsid w:val="0000376A"/>
    <w:rsid w:val="0001300B"/>
    <w:rsid w:val="00014974"/>
    <w:rsid w:val="0002421A"/>
    <w:rsid w:val="00025825"/>
    <w:rsid w:val="00030AF3"/>
    <w:rsid w:val="000354BB"/>
    <w:rsid w:val="0005354B"/>
    <w:rsid w:val="000606D0"/>
    <w:rsid w:val="000618B5"/>
    <w:rsid w:val="00070229"/>
    <w:rsid w:val="000710E9"/>
    <w:rsid w:val="000823A6"/>
    <w:rsid w:val="00083201"/>
    <w:rsid w:val="000850FC"/>
    <w:rsid w:val="000865EE"/>
    <w:rsid w:val="0008798C"/>
    <w:rsid w:val="00091202"/>
    <w:rsid w:val="00096414"/>
    <w:rsid w:val="0009734F"/>
    <w:rsid w:val="000A3479"/>
    <w:rsid w:val="000A4732"/>
    <w:rsid w:val="000B3625"/>
    <w:rsid w:val="000C5207"/>
    <w:rsid w:val="000D417D"/>
    <w:rsid w:val="000E1A63"/>
    <w:rsid w:val="000F41C2"/>
    <w:rsid w:val="00100979"/>
    <w:rsid w:val="001048DA"/>
    <w:rsid w:val="00105B3D"/>
    <w:rsid w:val="00106D8F"/>
    <w:rsid w:val="00107A2B"/>
    <w:rsid w:val="00112AAB"/>
    <w:rsid w:val="0011353A"/>
    <w:rsid w:val="00113910"/>
    <w:rsid w:val="00115736"/>
    <w:rsid w:val="00115913"/>
    <w:rsid w:val="00115CC4"/>
    <w:rsid w:val="00115DC3"/>
    <w:rsid w:val="001213E7"/>
    <w:rsid w:val="00125562"/>
    <w:rsid w:val="00136767"/>
    <w:rsid w:val="00137019"/>
    <w:rsid w:val="0013745E"/>
    <w:rsid w:val="00141E6D"/>
    <w:rsid w:val="00147FCD"/>
    <w:rsid w:val="00153FEA"/>
    <w:rsid w:val="001551DC"/>
    <w:rsid w:val="001557D2"/>
    <w:rsid w:val="001570C3"/>
    <w:rsid w:val="00160B03"/>
    <w:rsid w:val="001650EF"/>
    <w:rsid w:val="00171D9F"/>
    <w:rsid w:val="0018128F"/>
    <w:rsid w:val="00184CC5"/>
    <w:rsid w:val="001851C6"/>
    <w:rsid w:val="001868A3"/>
    <w:rsid w:val="00187E93"/>
    <w:rsid w:val="001A15C0"/>
    <w:rsid w:val="001A2D6C"/>
    <w:rsid w:val="001A7306"/>
    <w:rsid w:val="001A7B8C"/>
    <w:rsid w:val="001A7BD6"/>
    <w:rsid w:val="001B41D4"/>
    <w:rsid w:val="001B7732"/>
    <w:rsid w:val="001D7509"/>
    <w:rsid w:val="001E0D55"/>
    <w:rsid w:val="001E6A7B"/>
    <w:rsid w:val="001F28B0"/>
    <w:rsid w:val="001F2E48"/>
    <w:rsid w:val="001F3163"/>
    <w:rsid w:val="001F440C"/>
    <w:rsid w:val="001F5E52"/>
    <w:rsid w:val="0020157B"/>
    <w:rsid w:val="00204EBD"/>
    <w:rsid w:val="0021115E"/>
    <w:rsid w:val="002124B5"/>
    <w:rsid w:val="002127D0"/>
    <w:rsid w:val="0021352C"/>
    <w:rsid w:val="002144D2"/>
    <w:rsid w:val="002158DD"/>
    <w:rsid w:val="00215CCE"/>
    <w:rsid w:val="002167CE"/>
    <w:rsid w:val="00217694"/>
    <w:rsid w:val="00217F91"/>
    <w:rsid w:val="00221894"/>
    <w:rsid w:val="00222591"/>
    <w:rsid w:val="00223783"/>
    <w:rsid w:val="0022408B"/>
    <w:rsid w:val="00226616"/>
    <w:rsid w:val="00233595"/>
    <w:rsid w:val="00234B7B"/>
    <w:rsid w:val="002374C7"/>
    <w:rsid w:val="002468FB"/>
    <w:rsid w:val="00250566"/>
    <w:rsid w:val="00250852"/>
    <w:rsid w:val="00250C27"/>
    <w:rsid w:val="0025578E"/>
    <w:rsid w:val="0026077C"/>
    <w:rsid w:val="0026363C"/>
    <w:rsid w:val="00267034"/>
    <w:rsid w:val="0027283E"/>
    <w:rsid w:val="00272843"/>
    <w:rsid w:val="00275FFF"/>
    <w:rsid w:val="0028244C"/>
    <w:rsid w:val="00284234"/>
    <w:rsid w:val="002901FD"/>
    <w:rsid w:val="00294B19"/>
    <w:rsid w:val="002A3210"/>
    <w:rsid w:val="002A401D"/>
    <w:rsid w:val="002A40CF"/>
    <w:rsid w:val="002A703A"/>
    <w:rsid w:val="002A75BE"/>
    <w:rsid w:val="002B7965"/>
    <w:rsid w:val="002B7B9A"/>
    <w:rsid w:val="002C0A78"/>
    <w:rsid w:val="002C411D"/>
    <w:rsid w:val="002C6E00"/>
    <w:rsid w:val="002C7A18"/>
    <w:rsid w:val="002D13C7"/>
    <w:rsid w:val="002D21FE"/>
    <w:rsid w:val="002D398D"/>
    <w:rsid w:val="002E5762"/>
    <w:rsid w:val="002E5D9F"/>
    <w:rsid w:val="002E63D3"/>
    <w:rsid w:val="002E74EB"/>
    <w:rsid w:val="002E7599"/>
    <w:rsid w:val="002F784F"/>
    <w:rsid w:val="00302AFB"/>
    <w:rsid w:val="00304E8A"/>
    <w:rsid w:val="003208A0"/>
    <w:rsid w:val="0032384E"/>
    <w:rsid w:val="00324030"/>
    <w:rsid w:val="00330295"/>
    <w:rsid w:val="00331F96"/>
    <w:rsid w:val="0033247B"/>
    <w:rsid w:val="0033365B"/>
    <w:rsid w:val="00334150"/>
    <w:rsid w:val="003346FE"/>
    <w:rsid w:val="0034050D"/>
    <w:rsid w:val="00342681"/>
    <w:rsid w:val="00344DB5"/>
    <w:rsid w:val="00352F87"/>
    <w:rsid w:val="00364A54"/>
    <w:rsid w:val="0036555C"/>
    <w:rsid w:val="00365620"/>
    <w:rsid w:val="00365AA4"/>
    <w:rsid w:val="00383674"/>
    <w:rsid w:val="00383F84"/>
    <w:rsid w:val="00385904"/>
    <w:rsid w:val="00386A03"/>
    <w:rsid w:val="00387225"/>
    <w:rsid w:val="003A4163"/>
    <w:rsid w:val="003A4EA0"/>
    <w:rsid w:val="003B0C27"/>
    <w:rsid w:val="003B2C05"/>
    <w:rsid w:val="003B3013"/>
    <w:rsid w:val="003B4CEE"/>
    <w:rsid w:val="003C0509"/>
    <w:rsid w:val="003C05A8"/>
    <w:rsid w:val="003C3601"/>
    <w:rsid w:val="003C4150"/>
    <w:rsid w:val="003C7407"/>
    <w:rsid w:val="003C798E"/>
    <w:rsid w:val="003D22D5"/>
    <w:rsid w:val="003D367B"/>
    <w:rsid w:val="003D48EB"/>
    <w:rsid w:val="003D6A9E"/>
    <w:rsid w:val="003E406C"/>
    <w:rsid w:val="003F1904"/>
    <w:rsid w:val="003F3A41"/>
    <w:rsid w:val="003F5AFC"/>
    <w:rsid w:val="004016DB"/>
    <w:rsid w:val="004050ED"/>
    <w:rsid w:val="00405ADE"/>
    <w:rsid w:val="004069B5"/>
    <w:rsid w:val="00416134"/>
    <w:rsid w:val="00416919"/>
    <w:rsid w:val="004175C8"/>
    <w:rsid w:val="00420DE0"/>
    <w:rsid w:val="0042246E"/>
    <w:rsid w:val="00432248"/>
    <w:rsid w:val="0043260F"/>
    <w:rsid w:val="00433B7D"/>
    <w:rsid w:val="00435736"/>
    <w:rsid w:val="00435790"/>
    <w:rsid w:val="00436C08"/>
    <w:rsid w:val="00437AF2"/>
    <w:rsid w:val="00441763"/>
    <w:rsid w:val="00443AA1"/>
    <w:rsid w:val="00452705"/>
    <w:rsid w:val="00453D78"/>
    <w:rsid w:val="004712F0"/>
    <w:rsid w:val="0047156F"/>
    <w:rsid w:val="00471674"/>
    <w:rsid w:val="00474458"/>
    <w:rsid w:val="00475A70"/>
    <w:rsid w:val="00476B2A"/>
    <w:rsid w:val="00476F40"/>
    <w:rsid w:val="00481A5B"/>
    <w:rsid w:val="004956E7"/>
    <w:rsid w:val="004B3EE0"/>
    <w:rsid w:val="004B5C14"/>
    <w:rsid w:val="004B6873"/>
    <w:rsid w:val="004C537E"/>
    <w:rsid w:val="004C590C"/>
    <w:rsid w:val="004C75F6"/>
    <w:rsid w:val="004D1339"/>
    <w:rsid w:val="004D1785"/>
    <w:rsid w:val="004D3E1F"/>
    <w:rsid w:val="004D5663"/>
    <w:rsid w:val="004D636C"/>
    <w:rsid w:val="004D6BC3"/>
    <w:rsid w:val="004D7BC4"/>
    <w:rsid w:val="004E5F36"/>
    <w:rsid w:val="004E75D4"/>
    <w:rsid w:val="004F241B"/>
    <w:rsid w:val="004F69B2"/>
    <w:rsid w:val="004F7A53"/>
    <w:rsid w:val="00502205"/>
    <w:rsid w:val="00502356"/>
    <w:rsid w:val="0050318E"/>
    <w:rsid w:val="00504077"/>
    <w:rsid w:val="00506CBE"/>
    <w:rsid w:val="00520628"/>
    <w:rsid w:val="00520945"/>
    <w:rsid w:val="005232BF"/>
    <w:rsid w:val="00525F49"/>
    <w:rsid w:val="00526614"/>
    <w:rsid w:val="00531FAB"/>
    <w:rsid w:val="0053525E"/>
    <w:rsid w:val="005370C8"/>
    <w:rsid w:val="00546209"/>
    <w:rsid w:val="005467BC"/>
    <w:rsid w:val="0055125B"/>
    <w:rsid w:val="00552CCD"/>
    <w:rsid w:val="00557E5A"/>
    <w:rsid w:val="005602D4"/>
    <w:rsid w:val="00560B28"/>
    <w:rsid w:val="00562BCE"/>
    <w:rsid w:val="005721E8"/>
    <w:rsid w:val="005742B2"/>
    <w:rsid w:val="00581DD4"/>
    <w:rsid w:val="00581EC7"/>
    <w:rsid w:val="00583AA0"/>
    <w:rsid w:val="0058662A"/>
    <w:rsid w:val="00586885"/>
    <w:rsid w:val="00590DEC"/>
    <w:rsid w:val="00592E23"/>
    <w:rsid w:val="00596794"/>
    <w:rsid w:val="005A269A"/>
    <w:rsid w:val="005A6563"/>
    <w:rsid w:val="005A7427"/>
    <w:rsid w:val="005B130C"/>
    <w:rsid w:val="005B16EA"/>
    <w:rsid w:val="005B1E87"/>
    <w:rsid w:val="005B24C1"/>
    <w:rsid w:val="005B3A4A"/>
    <w:rsid w:val="005B4FE0"/>
    <w:rsid w:val="005B7914"/>
    <w:rsid w:val="005C1D05"/>
    <w:rsid w:val="005C7624"/>
    <w:rsid w:val="005D410A"/>
    <w:rsid w:val="005D59D9"/>
    <w:rsid w:val="005D6B87"/>
    <w:rsid w:val="005D7BB8"/>
    <w:rsid w:val="005E03F4"/>
    <w:rsid w:val="005E3FA2"/>
    <w:rsid w:val="005E4E2B"/>
    <w:rsid w:val="005E6F2C"/>
    <w:rsid w:val="005E7874"/>
    <w:rsid w:val="005F4C4C"/>
    <w:rsid w:val="00600651"/>
    <w:rsid w:val="00601497"/>
    <w:rsid w:val="00601D2B"/>
    <w:rsid w:val="00602332"/>
    <w:rsid w:val="0060797D"/>
    <w:rsid w:val="0061280A"/>
    <w:rsid w:val="00613516"/>
    <w:rsid w:val="00613E68"/>
    <w:rsid w:val="0062008B"/>
    <w:rsid w:val="00622FEF"/>
    <w:rsid w:val="00623C67"/>
    <w:rsid w:val="0062487D"/>
    <w:rsid w:val="0063018D"/>
    <w:rsid w:val="006319F0"/>
    <w:rsid w:val="006340F3"/>
    <w:rsid w:val="00635639"/>
    <w:rsid w:val="006410D4"/>
    <w:rsid w:val="0064353F"/>
    <w:rsid w:val="006438E3"/>
    <w:rsid w:val="0064396A"/>
    <w:rsid w:val="006443E1"/>
    <w:rsid w:val="00645F68"/>
    <w:rsid w:val="00647F1B"/>
    <w:rsid w:val="00651F25"/>
    <w:rsid w:val="006537C6"/>
    <w:rsid w:val="00653B5E"/>
    <w:rsid w:val="00654A5E"/>
    <w:rsid w:val="00656EAB"/>
    <w:rsid w:val="006708C3"/>
    <w:rsid w:val="006725CD"/>
    <w:rsid w:val="0067339A"/>
    <w:rsid w:val="00674620"/>
    <w:rsid w:val="0068069F"/>
    <w:rsid w:val="00681649"/>
    <w:rsid w:val="00682CF8"/>
    <w:rsid w:val="0068594B"/>
    <w:rsid w:val="006872D1"/>
    <w:rsid w:val="006877C1"/>
    <w:rsid w:val="00687C2D"/>
    <w:rsid w:val="00692E50"/>
    <w:rsid w:val="00694271"/>
    <w:rsid w:val="00694B46"/>
    <w:rsid w:val="00695A7E"/>
    <w:rsid w:val="00697048"/>
    <w:rsid w:val="0069705C"/>
    <w:rsid w:val="006B17D3"/>
    <w:rsid w:val="006B5E89"/>
    <w:rsid w:val="006B5F13"/>
    <w:rsid w:val="006B6281"/>
    <w:rsid w:val="006B7EDE"/>
    <w:rsid w:val="006C05E4"/>
    <w:rsid w:val="006C1930"/>
    <w:rsid w:val="006C2CAF"/>
    <w:rsid w:val="006C5CAC"/>
    <w:rsid w:val="006C69B5"/>
    <w:rsid w:val="006C7561"/>
    <w:rsid w:val="006C7A4C"/>
    <w:rsid w:val="006C7A71"/>
    <w:rsid w:val="006D0FCE"/>
    <w:rsid w:val="006E754B"/>
    <w:rsid w:val="006F2A85"/>
    <w:rsid w:val="006F46AD"/>
    <w:rsid w:val="006F4A16"/>
    <w:rsid w:val="006F5D7C"/>
    <w:rsid w:val="007011D7"/>
    <w:rsid w:val="007016F4"/>
    <w:rsid w:val="007027EC"/>
    <w:rsid w:val="007113E5"/>
    <w:rsid w:val="00711DB4"/>
    <w:rsid w:val="0071761E"/>
    <w:rsid w:val="00723C10"/>
    <w:rsid w:val="00724E46"/>
    <w:rsid w:val="00725387"/>
    <w:rsid w:val="00726FE0"/>
    <w:rsid w:val="0073222F"/>
    <w:rsid w:val="007323FA"/>
    <w:rsid w:val="00733148"/>
    <w:rsid w:val="007359C4"/>
    <w:rsid w:val="007364A2"/>
    <w:rsid w:val="0074084D"/>
    <w:rsid w:val="0074791C"/>
    <w:rsid w:val="0075128D"/>
    <w:rsid w:val="007613C7"/>
    <w:rsid w:val="00766A4A"/>
    <w:rsid w:val="00770F29"/>
    <w:rsid w:val="007719B0"/>
    <w:rsid w:val="0077215E"/>
    <w:rsid w:val="0077469D"/>
    <w:rsid w:val="00775F1B"/>
    <w:rsid w:val="007809CC"/>
    <w:rsid w:val="007825E8"/>
    <w:rsid w:val="007828AC"/>
    <w:rsid w:val="00796262"/>
    <w:rsid w:val="007A2466"/>
    <w:rsid w:val="007B02C8"/>
    <w:rsid w:val="007B227D"/>
    <w:rsid w:val="007B2B28"/>
    <w:rsid w:val="007B476F"/>
    <w:rsid w:val="007C47EE"/>
    <w:rsid w:val="007C4E02"/>
    <w:rsid w:val="007C6804"/>
    <w:rsid w:val="007C6E3A"/>
    <w:rsid w:val="007D17AA"/>
    <w:rsid w:val="007D2E6C"/>
    <w:rsid w:val="007D7021"/>
    <w:rsid w:val="007D7FDF"/>
    <w:rsid w:val="007E01C6"/>
    <w:rsid w:val="007F3696"/>
    <w:rsid w:val="00800710"/>
    <w:rsid w:val="00802160"/>
    <w:rsid w:val="00807365"/>
    <w:rsid w:val="00807879"/>
    <w:rsid w:val="00812B45"/>
    <w:rsid w:val="00813E64"/>
    <w:rsid w:val="0081666F"/>
    <w:rsid w:val="00821EC7"/>
    <w:rsid w:val="00822045"/>
    <w:rsid w:val="00830956"/>
    <w:rsid w:val="00834BE2"/>
    <w:rsid w:val="00835DED"/>
    <w:rsid w:val="00841AF2"/>
    <w:rsid w:val="00843B14"/>
    <w:rsid w:val="00851D28"/>
    <w:rsid w:val="008650C0"/>
    <w:rsid w:val="00865CAC"/>
    <w:rsid w:val="0086607F"/>
    <w:rsid w:val="008671D3"/>
    <w:rsid w:val="0087073E"/>
    <w:rsid w:val="00872890"/>
    <w:rsid w:val="008750B6"/>
    <w:rsid w:val="0087684C"/>
    <w:rsid w:val="00881A96"/>
    <w:rsid w:val="00885EC4"/>
    <w:rsid w:val="008902AD"/>
    <w:rsid w:val="00892FF2"/>
    <w:rsid w:val="008938A6"/>
    <w:rsid w:val="00894340"/>
    <w:rsid w:val="00895126"/>
    <w:rsid w:val="008A3BB2"/>
    <w:rsid w:val="008A46F4"/>
    <w:rsid w:val="008A5CB2"/>
    <w:rsid w:val="008B0CD6"/>
    <w:rsid w:val="008B333A"/>
    <w:rsid w:val="008B60F8"/>
    <w:rsid w:val="008C0356"/>
    <w:rsid w:val="008C1BE8"/>
    <w:rsid w:val="008C227B"/>
    <w:rsid w:val="008C26F7"/>
    <w:rsid w:val="008C5EFB"/>
    <w:rsid w:val="008C677B"/>
    <w:rsid w:val="008D192E"/>
    <w:rsid w:val="008D4C62"/>
    <w:rsid w:val="008D68C9"/>
    <w:rsid w:val="008D7FC4"/>
    <w:rsid w:val="008E442E"/>
    <w:rsid w:val="008E5460"/>
    <w:rsid w:val="008E5F0A"/>
    <w:rsid w:val="008E7B90"/>
    <w:rsid w:val="008F4410"/>
    <w:rsid w:val="00901BB5"/>
    <w:rsid w:val="009027AB"/>
    <w:rsid w:val="0090341E"/>
    <w:rsid w:val="00903E90"/>
    <w:rsid w:val="0091082E"/>
    <w:rsid w:val="00911AEF"/>
    <w:rsid w:val="00913DFE"/>
    <w:rsid w:val="009160C6"/>
    <w:rsid w:val="0092122D"/>
    <w:rsid w:val="00926331"/>
    <w:rsid w:val="009349B5"/>
    <w:rsid w:val="009357EB"/>
    <w:rsid w:val="00935C38"/>
    <w:rsid w:val="00937639"/>
    <w:rsid w:val="00942B43"/>
    <w:rsid w:val="0094530D"/>
    <w:rsid w:val="00955600"/>
    <w:rsid w:val="00955990"/>
    <w:rsid w:val="00965AC2"/>
    <w:rsid w:val="00970A8B"/>
    <w:rsid w:val="00970F20"/>
    <w:rsid w:val="009728E0"/>
    <w:rsid w:val="00973080"/>
    <w:rsid w:val="009849E5"/>
    <w:rsid w:val="00990567"/>
    <w:rsid w:val="009933B3"/>
    <w:rsid w:val="00993512"/>
    <w:rsid w:val="009A131C"/>
    <w:rsid w:val="009A233C"/>
    <w:rsid w:val="009A68A9"/>
    <w:rsid w:val="009B0308"/>
    <w:rsid w:val="009B51A2"/>
    <w:rsid w:val="009B58BA"/>
    <w:rsid w:val="009C500B"/>
    <w:rsid w:val="009D3788"/>
    <w:rsid w:val="009D5648"/>
    <w:rsid w:val="009D6806"/>
    <w:rsid w:val="009E0918"/>
    <w:rsid w:val="009E0F01"/>
    <w:rsid w:val="009E69D8"/>
    <w:rsid w:val="009F1609"/>
    <w:rsid w:val="00A13BB6"/>
    <w:rsid w:val="00A150E3"/>
    <w:rsid w:val="00A16481"/>
    <w:rsid w:val="00A176BB"/>
    <w:rsid w:val="00A17C53"/>
    <w:rsid w:val="00A2075C"/>
    <w:rsid w:val="00A26C06"/>
    <w:rsid w:val="00A318DE"/>
    <w:rsid w:val="00A33717"/>
    <w:rsid w:val="00A373F1"/>
    <w:rsid w:val="00A41A32"/>
    <w:rsid w:val="00A44DF0"/>
    <w:rsid w:val="00A475B1"/>
    <w:rsid w:val="00A52DE6"/>
    <w:rsid w:val="00A52EC3"/>
    <w:rsid w:val="00A56F91"/>
    <w:rsid w:val="00A6070E"/>
    <w:rsid w:val="00A63044"/>
    <w:rsid w:val="00A64B84"/>
    <w:rsid w:val="00A669D0"/>
    <w:rsid w:val="00A71A82"/>
    <w:rsid w:val="00A72D20"/>
    <w:rsid w:val="00A74D2F"/>
    <w:rsid w:val="00A83E15"/>
    <w:rsid w:val="00A84866"/>
    <w:rsid w:val="00A942A1"/>
    <w:rsid w:val="00AA6574"/>
    <w:rsid w:val="00AA6609"/>
    <w:rsid w:val="00AA6F41"/>
    <w:rsid w:val="00AB1023"/>
    <w:rsid w:val="00AB1138"/>
    <w:rsid w:val="00AC3009"/>
    <w:rsid w:val="00AC42C2"/>
    <w:rsid w:val="00AE15D0"/>
    <w:rsid w:val="00AE1F66"/>
    <w:rsid w:val="00AE61E4"/>
    <w:rsid w:val="00AF2F28"/>
    <w:rsid w:val="00AF3766"/>
    <w:rsid w:val="00AF5A3C"/>
    <w:rsid w:val="00B04811"/>
    <w:rsid w:val="00B11CD4"/>
    <w:rsid w:val="00B14383"/>
    <w:rsid w:val="00B16793"/>
    <w:rsid w:val="00B16824"/>
    <w:rsid w:val="00B16A39"/>
    <w:rsid w:val="00B23BC7"/>
    <w:rsid w:val="00B24EC7"/>
    <w:rsid w:val="00B31590"/>
    <w:rsid w:val="00B3742C"/>
    <w:rsid w:val="00B40BA9"/>
    <w:rsid w:val="00B41EF6"/>
    <w:rsid w:val="00B46A68"/>
    <w:rsid w:val="00B51B2E"/>
    <w:rsid w:val="00B52DD5"/>
    <w:rsid w:val="00B5326D"/>
    <w:rsid w:val="00B54C79"/>
    <w:rsid w:val="00B71B9E"/>
    <w:rsid w:val="00B73747"/>
    <w:rsid w:val="00B744BA"/>
    <w:rsid w:val="00B751E1"/>
    <w:rsid w:val="00B77156"/>
    <w:rsid w:val="00B8009D"/>
    <w:rsid w:val="00B86D33"/>
    <w:rsid w:val="00B9108E"/>
    <w:rsid w:val="00B96EF2"/>
    <w:rsid w:val="00BA6928"/>
    <w:rsid w:val="00BA6A27"/>
    <w:rsid w:val="00BB1621"/>
    <w:rsid w:val="00BB7C0B"/>
    <w:rsid w:val="00BC2884"/>
    <w:rsid w:val="00BC2A10"/>
    <w:rsid w:val="00BC77B1"/>
    <w:rsid w:val="00BC7EEF"/>
    <w:rsid w:val="00BD270F"/>
    <w:rsid w:val="00BD5FE9"/>
    <w:rsid w:val="00BD6B40"/>
    <w:rsid w:val="00BE172B"/>
    <w:rsid w:val="00BE3E34"/>
    <w:rsid w:val="00BE4BF1"/>
    <w:rsid w:val="00BF2CC9"/>
    <w:rsid w:val="00BF4F2C"/>
    <w:rsid w:val="00BF7529"/>
    <w:rsid w:val="00C009CD"/>
    <w:rsid w:val="00C05A73"/>
    <w:rsid w:val="00C0705F"/>
    <w:rsid w:val="00C07B4D"/>
    <w:rsid w:val="00C07D5A"/>
    <w:rsid w:val="00C117BB"/>
    <w:rsid w:val="00C13D96"/>
    <w:rsid w:val="00C254D1"/>
    <w:rsid w:val="00C32184"/>
    <w:rsid w:val="00C33205"/>
    <w:rsid w:val="00C33590"/>
    <w:rsid w:val="00C33DD7"/>
    <w:rsid w:val="00C34E03"/>
    <w:rsid w:val="00C34F15"/>
    <w:rsid w:val="00C42542"/>
    <w:rsid w:val="00C43B87"/>
    <w:rsid w:val="00C43D44"/>
    <w:rsid w:val="00C44C2A"/>
    <w:rsid w:val="00C4524A"/>
    <w:rsid w:val="00C50310"/>
    <w:rsid w:val="00C50EA6"/>
    <w:rsid w:val="00C532D8"/>
    <w:rsid w:val="00C539AE"/>
    <w:rsid w:val="00C61BA4"/>
    <w:rsid w:val="00C61F96"/>
    <w:rsid w:val="00C65C93"/>
    <w:rsid w:val="00C67B7E"/>
    <w:rsid w:val="00C7394F"/>
    <w:rsid w:val="00C73AA4"/>
    <w:rsid w:val="00C742E2"/>
    <w:rsid w:val="00C74310"/>
    <w:rsid w:val="00C77501"/>
    <w:rsid w:val="00C92595"/>
    <w:rsid w:val="00C9297E"/>
    <w:rsid w:val="00C976C8"/>
    <w:rsid w:val="00CA22AA"/>
    <w:rsid w:val="00CA2E93"/>
    <w:rsid w:val="00CA7780"/>
    <w:rsid w:val="00CA7A01"/>
    <w:rsid w:val="00CA7E34"/>
    <w:rsid w:val="00CB466A"/>
    <w:rsid w:val="00CB5419"/>
    <w:rsid w:val="00CB6636"/>
    <w:rsid w:val="00CC07BF"/>
    <w:rsid w:val="00CD5B7C"/>
    <w:rsid w:val="00CF0E1B"/>
    <w:rsid w:val="00CF4F25"/>
    <w:rsid w:val="00CF51B6"/>
    <w:rsid w:val="00CF54BC"/>
    <w:rsid w:val="00CF5E89"/>
    <w:rsid w:val="00CF71CD"/>
    <w:rsid w:val="00D00A56"/>
    <w:rsid w:val="00D0120D"/>
    <w:rsid w:val="00D01683"/>
    <w:rsid w:val="00D02EEC"/>
    <w:rsid w:val="00D03DEF"/>
    <w:rsid w:val="00D1466F"/>
    <w:rsid w:val="00D22C7D"/>
    <w:rsid w:val="00D400DD"/>
    <w:rsid w:val="00D418EA"/>
    <w:rsid w:val="00D42F60"/>
    <w:rsid w:val="00D442CE"/>
    <w:rsid w:val="00D44E7E"/>
    <w:rsid w:val="00D4795D"/>
    <w:rsid w:val="00D553AF"/>
    <w:rsid w:val="00D572C9"/>
    <w:rsid w:val="00D61943"/>
    <w:rsid w:val="00D701A4"/>
    <w:rsid w:val="00D705C4"/>
    <w:rsid w:val="00D705D4"/>
    <w:rsid w:val="00D72D51"/>
    <w:rsid w:val="00D765E7"/>
    <w:rsid w:val="00D77A6A"/>
    <w:rsid w:val="00D829BE"/>
    <w:rsid w:val="00D83D35"/>
    <w:rsid w:val="00D85610"/>
    <w:rsid w:val="00D90347"/>
    <w:rsid w:val="00D905EF"/>
    <w:rsid w:val="00D90B49"/>
    <w:rsid w:val="00D91105"/>
    <w:rsid w:val="00D96980"/>
    <w:rsid w:val="00DA5BF8"/>
    <w:rsid w:val="00DA6BCD"/>
    <w:rsid w:val="00DA7104"/>
    <w:rsid w:val="00DB0113"/>
    <w:rsid w:val="00DB1498"/>
    <w:rsid w:val="00DC0309"/>
    <w:rsid w:val="00DC17CE"/>
    <w:rsid w:val="00DC2A7A"/>
    <w:rsid w:val="00DC3672"/>
    <w:rsid w:val="00DC7194"/>
    <w:rsid w:val="00DD17F4"/>
    <w:rsid w:val="00DD2003"/>
    <w:rsid w:val="00DD380A"/>
    <w:rsid w:val="00DD566C"/>
    <w:rsid w:val="00DE6060"/>
    <w:rsid w:val="00E034DC"/>
    <w:rsid w:val="00E06FDD"/>
    <w:rsid w:val="00E105E1"/>
    <w:rsid w:val="00E10BA8"/>
    <w:rsid w:val="00E11C79"/>
    <w:rsid w:val="00E144A0"/>
    <w:rsid w:val="00E148FD"/>
    <w:rsid w:val="00E14AA0"/>
    <w:rsid w:val="00E16AFE"/>
    <w:rsid w:val="00E177A4"/>
    <w:rsid w:val="00E17CDF"/>
    <w:rsid w:val="00E212AB"/>
    <w:rsid w:val="00E24467"/>
    <w:rsid w:val="00E26A27"/>
    <w:rsid w:val="00E33347"/>
    <w:rsid w:val="00E374C9"/>
    <w:rsid w:val="00E404D3"/>
    <w:rsid w:val="00E43CC2"/>
    <w:rsid w:val="00E43CE0"/>
    <w:rsid w:val="00E512B1"/>
    <w:rsid w:val="00E520F0"/>
    <w:rsid w:val="00E54A34"/>
    <w:rsid w:val="00E56D3E"/>
    <w:rsid w:val="00E63FD4"/>
    <w:rsid w:val="00E65CA8"/>
    <w:rsid w:val="00E670A1"/>
    <w:rsid w:val="00E7255F"/>
    <w:rsid w:val="00E73907"/>
    <w:rsid w:val="00E74A99"/>
    <w:rsid w:val="00E74DEA"/>
    <w:rsid w:val="00E75308"/>
    <w:rsid w:val="00E805C4"/>
    <w:rsid w:val="00E83E87"/>
    <w:rsid w:val="00E84039"/>
    <w:rsid w:val="00E85E23"/>
    <w:rsid w:val="00E86B3F"/>
    <w:rsid w:val="00E93BC9"/>
    <w:rsid w:val="00EA04B9"/>
    <w:rsid w:val="00EA101F"/>
    <w:rsid w:val="00EA4155"/>
    <w:rsid w:val="00EB19C5"/>
    <w:rsid w:val="00EB37A3"/>
    <w:rsid w:val="00EB3F07"/>
    <w:rsid w:val="00EB4D3E"/>
    <w:rsid w:val="00EC652F"/>
    <w:rsid w:val="00EC6D20"/>
    <w:rsid w:val="00EE0350"/>
    <w:rsid w:val="00EE4084"/>
    <w:rsid w:val="00EE5E42"/>
    <w:rsid w:val="00EF1986"/>
    <w:rsid w:val="00EF1D86"/>
    <w:rsid w:val="00F102A0"/>
    <w:rsid w:val="00F102E6"/>
    <w:rsid w:val="00F146CB"/>
    <w:rsid w:val="00F253BF"/>
    <w:rsid w:val="00F26EF0"/>
    <w:rsid w:val="00F31811"/>
    <w:rsid w:val="00F406B8"/>
    <w:rsid w:val="00F42C78"/>
    <w:rsid w:val="00F46343"/>
    <w:rsid w:val="00F46B63"/>
    <w:rsid w:val="00F508BD"/>
    <w:rsid w:val="00F55059"/>
    <w:rsid w:val="00F620EA"/>
    <w:rsid w:val="00F6368D"/>
    <w:rsid w:val="00F7506F"/>
    <w:rsid w:val="00F7512F"/>
    <w:rsid w:val="00F77F19"/>
    <w:rsid w:val="00F83B96"/>
    <w:rsid w:val="00F91104"/>
    <w:rsid w:val="00F94F06"/>
    <w:rsid w:val="00F9597B"/>
    <w:rsid w:val="00FB0D66"/>
    <w:rsid w:val="00FB1ED8"/>
    <w:rsid w:val="00FB2395"/>
    <w:rsid w:val="00FB530F"/>
    <w:rsid w:val="00FB6A0D"/>
    <w:rsid w:val="00FB79B2"/>
    <w:rsid w:val="00FC3D22"/>
    <w:rsid w:val="00FC573F"/>
    <w:rsid w:val="00FC6C1D"/>
    <w:rsid w:val="00FD0D70"/>
    <w:rsid w:val="00FE4737"/>
    <w:rsid w:val="00FF4431"/>
    <w:rsid w:val="00FF59D9"/>
    <w:rsid w:val="038FB599"/>
    <w:rsid w:val="0612FBAE"/>
    <w:rsid w:val="08A38623"/>
    <w:rsid w:val="094C92FF"/>
    <w:rsid w:val="0B060872"/>
    <w:rsid w:val="140AF082"/>
    <w:rsid w:val="178A355F"/>
    <w:rsid w:val="19734750"/>
    <w:rsid w:val="19FDFDF5"/>
    <w:rsid w:val="1DBD7C0A"/>
    <w:rsid w:val="1E329BAF"/>
    <w:rsid w:val="20E5BE45"/>
    <w:rsid w:val="21767B4B"/>
    <w:rsid w:val="24088C93"/>
    <w:rsid w:val="25A33E7F"/>
    <w:rsid w:val="25D96D2B"/>
    <w:rsid w:val="26B28CEB"/>
    <w:rsid w:val="271ACF5F"/>
    <w:rsid w:val="285DF2F2"/>
    <w:rsid w:val="28701C6C"/>
    <w:rsid w:val="287C3CB4"/>
    <w:rsid w:val="2DDFB3A4"/>
    <w:rsid w:val="2ED780D3"/>
    <w:rsid w:val="313B935B"/>
    <w:rsid w:val="31E400B6"/>
    <w:rsid w:val="344BF0B9"/>
    <w:rsid w:val="3455DA02"/>
    <w:rsid w:val="3AD385F0"/>
    <w:rsid w:val="45286C49"/>
    <w:rsid w:val="455AF8FE"/>
    <w:rsid w:val="48E16F58"/>
    <w:rsid w:val="4A7723D6"/>
    <w:rsid w:val="5457C25C"/>
    <w:rsid w:val="58CD8124"/>
    <w:rsid w:val="5969EE74"/>
    <w:rsid w:val="5B20032A"/>
    <w:rsid w:val="61B92E04"/>
    <w:rsid w:val="62DADFD6"/>
    <w:rsid w:val="63294271"/>
    <w:rsid w:val="63DE77D6"/>
    <w:rsid w:val="66898715"/>
    <w:rsid w:val="6C77D922"/>
    <w:rsid w:val="6CCA1FDC"/>
    <w:rsid w:val="6F4A6A98"/>
    <w:rsid w:val="70ED10F5"/>
    <w:rsid w:val="720A2846"/>
    <w:rsid w:val="74B7ECA2"/>
    <w:rsid w:val="77A2DB78"/>
    <w:rsid w:val="78E38154"/>
    <w:rsid w:val="7DB00809"/>
    <w:rsid w:val="7DD056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7ECA2"/>
  <w15:chartTrackingRefBased/>
  <w15:docId w15:val="{0425BD12-1D9C-41F4-818E-EE29D0616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DD0565D"/>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416919"/>
    <w:pPr>
      <w:spacing w:before="100" w:beforeAutospacing="1" w:after="100" w:afterAutospacing="1" w:line="240" w:lineRule="auto"/>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570C3"/>
    <w:rPr>
      <w:b/>
      <w:bCs/>
    </w:rPr>
  </w:style>
  <w:style w:type="character" w:customStyle="1" w:styleId="CommentSubjectChar">
    <w:name w:val="Comment Subject Char"/>
    <w:basedOn w:val="CommentTextChar"/>
    <w:link w:val="CommentSubject"/>
    <w:uiPriority w:val="99"/>
    <w:semiHidden/>
    <w:rsid w:val="001570C3"/>
    <w:rPr>
      <w:b/>
      <w:bCs/>
      <w:sz w:val="20"/>
      <w:szCs w:val="20"/>
    </w:rPr>
  </w:style>
  <w:style w:type="character" w:styleId="Hyperlink">
    <w:name w:val="Hyperlink"/>
    <w:basedOn w:val="DefaultParagraphFont"/>
    <w:uiPriority w:val="99"/>
    <w:unhideWhenUsed/>
    <w:rsid w:val="001570C3"/>
    <w:rPr>
      <w:color w:val="467886" w:themeColor="hyperlink"/>
      <w:u w:val="single"/>
    </w:rPr>
  </w:style>
  <w:style w:type="character" w:styleId="UnresolvedMention">
    <w:name w:val="Unresolved Mention"/>
    <w:basedOn w:val="DefaultParagraphFont"/>
    <w:uiPriority w:val="99"/>
    <w:semiHidden/>
    <w:unhideWhenUsed/>
    <w:rsid w:val="001570C3"/>
    <w:rPr>
      <w:color w:val="605E5C"/>
      <w:shd w:val="clear" w:color="auto" w:fill="E1DFDD"/>
    </w:rPr>
  </w:style>
  <w:style w:type="paragraph" w:styleId="Header">
    <w:name w:val="header"/>
    <w:basedOn w:val="Normal"/>
    <w:link w:val="HeaderChar"/>
    <w:uiPriority w:val="99"/>
    <w:unhideWhenUsed/>
    <w:rsid w:val="00BC7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77B1"/>
  </w:style>
  <w:style w:type="paragraph" w:styleId="Footer">
    <w:name w:val="footer"/>
    <w:basedOn w:val="Normal"/>
    <w:link w:val="FooterChar"/>
    <w:uiPriority w:val="99"/>
    <w:unhideWhenUsed/>
    <w:rsid w:val="00BC7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7B1"/>
  </w:style>
  <w:style w:type="paragraph" w:styleId="Revision">
    <w:name w:val="Revision"/>
    <w:hidden/>
    <w:uiPriority w:val="99"/>
    <w:semiHidden/>
    <w:rsid w:val="006B6281"/>
    <w:pPr>
      <w:spacing w:after="0" w:line="240" w:lineRule="auto"/>
    </w:pPr>
  </w:style>
  <w:style w:type="character" w:styleId="FollowedHyperlink">
    <w:name w:val="FollowedHyperlink"/>
    <w:basedOn w:val="DefaultParagraphFont"/>
    <w:uiPriority w:val="99"/>
    <w:semiHidden/>
    <w:unhideWhenUsed/>
    <w:rsid w:val="00D442CE"/>
    <w:rPr>
      <w:color w:val="96607D" w:themeColor="followedHyperlink"/>
      <w:u w:val="single"/>
    </w:rPr>
  </w:style>
  <w:style w:type="character" w:styleId="FootnoteReference">
    <w:name w:val="footnote reference"/>
    <w:aliases w:val="4_G,16 Point,Superscript 6 Point,BVI fnr,ftref,nota pié di pagina,Footnote symbol,Footnote reference number,Times 10 Point,Exposant 3 Point,EN Footnote Reference,note TESI,Footnote Reference Char Char Char,Footnotes ref,Re,f,fr,R,FZ"/>
    <w:unhideWhenUsed/>
    <w:qFormat/>
    <w:rsid w:val="008B333A"/>
    <w:rPr>
      <w:vertAlign w:val="superscript"/>
    </w:rPr>
  </w:style>
  <w:style w:type="paragraph" w:styleId="FootnoteText">
    <w:name w:val="footnote text"/>
    <w:aliases w:val="Footnote Text Char Char Char Char Char,Footnote Text Char Char Char Char,Footnote reference,FA Fu,Footnote Text Char Char Char,Footnote Text Cha,FA Fußnotentext,FA Fuﬂnotentext,Texto nota pie Car,FA Fu?notentext,5_G,Geneva 9,Font: Geneva 9"/>
    <w:basedOn w:val="Normal"/>
    <w:link w:val="FootnoteTextChar"/>
    <w:uiPriority w:val="99"/>
    <w:unhideWhenUsed/>
    <w:qFormat/>
    <w:rsid w:val="00EF1D86"/>
    <w:pPr>
      <w:spacing w:after="0" w:line="240" w:lineRule="auto"/>
    </w:pPr>
    <w:rPr>
      <w:rFonts w:eastAsiaTheme="minorHAnsi"/>
      <w:sz w:val="20"/>
      <w:szCs w:val="20"/>
      <w:lang w:val="en-GB" w:eastAsia="en-US"/>
    </w:rPr>
  </w:style>
  <w:style w:type="character" w:customStyle="1" w:styleId="FootnoteTextChar">
    <w:name w:val="Footnote Text Char"/>
    <w:aliases w:val="Footnote Text Char Char Char Char Char Char,Footnote Text Char Char Char Char Char1,Footnote reference Char,FA Fu Char,Footnote Text Char Char Char Char1,Footnote Text Cha Char,FA Fußnotentext Char,FA Fuﬂnotentext Char,5_G Char"/>
    <w:basedOn w:val="DefaultParagraphFont"/>
    <w:link w:val="FootnoteText"/>
    <w:uiPriority w:val="99"/>
    <w:qFormat/>
    <w:rsid w:val="00EF1D86"/>
    <w:rPr>
      <w:rFonts w:eastAsiaTheme="minorHAnsi"/>
      <w:sz w:val="20"/>
      <w:szCs w:val="20"/>
      <w:lang w:val="en-GB" w:eastAsia="en-US"/>
    </w:rPr>
  </w:style>
  <w:style w:type="paragraph" w:customStyle="1" w:styleId="MDPI31text">
    <w:name w:val="MDPI_3.1_text"/>
    <w:qFormat/>
    <w:rsid w:val="00EF1D86"/>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2"/>
      <w:sz w:val="20"/>
      <w:szCs w:val="22"/>
      <w:lang w:eastAsia="de-DE" w:bidi="en-US"/>
      <w14:ligatures w14:val="standardContextual"/>
    </w:rPr>
  </w:style>
  <w:style w:type="character" w:styleId="Strong">
    <w:name w:val="Strong"/>
    <w:basedOn w:val="DefaultParagraphFont"/>
    <w:uiPriority w:val="22"/>
    <w:qFormat/>
    <w:rsid w:val="009027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560">
      <w:bodyDiv w:val="1"/>
      <w:marLeft w:val="0"/>
      <w:marRight w:val="0"/>
      <w:marTop w:val="0"/>
      <w:marBottom w:val="0"/>
      <w:divBdr>
        <w:top w:val="none" w:sz="0" w:space="0" w:color="auto"/>
        <w:left w:val="none" w:sz="0" w:space="0" w:color="auto"/>
        <w:bottom w:val="none" w:sz="0" w:space="0" w:color="auto"/>
        <w:right w:val="none" w:sz="0" w:space="0" w:color="auto"/>
      </w:divBdr>
    </w:div>
    <w:div w:id="64038196">
      <w:bodyDiv w:val="1"/>
      <w:marLeft w:val="0"/>
      <w:marRight w:val="0"/>
      <w:marTop w:val="0"/>
      <w:marBottom w:val="0"/>
      <w:divBdr>
        <w:top w:val="none" w:sz="0" w:space="0" w:color="auto"/>
        <w:left w:val="none" w:sz="0" w:space="0" w:color="auto"/>
        <w:bottom w:val="none" w:sz="0" w:space="0" w:color="auto"/>
        <w:right w:val="none" w:sz="0" w:space="0" w:color="auto"/>
      </w:divBdr>
    </w:div>
    <w:div w:id="85078967">
      <w:bodyDiv w:val="1"/>
      <w:marLeft w:val="0"/>
      <w:marRight w:val="0"/>
      <w:marTop w:val="0"/>
      <w:marBottom w:val="0"/>
      <w:divBdr>
        <w:top w:val="none" w:sz="0" w:space="0" w:color="auto"/>
        <w:left w:val="none" w:sz="0" w:space="0" w:color="auto"/>
        <w:bottom w:val="none" w:sz="0" w:space="0" w:color="auto"/>
        <w:right w:val="none" w:sz="0" w:space="0" w:color="auto"/>
      </w:divBdr>
    </w:div>
    <w:div w:id="96487654">
      <w:bodyDiv w:val="1"/>
      <w:marLeft w:val="0"/>
      <w:marRight w:val="0"/>
      <w:marTop w:val="0"/>
      <w:marBottom w:val="0"/>
      <w:divBdr>
        <w:top w:val="none" w:sz="0" w:space="0" w:color="auto"/>
        <w:left w:val="none" w:sz="0" w:space="0" w:color="auto"/>
        <w:bottom w:val="none" w:sz="0" w:space="0" w:color="auto"/>
        <w:right w:val="none" w:sz="0" w:space="0" w:color="auto"/>
      </w:divBdr>
    </w:div>
    <w:div w:id="170461822">
      <w:bodyDiv w:val="1"/>
      <w:marLeft w:val="0"/>
      <w:marRight w:val="0"/>
      <w:marTop w:val="0"/>
      <w:marBottom w:val="0"/>
      <w:divBdr>
        <w:top w:val="none" w:sz="0" w:space="0" w:color="auto"/>
        <w:left w:val="none" w:sz="0" w:space="0" w:color="auto"/>
        <w:bottom w:val="none" w:sz="0" w:space="0" w:color="auto"/>
        <w:right w:val="none" w:sz="0" w:space="0" w:color="auto"/>
      </w:divBdr>
    </w:div>
    <w:div w:id="240139133">
      <w:bodyDiv w:val="1"/>
      <w:marLeft w:val="0"/>
      <w:marRight w:val="0"/>
      <w:marTop w:val="0"/>
      <w:marBottom w:val="0"/>
      <w:divBdr>
        <w:top w:val="none" w:sz="0" w:space="0" w:color="auto"/>
        <w:left w:val="none" w:sz="0" w:space="0" w:color="auto"/>
        <w:bottom w:val="none" w:sz="0" w:space="0" w:color="auto"/>
        <w:right w:val="none" w:sz="0" w:space="0" w:color="auto"/>
      </w:divBdr>
    </w:div>
    <w:div w:id="308899992">
      <w:bodyDiv w:val="1"/>
      <w:marLeft w:val="0"/>
      <w:marRight w:val="0"/>
      <w:marTop w:val="0"/>
      <w:marBottom w:val="0"/>
      <w:divBdr>
        <w:top w:val="none" w:sz="0" w:space="0" w:color="auto"/>
        <w:left w:val="none" w:sz="0" w:space="0" w:color="auto"/>
        <w:bottom w:val="none" w:sz="0" w:space="0" w:color="auto"/>
        <w:right w:val="none" w:sz="0" w:space="0" w:color="auto"/>
      </w:divBdr>
    </w:div>
    <w:div w:id="357438493">
      <w:bodyDiv w:val="1"/>
      <w:marLeft w:val="0"/>
      <w:marRight w:val="0"/>
      <w:marTop w:val="0"/>
      <w:marBottom w:val="0"/>
      <w:divBdr>
        <w:top w:val="none" w:sz="0" w:space="0" w:color="auto"/>
        <w:left w:val="none" w:sz="0" w:space="0" w:color="auto"/>
        <w:bottom w:val="none" w:sz="0" w:space="0" w:color="auto"/>
        <w:right w:val="none" w:sz="0" w:space="0" w:color="auto"/>
      </w:divBdr>
    </w:div>
    <w:div w:id="424156317">
      <w:bodyDiv w:val="1"/>
      <w:marLeft w:val="0"/>
      <w:marRight w:val="0"/>
      <w:marTop w:val="0"/>
      <w:marBottom w:val="0"/>
      <w:divBdr>
        <w:top w:val="none" w:sz="0" w:space="0" w:color="auto"/>
        <w:left w:val="none" w:sz="0" w:space="0" w:color="auto"/>
        <w:bottom w:val="none" w:sz="0" w:space="0" w:color="auto"/>
        <w:right w:val="none" w:sz="0" w:space="0" w:color="auto"/>
      </w:divBdr>
    </w:div>
    <w:div w:id="530460676">
      <w:bodyDiv w:val="1"/>
      <w:marLeft w:val="0"/>
      <w:marRight w:val="0"/>
      <w:marTop w:val="0"/>
      <w:marBottom w:val="0"/>
      <w:divBdr>
        <w:top w:val="none" w:sz="0" w:space="0" w:color="auto"/>
        <w:left w:val="none" w:sz="0" w:space="0" w:color="auto"/>
        <w:bottom w:val="none" w:sz="0" w:space="0" w:color="auto"/>
        <w:right w:val="none" w:sz="0" w:space="0" w:color="auto"/>
      </w:divBdr>
    </w:div>
    <w:div w:id="551884920">
      <w:bodyDiv w:val="1"/>
      <w:marLeft w:val="0"/>
      <w:marRight w:val="0"/>
      <w:marTop w:val="0"/>
      <w:marBottom w:val="0"/>
      <w:divBdr>
        <w:top w:val="none" w:sz="0" w:space="0" w:color="auto"/>
        <w:left w:val="none" w:sz="0" w:space="0" w:color="auto"/>
        <w:bottom w:val="none" w:sz="0" w:space="0" w:color="auto"/>
        <w:right w:val="none" w:sz="0" w:space="0" w:color="auto"/>
      </w:divBdr>
    </w:div>
    <w:div w:id="905720386">
      <w:bodyDiv w:val="1"/>
      <w:marLeft w:val="0"/>
      <w:marRight w:val="0"/>
      <w:marTop w:val="0"/>
      <w:marBottom w:val="0"/>
      <w:divBdr>
        <w:top w:val="none" w:sz="0" w:space="0" w:color="auto"/>
        <w:left w:val="none" w:sz="0" w:space="0" w:color="auto"/>
        <w:bottom w:val="none" w:sz="0" w:space="0" w:color="auto"/>
        <w:right w:val="none" w:sz="0" w:space="0" w:color="auto"/>
      </w:divBdr>
    </w:div>
    <w:div w:id="942036534">
      <w:bodyDiv w:val="1"/>
      <w:marLeft w:val="0"/>
      <w:marRight w:val="0"/>
      <w:marTop w:val="0"/>
      <w:marBottom w:val="0"/>
      <w:divBdr>
        <w:top w:val="none" w:sz="0" w:space="0" w:color="auto"/>
        <w:left w:val="none" w:sz="0" w:space="0" w:color="auto"/>
        <w:bottom w:val="none" w:sz="0" w:space="0" w:color="auto"/>
        <w:right w:val="none" w:sz="0" w:space="0" w:color="auto"/>
      </w:divBdr>
    </w:div>
    <w:div w:id="1179926121">
      <w:bodyDiv w:val="1"/>
      <w:marLeft w:val="0"/>
      <w:marRight w:val="0"/>
      <w:marTop w:val="0"/>
      <w:marBottom w:val="0"/>
      <w:divBdr>
        <w:top w:val="none" w:sz="0" w:space="0" w:color="auto"/>
        <w:left w:val="none" w:sz="0" w:space="0" w:color="auto"/>
        <w:bottom w:val="none" w:sz="0" w:space="0" w:color="auto"/>
        <w:right w:val="none" w:sz="0" w:space="0" w:color="auto"/>
      </w:divBdr>
    </w:div>
    <w:div w:id="1423257633">
      <w:bodyDiv w:val="1"/>
      <w:marLeft w:val="0"/>
      <w:marRight w:val="0"/>
      <w:marTop w:val="0"/>
      <w:marBottom w:val="0"/>
      <w:divBdr>
        <w:top w:val="none" w:sz="0" w:space="0" w:color="auto"/>
        <w:left w:val="none" w:sz="0" w:space="0" w:color="auto"/>
        <w:bottom w:val="none" w:sz="0" w:space="0" w:color="auto"/>
        <w:right w:val="none" w:sz="0" w:space="0" w:color="auto"/>
      </w:divBdr>
    </w:div>
    <w:div w:id="1547140247">
      <w:bodyDiv w:val="1"/>
      <w:marLeft w:val="0"/>
      <w:marRight w:val="0"/>
      <w:marTop w:val="0"/>
      <w:marBottom w:val="0"/>
      <w:divBdr>
        <w:top w:val="none" w:sz="0" w:space="0" w:color="auto"/>
        <w:left w:val="none" w:sz="0" w:space="0" w:color="auto"/>
        <w:bottom w:val="none" w:sz="0" w:space="0" w:color="auto"/>
        <w:right w:val="none" w:sz="0" w:space="0" w:color="auto"/>
      </w:divBdr>
    </w:div>
    <w:div w:id="1593928229">
      <w:bodyDiv w:val="1"/>
      <w:marLeft w:val="0"/>
      <w:marRight w:val="0"/>
      <w:marTop w:val="0"/>
      <w:marBottom w:val="0"/>
      <w:divBdr>
        <w:top w:val="none" w:sz="0" w:space="0" w:color="auto"/>
        <w:left w:val="none" w:sz="0" w:space="0" w:color="auto"/>
        <w:bottom w:val="none" w:sz="0" w:space="0" w:color="auto"/>
        <w:right w:val="none" w:sz="0" w:space="0" w:color="auto"/>
      </w:divBdr>
    </w:div>
    <w:div w:id="1600718813">
      <w:bodyDiv w:val="1"/>
      <w:marLeft w:val="0"/>
      <w:marRight w:val="0"/>
      <w:marTop w:val="0"/>
      <w:marBottom w:val="0"/>
      <w:divBdr>
        <w:top w:val="none" w:sz="0" w:space="0" w:color="auto"/>
        <w:left w:val="none" w:sz="0" w:space="0" w:color="auto"/>
        <w:bottom w:val="none" w:sz="0" w:space="0" w:color="auto"/>
        <w:right w:val="none" w:sz="0" w:space="0" w:color="auto"/>
      </w:divBdr>
    </w:div>
    <w:div w:id="1771706738">
      <w:bodyDiv w:val="1"/>
      <w:marLeft w:val="0"/>
      <w:marRight w:val="0"/>
      <w:marTop w:val="0"/>
      <w:marBottom w:val="0"/>
      <w:divBdr>
        <w:top w:val="none" w:sz="0" w:space="0" w:color="auto"/>
        <w:left w:val="none" w:sz="0" w:space="0" w:color="auto"/>
        <w:bottom w:val="none" w:sz="0" w:space="0" w:color="auto"/>
        <w:right w:val="none" w:sz="0" w:space="0" w:color="auto"/>
      </w:divBdr>
    </w:div>
    <w:div w:id="1850487146">
      <w:bodyDiv w:val="1"/>
      <w:marLeft w:val="0"/>
      <w:marRight w:val="0"/>
      <w:marTop w:val="0"/>
      <w:marBottom w:val="0"/>
      <w:divBdr>
        <w:top w:val="none" w:sz="0" w:space="0" w:color="auto"/>
        <w:left w:val="none" w:sz="0" w:space="0" w:color="auto"/>
        <w:bottom w:val="none" w:sz="0" w:space="0" w:color="auto"/>
        <w:right w:val="none" w:sz="0" w:space="0" w:color="auto"/>
      </w:divBdr>
      <w:divsChild>
        <w:div w:id="1921021583">
          <w:marLeft w:val="0"/>
          <w:marRight w:val="0"/>
          <w:marTop w:val="0"/>
          <w:marBottom w:val="0"/>
          <w:divBdr>
            <w:top w:val="none" w:sz="0" w:space="0" w:color="auto"/>
            <w:left w:val="none" w:sz="0" w:space="0" w:color="auto"/>
            <w:bottom w:val="none" w:sz="0" w:space="0" w:color="auto"/>
            <w:right w:val="none" w:sz="0" w:space="0" w:color="auto"/>
          </w:divBdr>
        </w:div>
        <w:div w:id="1980457150">
          <w:marLeft w:val="0"/>
          <w:marRight w:val="0"/>
          <w:marTop w:val="0"/>
          <w:marBottom w:val="0"/>
          <w:divBdr>
            <w:top w:val="none" w:sz="0" w:space="0" w:color="auto"/>
            <w:left w:val="none" w:sz="0" w:space="0" w:color="auto"/>
            <w:bottom w:val="none" w:sz="0" w:space="0" w:color="auto"/>
            <w:right w:val="none" w:sz="0" w:space="0" w:color="auto"/>
          </w:divBdr>
        </w:div>
      </w:divsChild>
    </w:div>
    <w:div w:id="1973831158">
      <w:bodyDiv w:val="1"/>
      <w:marLeft w:val="0"/>
      <w:marRight w:val="0"/>
      <w:marTop w:val="0"/>
      <w:marBottom w:val="0"/>
      <w:divBdr>
        <w:top w:val="none" w:sz="0" w:space="0" w:color="auto"/>
        <w:left w:val="none" w:sz="0" w:space="0" w:color="auto"/>
        <w:bottom w:val="none" w:sz="0" w:space="0" w:color="auto"/>
        <w:right w:val="none" w:sz="0" w:space="0" w:color="auto"/>
      </w:divBdr>
    </w:div>
    <w:div w:id="2036734442">
      <w:bodyDiv w:val="1"/>
      <w:marLeft w:val="0"/>
      <w:marRight w:val="0"/>
      <w:marTop w:val="0"/>
      <w:marBottom w:val="0"/>
      <w:divBdr>
        <w:top w:val="none" w:sz="0" w:space="0" w:color="auto"/>
        <w:left w:val="none" w:sz="0" w:space="0" w:color="auto"/>
        <w:bottom w:val="none" w:sz="0" w:space="0" w:color="auto"/>
        <w:right w:val="none" w:sz="0" w:space="0" w:color="auto"/>
      </w:divBdr>
    </w:div>
    <w:div w:id="21252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cid:image001.png@01DC312A.FE16B24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sseltje.delange@ru.nl"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mailto:y.arbaoui@vu.nl"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image001.png@01DC5D1E.26DA8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85fb5cd-16b3-4e7e-8f65-6131b32727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ACF21BE164144CB226F5AE3A3063C6" ma:contentTypeVersion="16" ma:contentTypeDescription="Een nieuw document maken." ma:contentTypeScope="" ma:versionID="46b1189ca13ad548e81f9f5720ad15d6">
  <xsd:schema xmlns:xsd="http://www.w3.org/2001/XMLSchema" xmlns:xs="http://www.w3.org/2001/XMLSchema" xmlns:p="http://schemas.microsoft.com/office/2006/metadata/properties" xmlns:ns3="085fb5cd-16b3-4e7e-8f65-6131b327270a" xmlns:ns4="54640a13-8cfd-4f1a-9552-70a439a730b0" targetNamespace="http://schemas.microsoft.com/office/2006/metadata/properties" ma:root="true" ma:fieldsID="ae8d13f897f363463c169f317607d5d2" ns3:_="" ns4:_="">
    <xsd:import namespace="085fb5cd-16b3-4e7e-8f65-6131b327270a"/>
    <xsd:import namespace="54640a13-8cfd-4f1a-9552-70a439a730b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SystemTag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fb5cd-16b3-4e7e-8f65-6131b3272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40a13-8cfd-4f1a-9552-70a439a730b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29D60-9FEF-4FA9-ACF3-68956F5A639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4640a13-8cfd-4f1a-9552-70a439a730b0"/>
    <ds:schemaRef ds:uri="085fb5cd-16b3-4e7e-8f65-6131b327270a"/>
    <ds:schemaRef ds:uri="http://www.w3.org/XML/1998/namespace"/>
    <ds:schemaRef ds:uri="http://purl.org/dc/dcmitype/"/>
  </ds:schemaRefs>
</ds:datastoreItem>
</file>

<file path=customXml/itemProps2.xml><?xml version="1.0" encoding="utf-8"?>
<ds:datastoreItem xmlns:ds="http://schemas.openxmlformats.org/officeDocument/2006/customXml" ds:itemID="{3BFB4196-0B8E-4D7D-84DB-2421245E0907}">
  <ds:schemaRefs>
    <ds:schemaRef ds:uri="http://schemas.microsoft.com/sharepoint/v3/contenttype/forms"/>
  </ds:schemaRefs>
</ds:datastoreItem>
</file>

<file path=customXml/itemProps3.xml><?xml version="1.0" encoding="utf-8"?>
<ds:datastoreItem xmlns:ds="http://schemas.openxmlformats.org/officeDocument/2006/customXml" ds:itemID="{F632FFD5-43D7-412B-9943-413B90F0B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fb5cd-16b3-4e7e-8f65-6131b327270a"/>
    <ds:schemaRef ds:uri="54640a13-8cfd-4f1a-9552-70a439a73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4578d9-400d-4a5a-a7c7-e76ca47af400}" enabled="0" method="" siteId="{084578d9-400d-4a5a-a7c7-e76ca47af40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1010</Words>
  <Characters>5555</Characters>
  <Application>Microsoft Office Word</Application>
  <DocSecurity>4</DocSecurity>
  <Lines>46</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Arbaoui, Y. (Younous)</dc:creator>
  <cp:keywords/>
  <dc:description/>
  <cp:lastModifiedBy>Tesseltje de Lange </cp:lastModifiedBy>
  <cp:revision>2</cp:revision>
  <dcterms:created xsi:type="dcterms:W3CDTF">2025-12-02T11:04:00Z</dcterms:created>
  <dcterms:modified xsi:type="dcterms:W3CDTF">2025-12-02T11:04:00Z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0x0101004FACF21BE164144CB226F5AE3A3063C6</vt:lpwstr>
  </property>
</Properties>
</file>