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05F85" w14:textId="77777777" w:rsidR="00906BB0" w:rsidRDefault="00906BB0" w:rsidP="00906BB0">
      <w:pPr>
        <w:spacing w:after="0" w:line="259" w:lineRule="auto"/>
        <w:ind w:left="-227"/>
      </w:pPr>
      <w:r>
        <w:rPr>
          <w:noProof/>
        </w:rPr>
        <mc:AlternateContent>
          <mc:Choice Requires="wpg">
            <w:drawing>
              <wp:inline distT="0" distB="0" distL="0" distR="0" wp14:anchorId="67A33262" wp14:editId="716CB82D">
                <wp:extent cx="6956044" cy="10089769"/>
                <wp:effectExtent l="0" t="0" r="3810" b="6985"/>
                <wp:docPr id="67732" name="Group 67732"/>
                <wp:cNvGraphicFramePr/>
                <a:graphic xmlns:a="http://schemas.openxmlformats.org/drawingml/2006/main">
                  <a:graphicData uri="http://schemas.microsoft.com/office/word/2010/wordprocessingGroup">
                    <wpg:wgp>
                      <wpg:cNvGrpSpPr/>
                      <wpg:grpSpPr>
                        <a:xfrm>
                          <a:off x="0" y="0"/>
                          <a:ext cx="6956044" cy="10089769"/>
                          <a:chOff x="0" y="0"/>
                          <a:chExt cx="6956044" cy="10089769"/>
                        </a:xfrm>
                      </wpg:grpSpPr>
                      <wps:wsp>
                        <wps:cNvPr id="6" name="Rectangle 6"/>
                        <wps:cNvSpPr/>
                        <wps:spPr>
                          <a:xfrm>
                            <a:off x="606743" y="171831"/>
                            <a:ext cx="41991" cy="189248"/>
                          </a:xfrm>
                          <a:prstGeom prst="rect">
                            <a:avLst/>
                          </a:prstGeom>
                          <a:ln>
                            <a:noFill/>
                          </a:ln>
                        </wps:spPr>
                        <wps:txbx>
                          <w:txbxContent>
                            <w:p w14:paraId="7FF30000"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7" name="Rectangle 7"/>
                        <wps:cNvSpPr/>
                        <wps:spPr>
                          <a:xfrm>
                            <a:off x="3475101" y="171831"/>
                            <a:ext cx="41991" cy="189248"/>
                          </a:xfrm>
                          <a:prstGeom prst="rect">
                            <a:avLst/>
                          </a:prstGeom>
                          <a:ln>
                            <a:noFill/>
                          </a:ln>
                        </wps:spPr>
                        <wps:txbx>
                          <w:txbxContent>
                            <w:p w14:paraId="3A33D5A8"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8" name="Rectangle 8"/>
                        <wps:cNvSpPr/>
                        <wps:spPr>
                          <a:xfrm>
                            <a:off x="609918" y="362331"/>
                            <a:ext cx="41991" cy="189248"/>
                          </a:xfrm>
                          <a:prstGeom prst="rect">
                            <a:avLst/>
                          </a:prstGeom>
                          <a:ln>
                            <a:noFill/>
                          </a:ln>
                        </wps:spPr>
                        <wps:txbx>
                          <w:txbxContent>
                            <w:p w14:paraId="7B353174"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9" name="Rectangle 9"/>
                        <wps:cNvSpPr/>
                        <wps:spPr>
                          <a:xfrm>
                            <a:off x="606743" y="9607232"/>
                            <a:ext cx="41991" cy="189248"/>
                          </a:xfrm>
                          <a:prstGeom prst="rect">
                            <a:avLst/>
                          </a:prstGeom>
                          <a:ln>
                            <a:noFill/>
                          </a:ln>
                        </wps:spPr>
                        <wps:txbx>
                          <w:txbxContent>
                            <w:p w14:paraId="06D42969"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0" name="Rectangle 10"/>
                        <wps:cNvSpPr/>
                        <wps:spPr>
                          <a:xfrm>
                            <a:off x="3475101" y="9607232"/>
                            <a:ext cx="41991" cy="189248"/>
                          </a:xfrm>
                          <a:prstGeom prst="rect">
                            <a:avLst/>
                          </a:prstGeom>
                          <a:ln>
                            <a:noFill/>
                          </a:ln>
                        </wps:spPr>
                        <wps:txbx>
                          <w:txbxContent>
                            <w:p w14:paraId="44DA31C4"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1" name="Rectangle 11"/>
                        <wps:cNvSpPr/>
                        <wps:spPr>
                          <a:xfrm>
                            <a:off x="609918" y="9797732"/>
                            <a:ext cx="41991" cy="189248"/>
                          </a:xfrm>
                          <a:prstGeom prst="rect">
                            <a:avLst/>
                          </a:prstGeom>
                          <a:ln>
                            <a:noFill/>
                          </a:ln>
                        </wps:spPr>
                        <wps:txbx>
                          <w:txbxContent>
                            <w:p w14:paraId="743E6FCF" w14:textId="77777777" w:rsidR="00906BB0" w:rsidRDefault="00906BB0" w:rsidP="00823322">
                              <w:pPr>
                                <w:spacing w:line="259" w:lineRule="auto"/>
                              </w:pPr>
                              <w:r>
                                <w:t xml:space="preserve"> </w:t>
                              </w:r>
                            </w:p>
                          </w:txbxContent>
                        </wps:txbx>
                        <wps:bodyPr horzOverflow="overflow" vert="horz" lIns="0" tIns="0" rIns="0" bIns="0" rtlCol="0">
                          <a:noAutofit/>
                        </wps:bodyPr>
                      </wps:wsp>
                      <wps:wsp>
                        <wps:cNvPr id="12" name="Rectangle 12"/>
                        <wps:cNvSpPr/>
                        <wps:spPr>
                          <a:xfrm>
                            <a:off x="3475101" y="643133"/>
                            <a:ext cx="52024" cy="236474"/>
                          </a:xfrm>
                          <a:prstGeom prst="rect">
                            <a:avLst/>
                          </a:prstGeom>
                          <a:ln>
                            <a:noFill/>
                          </a:ln>
                        </wps:spPr>
                        <wps:txbx>
                          <w:txbxContent>
                            <w:p w14:paraId="2FDBFB29"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3" name="Rectangle 13"/>
                        <wps:cNvSpPr/>
                        <wps:spPr>
                          <a:xfrm>
                            <a:off x="3475101" y="1011433"/>
                            <a:ext cx="52024" cy="236474"/>
                          </a:xfrm>
                          <a:prstGeom prst="rect">
                            <a:avLst/>
                          </a:prstGeom>
                          <a:ln>
                            <a:noFill/>
                          </a:ln>
                        </wps:spPr>
                        <wps:txbx>
                          <w:txbxContent>
                            <w:p w14:paraId="042932B4"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4" name="Rectangle 14"/>
                        <wps:cNvSpPr/>
                        <wps:spPr>
                          <a:xfrm>
                            <a:off x="3475101" y="1376811"/>
                            <a:ext cx="52024" cy="236474"/>
                          </a:xfrm>
                          <a:prstGeom prst="rect">
                            <a:avLst/>
                          </a:prstGeom>
                          <a:ln>
                            <a:noFill/>
                          </a:ln>
                        </wps:spPr>
                        <wps:txbx>
                          <w:txbxContent>
                            <w:p w14:paraId="5AEE56F6"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5" name="Rectangle 15"/>
                        <wps:cNvSpPr/>
                        <wps:spPr>
                          <a:xfrm>
                            <a:off x="3240151" y="2272543"/>
                            <a:ext cx="52024" cy="236474"/>
                          </a:xfrm>
                          <a:prstGeom prst="rect">
                            <a:avLst/>
                          </a:prstGeom>
                          <a:ln>
                            <a:noFill/>
                          </a:ln>
                        </wps:spPr>
                        <wps:txbx>
                          <w:txbxContent>
                            <w:p w14:paraId="6565FBF6"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16" name="Rectangle 16"/>
                        <wps:cNvSpPr/>
                        <wps:spPr>
                          <a:xfrm>
                            <a:off x="609918" y="2605211"/>
                            <a:ext cx="853739" cy="270256"/>
                          </a:xfrm>
                          <a:prstGeom prst="rect">
                            <a:avLst/>
                          </a:prstGeom>
                          <a:ln>
                            <a:noFill/>
                          </a:ln>
                        </wps:spPr>
                        <wps:txbx>
                          <w:txbxContent>
                            <w:p w14:paraId="0E413C4B" w14:textId="77777777" w:rsidR="00906BB0" w:rsidRDefault="00906BB0" w:rsidP="00823322">
                              <w:pPr>
                                <w:spacing w:line="259" w:lineRule="auto"/>
                              </w:pPr>
                              <w:r>
                                <w:rPr>
                                  <w:rFonts w:ascii="Cambria" w:eastAsia="Cambria" w:hAnsi="Cambria" w:cs="Cambria"/>
                                  <w:sz w:val="32"/>
                                </w:rPr>
                                <w:t>ACMRL</w:t>
                              </w:r>
                            </w:p>
                          </w:txbxContent>
                        </wps:txbx>
                        <wps:bodyPr horzOverflow="overflow" vert="horz" lIns="0" tIns="0" rIns="0" bIns="0" rtlCol="0">
                          <a:noAutofit/>
                        </wps:bodyPr>
                      </wps:wsp>
                      <wps:wsp>
                        <wps:cNvPr id="17" name="Rectangle 17"/>
                        <wps:cNvSpPr/>
                        <wps:spPr>
                          <a:xfrm>
                            <a:off x="1251585" y="2605211"/>
                            <a:ext cx="59456" cy="270256"/>
                          </a:xfrm>
                          <a:prstGeom prst="rect">
                            <a:avLst/>
                          </a:prstGeom>
                          <a:ln>
                            <a:noFill/>
                          </a:ln>
                        </wps:spPr>
                        <wps:txbx>
                          <w:txbxContent>
                            <w:p w14:paraId="2088A52A"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18" name="Rectangle 18"/>
                        <wps:cNvSpPr/>
                        <wps:spPr>
                          <a:xfrm>
                            <a:off x="1296035" y="2605211"/>
                            <a:ext cx="2889848" cy="270256"/>
                          </a:xfrm>
                          <a:prstGeom prst="rect">
                            <a:avLst/>
                          </a:prstGeom>
                          <a:ln>
                            <a:noFill/>
                          </a:ln>
                        </wps:spPr>
                        <wps:txbx>
                          <w:txbxContent>
                            <w:p w14:paraId="4C703EDD" w14:textId="4CB48757" w:rsidR="00906BB0" w:rsidRDefault="00906BB0" w:rsidP="00823322">
                              <w:pPr>
                                <w:spacing w:line="259" w:lineRule="auto"/>
                              </w:pPr>
                              <w:r>
                                <w:rPr>
                                  <w:rFonts w:ascii="Cambria" w:eastAsia="Cambria" w:hAnsi="Cambria" w:cs="Cambria"/>
                                  <w:sz w:val="32"/>
                                </w:rPr>
                                <w:t xml:space="preserve">Migration Law Series No </w:t>
                              </w:r>
                              <w:r w:rsidR="009847E8">
                                <w:rPr>
                                  <w:rFonts w:ascii="Cambria" w:eastAsia="Cambria" w:hAnsi="Cambria" w:cs="Cambria"/>
                                  <w:sz w:val="32"/>
                                </w:rPr>
                                <w:t>31</w:t>
                              </w:r>
                            </w:p>
                          </w:txbxContent>
                        </wps:txbx>
                        <wps:bodyPr horzOverflow="overflow" vert="horz" lIns="0" tIns="0" rIns="0" bIns="0" rtlCol="0">
                          <a:noAutofit/>
                        </wps:bodyPr>
                      </wps:wsp>
                      <wps:wsp>
                        <wps:cNvPr id="21" name="Rectangle 21"/>
                        <wps:cNvSpPr/>
                        <wps:spPr>
                          <a:xfrm>
                            <a:off x="3694176" y="2605211"/>
                            <a:ext cx="59456" cy="270256"/>
                          </a:xfrm>
                          <a:prstGeom prst="rect">
                            <a:avLst/>
                          </a:prstGeom>
                          <a:ln>
                            <a:noFill/>
                          </a:ln>
                        </wps:spPr>
                        <wps:txbx>
                          <w:txbxContent>
                            <w:p w14:paraId="021EB6D4"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22" name="Rectangle 22"/>
                        <wps:cNvSpPr/>
                        <wps:spPr>
                          <a:xfrm>
                            <a:off x="609918" y="3002793"/>
                            <a:ext cx="52024" cy="236474"/>
                          </a:xfrm>
                          <a:prstGeom prst="rect">
                            <a:avLst/>
                          </a:prstGeom>
                          <a:ln>
                            <a:noFill/>
                          </a:ln>
                        </wps:spPr>
                        <wps:txbx>
                          <w:txbxContent>
                            <w:p w14:paraId="3383FD9B"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3" name="Rectangle 23"/>
                        <wps:cNvSpPr/>
                        <wps:spPr>
                          <a:xfrm>
                            <a:off x="3475101" y="3368171"/>
                            <a:ext cx="52024" cy="236474"/>
                          </a:xfrm>
                          <a:prstGeom prst="rect">
                            <a:avLst/>
                          </a:prstGeom>
                          <a:ln>
                            <a:noFill/>
                          </a:ln>
                        </wps:spPr>
                        <wps:txbx>
                          <w:txbxContent>
                            <w:p w14:paraId="77C4812A"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4" name="Rectangle 24"/>
                        <wps:cNvSpPr/>
                        <wps:spPr>
                          <a:xfrm>
                            <a:off x="3475101" y="3736471"/>
                            <a:ext cx="52024" cy="236474"/>
                          </a:xfrm>
                          <a:prstGeom prst="rect">
                            <a:avLst/>
                          </a:prstGeom>
                          <a:ln>
                            <a:noFill/>
                          </a:ln>
                        </wps:spPr>
                        <wps:txbx>
                          <w:txbxContent>
                            <w:p w14:paraId="2ACBBCFA"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5" name="Rectangle 25"/>
                        <wps:cNvSpPr/>
                        <wps:spPr>
                          <a:xfrm>
                            <a:off x="3475101" y="4101597"/>
                            <a:ext cx="52024" cy="236474"/>
                          </a:xfrm>
                          <a:prstGeom prst="rect">
                            <a:avLst/>
                          </a:prstGeom>
                          <a:ln>
                            <a:noFill/>
                          </a:ln>
                        </wps:spPr>
                        <wps:txbx>
                          <w:txbxContent>
                            <w:p w14:paraId="3932D20C" w14:textId="77777777" w:rsidR="00906BB0" w:rsidRDefault="00906BB0" w:rsidP="00823322">
                              <w:pPr>
                                <w:spacing w:line="259" w:lineRule="auto"/>
                              </w:pPr>
                              <w:r>
                                <w:rPr>
                                  <w:rFonts w:ascii="Cambria" w:eastAsia="Cambria" w:hAnsi="Cambria" w:cs="Cambria"/>
                                  <w:b/>
                                  <w:sz w:val="28"/>
                                </w:rPr>
                                <w:t xml:space="preserve"> </w:t>
                              </w:r>
                            </w:p>
                          </w:txbxContent>
                        </wps:txbx>
                        <wps:bodyPr horzOverflow="overflow" vert="horz" lIns="0" tIns="0" rIns="0" bIns="0" rtlCol="0">
                          <a:noAutofit/>
                        </wps:bodyPr>
                      </wps:wsp>
                      <wps:wsp>
                        <wps:cNvPr id="26" name="Rectangle 26"/>
                        <wps:cNvSpPr/>
                        <wps:spPr>
                          <a:xfrm>
                            <a:off x="609795" y="4485920"/>
                            <a:ext cx="6162458" cy="2191606"/>
                          </a:xfrm>
                          <a:prstGeom prst="rect">
                            <a:avLst/>
                          </a:prstGeom>
                          <a:ln>
                            <a:noFill/>
                          </a:ln>
                        </wps:spPr>
                        <wps:txbx>
                          <w:txbxContent>
                            <w:p w14:paraId="52959170" w14:textId="77777777" w:rsidR="009847E8" w:rsidRPr="009847E8" w:rsidRDefault="009847E8" w:rsidP="009847E8">
                              <w:pPr>
                                <w:spacing w:line="259" w:lineRule="auto"/>
                                <w:rPr>
                                  <w:rFonts w:ascii="Cambria" w:eastAsia="Cambria" w:hAnsi="Cambria" w:cs="Cambria"/>
                                  <w:b/>
                                  <w:color w:val="548DD4"/>
                                  <w:sz w:val="52"/>
                                  <w:szCs w:val="52"/>
                                </w:rPr>
                              </w:pPr>
                              <w:r w:rsidRPr="009847E8">
                                <w:rPr>
                                  <w:rFonts w:ascii="Cambria" w:eastAsia="Cambria" w:hAnsi="Cambria" w:cs="Cambria"/>
                                  <w:b/>
                                  <w:color w:val="548DD4"/>
                                  <w:sz w:val="52"/>
                                  <w:szCs w:val="52"/>
                                </w:rPr>
                                <w:t xml:space="preserve">‘Wandering Around in the Kampongs’ </w:t>
                              </w:r>
                            </w:p>
                            <w:p w14:paraId="3EF2ACA7" w14:textId="57BD4EB8" w:rsidR="00906BB0" w:rsidRPr="00823322" w:rsidRDefault="009847E8" w:rsidP="009847E8">
                              <w:pPr>
                                <w:spacing w:line="259" w:lineRule="auto"/>
                                <w:rPr>
                                  <w:sz w:val="40"/>
                                  <w:szCs w:val="40"/>
                                </w:rPr>
                              </w:pPr>
                              <w:r w:rsidRPr="009847E8">
                                <w:rPr>
                                  <w:rFonts w:ascii="Cambria" w:eastAsia="Cambria" w:hAnsi="Cambria" w:cs="Cambria"/>
                                  <w:b/>
                                  <w:sz w:val="40"/>
                                  <w:szCs w:val="40"/>
                                </w:rPr>
                                <w:t>Child Separation in the Dutch East Indies in the Nineteenth- and Early Twentieth-Century as a Technology of Biopower</w:t>
                              </w:r>
                            </w:p>
                          </w:txbxContent>
                        </wps:txbx>
                        <wps:bodyPr horzOverflow="overflow" vert="horz" lIns="0" tIns="0" rIns="0" bIns="0" rtlCol="0">
                          <a:noAutofit/>
                        </wps:bodyPr>
                      </wps:wsp>
                      <wps:wsp>
                        <wps:cNvPr id="30" name="Rectangle 30"/>
                        <wps:cNvSpPr/>
                        <wps:spPr>
                          <a:xfrm>
                            <a:off x="609918" y="5991704"/>
                            <a:ext cx="1432526" cy="371603"/>
                          </a:xfrm>
                          <a:prstGeom prst="rect">
                            <a:avLst/>
                          </a:prstGeom>
                          <a:ln>
                            <a:noFill/>
                          </a:ln>
                        </wps:spPr>
                        <wps:txbx>
                          <w:txbxContent>
                            <w:p w14:paraId="7F68A740" w14:textId="77777777" w:rsidR="00906BB0" w:rsidRDefault="00906BB0" w:rsidP="00823322">
                              <w:pPr>
                                <w:spacing w:line="259" w:lineRule="auto"/>
                              </w:pPr>
                            </w:p>
                          </w:txbxContent>
                        </wps:txbx>
                        <wps:bodyPr horzOverflow="overflow" vert="horz" lIns="0" tIns="0" rIns="0" bIns="0" rtlCol="0">
                          <a:noAutofit/>
                        </wps:bodyPr>
                      </wps:wsp>
                      <wps:wsp>
                        <wps:cNvPr id="31" name="Rectangle 31"/>
                        <wps:cNvSpPr/>
                        <wps:spPr>
                          <a:xfrm>
                            <a:off x="1686941" y="5991704"/>
                            <a:ext cx="81752" cy="371603"/>
                          </a:xfrm>
                          <a:prstGeom prst="rect">
                            <a:avLst/>
                          </a:prstGeom>
                          <a:ln>
                            <a:noFill/>
                          </a:ln>
                        </wps:spPr>
                        <wps:txbx>
                          <w:txbxContent>
                            <w:p w14:paraId="31B4B394" w14:textId="77777777" w:rsidR="00906BB0" w:rsidRDefault="00906BB0" w:rsidP="00823322">
                              <w:pPr>
                                <w:spacing w:line="259" w:lineRule="auto"/>
                              </w:pPr>
                              <w:r>
                                <w:rPr>
                                  <w:rFonts w:ascii="Cambria" w:eastAsia="Cambria" w:hAnsi="Cambria" w:cs="Cambria"/>
                                  <w:b/>
                                  <w:color w:val="548DD4"/>
                                  <w:sz w:val="44"/>
                                </w:rPr>
                                <w:t xml:space="preserve"> </w:t>
                              </w:r>
                            </w:p>
                          </w:txbxContent>
                        </wps:txbx>
                        <wps:bodyPr horzOverflow="overflow" vert="horz" lIns="0" tIns="0" rIns="0" bIns="0" rtlCol="0">
                          <a:noAutofit/>
                        </wps:bodyPr>
                      </wps:wsp>
                      <wps:wsp>
                        <wps:cNvPr id="32" name="Rectangle 32"/>
                        <wps:cNvSpPr/>
                        <wps:spPr>
                          <a:xfrm>
                            <a:off x="1750441" y="5991704"/>
                            <a:ext cx="81752" cy="371603"/>
                          </a:xfrm>
                          <a:prstGeom prst="rect">
                            <a:avLst/>
                          </a:prstGeom>
                          <a:ln>
                            <a:noFill/>
                          </a:ln>
                        </wps:spPr>
                        <wps:txbx>
                          <w:txbxContent>
                            <w:p w14:paraId="2559A8B5" w14:textId="77777777" w:rsidR="00906BB0" w:rsidRDefault="00906BB0" w:rsidP="00823322">
                              <w:pPr>
                                <w:spacing w:line="259" w:lineRule="auto"/>
                              </w:pPr>
                              <w:r>
                                <w:rPr>
                                  <w:rFonts w:ascii="Cambria" w:eastAsia="Cambria" w:hAnsi="Cambria" w:cs="Cambria"/>
                                  <w:b/>
                                  <w:color w:val="548DD4"/>
                                  <w:sz w:val="44"/>
                                </w:rPr>
                                <w:t xml:space="preserve"> </w:t>
                              </w:r>
                            </w:p>
                          </w:txbxContent>
                        </wps:txbx>
                        <wps:bodyPr horzOverflow="overflow" vert="horz" lIns="0" tIns="0" rIns="0" bIns="0" rtlCol="0">
                          <a:noAutofit/>
                        </wps:bodyPr>
                      </wps:wsp>
                      <wps:wsp>
                        <wps:cNvPr id="33" name="Rectangle 33"/>
                        <wps:cNvSpPr/>
                        <wps:spPr>
                          <a:xfrm>
                            <a:off x="609918" y="6482775"/>
                            <a:ext cx="59456" cy="270256"/>
                          </a:xfrm>
                          <a:prstGeom prst="rect">
                            <a:avLst/>
                          </a:prstGeom>
                          <a:ln>
                            <a:noFill/>
                          </a:ln>
                        </wps:spPr>
                        <wps:txbx>
                          <w:txbxContent>
                            <w:p w14:paraId="419F11D3" w14:textId="77777777" w:rsidR="00906BB0" w:rsidRDefault="00906BB0" w:rsidP="00823322">
                              <w:pPr>
                                <w:spacing w:line="259" w:lineRule="auto"/>
                              </w:pPr>
                              <w:r>
                                <w:rPr>
                                  <w:rFonts w:ascii="Cambria" w:eastAsia="Cambria" w:hAnsi="Cambria" w:cs="Cambria"/>
                                  <w:b/>
                                  <w:sz w:val="32"/>
                                </w:rPr>
                                <w:t xml:space="preserve"> </w:t>
                              </w:r>
                            </w:p>
                          </w:txbxContent>
                        </wps:txbx>
                        <wps:bodyPr horzOverflow="overflow" vert="horz" lIns="0" tIns="0" rIns="0" bIns="0" rtlCol="0">
                          <a:noAutofit/>
                        </wps:bodyPr>
                      </wps:wsp>
                      <wps:wsp>
                        <wps:cNvPr id="34" name="Rectangle 34"/>
                        <wps:cNvSpPr/>
                        <wps:spPr>
                          <a:xfrm>
                            <a:off x="654368" y="6482775"/>
                            <a:ext cx="59456" cy="270256"/>
                          </a:xfrm>
                          <a:prstGeom prst="rect">
                            <a:avLst/>
                          </a:prstGeom>
                          <a:ln>
                            <a:noFill/>
                          </a:ln>
                        </wps:spPr>
                        <wps:txbx>
                          <w:txbxContent>
                            <w:p w14:paraId="39A81783" w14:textId="77777777" w:rsidR="00906BB0" w:rsidRDefault="00906BB0" w:rsidP="00823322">
                              <w:pPr>
                                <w:spacing w:line="259" w:lineRule="auto"/>
                              </w:pPr>
                              <w:r>
                                <w:rPr>
                                  <w:rFonts w:ascii="Cambria" w:eastAsia="Cambria" w:hAnsi="Cambria" w:cs="Cambria"/>
                                  <w:b/>
                                  <w:sz w:val="32"/>
                                </w:rPr>
                                <w:t xml:space="preserve"> </w:t>
                              </w:r>
                            </w:p>
                          </w:txbxContent>
                        </wps:txbx>
                        <wps:bodyPr horzOverflow="overflow" vert="horz" lIns="0" tIns="0" rIns="0" bIns="0" rtlCol="0">
                          <a:noAutofit/>
                        </wps:bodyPr>
                      </wps:wsp>
                      <wps:wsp>
                        <wps:cNvPr id="35" name="Rectangle 35"/>
                        <wps:cNvSpPr/>
                        <wps:spPr>
                          <a:xfrm>
                            <a:off x="609918" y="6883206"/>
                            <a:ext cx="59456" cy="270256"/>
                          </a:xfrm>
                          <a:prstGeom prst="rect">
                            <a:avLst/>
                          </a:prstGeom>
                          <a:ln>
                            <a:noFill/>
                          </a:ln>
                        </wps:spPr>
                        <wps:txbx>
                          <w:txbxContent>
                            <w:p w14:paraId="508B3B56"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36" name="Rectangle 36"/>
                        <wps:cNvSpPr/>
                        <wps:spPr>
                          <a:xfrm>
                            <a:off x="3475101" y="7286431"/>
                            <a:ext cx="59456" cy="270256"/>
                          </a:xfrm>
                          <a:prstGeom prst="rect">
                            <a:avLst/>
                          </a:prstGeom>
                          <a:ln>
                            <a:noFill/>
                          </a:ln>
                        </wps:spPr>
                        <wps:txbx>
                          <w:txbxContent>
                            <w:p w14:paraId="54F2E0C3"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37" name="Rectangle 37"/>
                        <wps:cNvSpPr/>
                        <wps:spPr>
                          <a:xfrm>
                            <a:off x="609918" y="7686735"/>
                            <a:ext cx="805093" cy="270256"/>
                          </a:xfrm>
                          <a:prstGeom prst="rect">
                            <a:avLst/>
                          </a:prstGeom>
                          <a:ln>
                            <a:noFill/>
                          </a:ln>
                        </wps:spPr>
                        <wps:txbx>
                          <w:txbxContent>
                            <w:p w14:paraId="595B7853" w14:textId="45E0426B" w:rsidR="00906BB0" w:rsidRDefault="00906BB0" w:rsidP="00823322">
                              <w:pPr>
                                <w:spacing w:line="259" w:lineRule="auto"/>
                              </w:pPr>
                              <w:r w:rsidRPr="007C016D">
                                <w:rPr>
                                  <w:caps/>
                                  <w:color w:val="1C1A17"/>
                                  <w:sz w:val="36"/>
                                  <w:szCs w:val="36"/>
                                  <w:shd w:val="clear" w:color="auto" w:fill="FFFFFF"/>
                                  <w:lang w:val="en-US"/>
                                </w:rPr>
                                <w:t xml:space="preserve"> </w:t>
                              </w:r>
                              <w:r w:rsidR="00365EA9">
                                <w:rPr>
                                  <w:rFonts w:ascii="Cambria" w:eastAsia="Cambria" w:hAnsi="Cambria" w:cs="Cambria"/>
                                  <w:sz w:val="32"/>
                                  <w:lang w:val="en-US"/>
                                </w:rPr>
                                <w:t>M</w:t>
                              </w:r>
                              <w:r w:rsidR="009847E8">
                                <w:rPr>
                                  <w:rFonts w:ascii="Cambria" w:eastAsia="Cambria" w:hAnsi="Cambria" w:cs="Cambria"/>
                                  <w:sz w:val="32"/>
                                  <w:lang w:val="en-US"/>
                                </w:rPr>
                                <w:t>axime</w:t>
                              </w:r>
                              <w:r w:rsidRPr="007C016D">
                                <w:rPr>
                                  <w:rFonts w:ascii="Cambria" w:eastAsia="Cambria" w:hAnsi="Cambria" w:cs="Cambria"/>
                                  <w:sz w:val="32"/>
                                  <w:lang w:val="en-US"/>
                                </w:rPr>
                                <w:t xml:space="preserve"> Ulusoy</w:t>
                              </w:r>
                              <w:r w:rsidRPr="007C016D">
                                <w:rPr>
                                  <w:rFonts w:ascii="Cambria" w:eastAsia="Cambria" w:hAnsi="Cambria" w:cs="Cambria"/>
                                  <w:sz w:val="32"/>
                                </w:rPr>
                                <w:t> </w:t>
                              </w:r>
                              <w:r>
                                <w:rPr>
                                  <w:rFonts w:ascii="Cambria" w:eastAsia="Cambria" w:hAnsi="Cambria" w:cs="Cambria"/>
                                  <w:sz w:val="32"/>
                                </w:rPr>
                                <w:t>rah I</w:t>
                              </w:r>
                              <w:r w:rsidR="00365EA9">
                                <w:rPr>
                                  <w:rFonts w:ascii="Cambria" w:eastAsia="Cambria" w:hAnsi="Cambria" w:cs="Cambria"/>
                                  <w:sz w:val="32"/>
                                </w:rPr>
                                <w:t>Miriam</w:t>
                              </w:r>
                            </w:p>
                          </w:txbxContent>
                        </wps:txbx>
                        <wps:bodyPr horzOverflow="overflow" vert="horz" lIns="0" tIns="0" rIns="0" bIns="0" rtlCol="0">
                          <a:noAutofit/>
                        </wps:bodyPr>
                      </wps:wsp>
                      <wps:wsp>
                        <wps:cNvPr id="39" name="Rectangle 39"/>
                        <wps:cNvSpPr/>
                        <wps:spPr>
                          <a:xfrm>
                            <a:off x="1257935" y="7686735"/>
                            <a:ext cx="59456" cy="270256"/>
                          </a:xfrm>
                          <a:prstGeom prst="rect">
                            <a:avLst/>
                          </a:prstGeom>
                          <a:ln>
                            <a:noFill/>
                          </a:ln>
                        </wps:spPr>
                        <wps:txbx>
                          <w:txbxContent>
                            <w:p w14:paraId="6BA78A32" w14:textId="77777777" w:rsidR="00906BB0" w:rsidRDefault="00906BB0" w:rsidP="00823322">
                              <w:pPr>
                                <w:spacing w:line="259" w:lineRule="auto"/>
                              </w:pPr>
                              <w:r>
                                <w:rPr>
                                  <w:rFonts w:ascii="Cambria" w:eastAsia="Cambria" w:hAnsi="Cambria" w:cs="Cambria"/>
                                  <w:sz w:val="32"/>
                                </w:rPr>
                                <w:t xml:space="preserve"> </w:t>
                              </w:r>
                            </w:p>
                          </w:txbxContent>
                        </wps:txbx>
                        <wps:bodyPr horzOverflow="overflow" vert="horz" lIns="0" tIns="0" rIns="0" bIns="0" rtlCol="0">
                          <a:noAutofit/>
                        </wps:bodyPr>
                      </wps:wsp>
                      <wps:wsp>
                        <wps:cNvPr id="40" name="Rectangle 40"/>
                        <wps:cNvSpPr/>
                        <wps:spPr>
                          <a:xfrm>
                            <a:off x="1302385" y="7686735"/>
                            <a:ext cx="845631" cy="270256"/>
                          </a:xfrm>
                          <a:prstGeom prst="rect">
                            <a:avLst/>
                          </a:prstGeom>
                          <a:ln>
                            <a:noFill/>
                          </a:ln>
                        </wps:spPr>
                        <wps:txbx>
                          <w:txbxContent>
                            <w:p w14:paraId="25D9D412" w14:textId="67F8EA02" w:rsidR="00906BB0" w:rsidRDefault="00365EA9" w:rsidP="00823322">
                              <w:pPr>
                                <w:spacing w:line="259" w:lineRule="auto"/>
                              </w:pPr>
                              <w:r>
                                <w:rPr>
                                  <w:rFonts w:ascii="Cambria" w:eastAsia="Cambria" w:hAnsi="Cambria" w:cs="Cambria"/>
                                  <w:sz w:val="32"/>
                                  <w:lang w:val="en-US"/>
                                </w:rPr>
                                <w:t xml:space="preserve">  </w:t>
                              </w:r>
                              <w:proofErr w:type="spellStart"/>
                              <w:r w:rsidR="009847E8">
                                <w:rPr>
                                  <w:rFonts w:ascii="Cambria" w:eastAsia="Cambria" w:hAnsi="Cambria" w:cs="Cambria"/>
                                  <w:sz w:val="32"/>
                                  <w:lang w:val="en-US"/>
                                </w:rPr>
                                <w:t>Schoots</w:t>
                              </w:r>
                              <w:proofErr w:type="spellEnd"/>
                            </w:p>
                          </w:txbxContent>
                        </wps:txbx>
                        <wps:bodyPr horzOverflow="overflow" vert="horz" lIns="0" tIns="0" rIns="0" bIns="0" rtlCol="0">
                          <a:noAutofit/>
                        </wps:bodyPr>
                      </wps:wsp>
                      <wps:wsp>
                        <wps:cNvPr id="41" name="Rectangle 41"/>
                        <wps:cNvSpPr/>
                        <wps:spPr>
                          <a:xfrm>
                            <a:off x="1940941" y="7746006"/>
                            <a:ext cx="37160" cy="168910"/>
                          </a:xfrm>
                          <a:prstGeom prst="rect">
                            <a:avLst/>
                          </a:prstGeom>
                          <a:ln>
                            <a:noFill/>
                          </a:ln>
                        </wps:spPr>
                        <wps:txbx>
                          <w:txbxContent>
                            <w:p w14:paraId="73FACC12"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2" name="Rectangle 42"/>
                        <wps:cNvSpPr/>
                        <wps:spPr>
                          <a:xfrm>
                            <a:off x="3475101" y="8073031"/>
                            <a:ext cx="37160" cy="168910"/>
                          </a:xfrm>
                          <a:prstGeom prst="rect">
                            <a:avLst/>
                          </a:prstGeom>
                          <a:ln>
                            <a:noFill/>
                          </a:ln>
                        </wps:spPr>
                        <wps:txbx>
                          <w:txbxContent>
                            <w:p w14:paraId="308D03AC"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3" name="Rectangle 43"/>
                        <wps:cNvSpPr/>
                        <wps:spPr>
                          <a:xfrm>
                            <a:off x="3475101" y="8371481"/>
                            <a:ext cx="37160" cy="168910"/>
                          </a:xfrm>
                          <a:prstGeom prst="rect">
                            <a:avLst/>
                          </a:prstGeom>
                          <a:ln>
                            <a:noFill/>
                          </a:ln>
                        </wps:spPr>
                        <wps:txbx>
                          <w:txbxContent>
                            <w:p w14:paraId="27B66085"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4" name="Rectangle 44"/>
                        <wps:cNvSpPr/>
                        <wps:spPr>
                          <a:xfrm>
                            <a:off x="609918" y="8669930"/>
                            <a:ext cx="37160" cy="168910"/>
                          </a:xfrm>
                          <a:prstGeom prst="rect">
                            <a:avLst/>
                          </a:prstGeom>
                          <a:ln>
                            <a:noFill/>
                          </a:ln>
                        </wps:spPr>
                        <wps:txbx>
                          <w:txbxContent>
                            <w:p w14:paraId="44A63042"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5" name="Rectangle 45"/>
                        <wps:cNvSpPr/>
                        <wps:spPr>
                          <a:xfrm>
                            <a:off x="609918" y="8968634"/>
                            <a:ext cx="37160" cy="168910"/>
                          </a:xfrm>
                          <a:prstGeom prst="rect">
                            <a:avLst/>
                          </a:prstGeom>
                          <a:ln>
                            <a:noFill/>
                          </a:ln>
                        </wps:spPr>
                        <wps:txbx>
                          <w:txbxContent>
                            <w:p w14:paraId="3A3A7EAB"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6" name="Rectangle 46"/>
                        <wps:cNvSpPr/>
                        <wps:spPr>
                          <a:xfrm>
                            <a:off x="609918" y="9117923"/>
                            <a:ext cx="37160" cy="168910"/>
                          </a:xfrm>
                          <a:prstGeom prst="rect">
                            <a:avLst/>
                          </a:prstGeom>
                          <a:ln>
                            <a:noFill/>
                          </a:ln>
                        </wps:spPr>
                        <wps:txbx>
                          <w:txbxContent>
                            <w:p w14:paraId="15656571"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wps:wsp>
                        <wps:cNvPr id="47" name="Rectangle 47"/>
                        <wps:cNvSpPr/>
                        <wps:spPr>
                          <a:xfrm>
                            <a:off x="609918" y="9267148"/>
                            <a:ext cx="37160" cy="168910"/>
                          </a:xfrm>
                          <a:prstGeom prst="rect">
                            <a:avLst/>
                          </a:prstGeom>
                          <a:ln>
                            <a:noFill/>
                          </a:ln>
                        </wps:spPr>
                        <wps:txbx>
                          <w:txbxContent>
                            <w:p w14:paraId="5EB3ACFD" w14:textId="77777777" w:rsidR="00906BB0" w:rsidRDefault="00906BB0" w:rsidP="00823322">
                              <w:pPr>
                                <w:spacing w:line="259" w:lineRule="auto"/>
                              </w:pPr>
                              <w:r>
                                <w:rPr>
                                  <w:rFonts w:ascii="Cambria" w:eastAsia="Cambria" w:hAnsi="Cambria" w:cs="Cambria"/>
                                  <w:sz w:val="20"/>
                                </w:rPr>
                                <w:t xml:space="preserve"> </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8"/>
                          <a:stretch>
                            <a:fillRect/>
                          </a:stretch>
                        </pic:blipFill>
                        <pic:spPr>
                          <a:xfrm>
                            <a:off x="628650" y="1709801"/>
                            <a:ext cx="2610612" cy="699135"/>
                          </a:xfrm>
                          <a:prstGeom prst="rect">
                            <a:avLst/>
                          </a:prstGeom>
                        </pic:spPr>
                      </pic:pic>
                      <wps:wsp>
                        <wps:cNvPr id="78622" name="Shape 78622"/>
                        <wps:cNvSpPr/>
                        <wps:spPr>
                          <a:xfrm>
                            <a:off x="0" y="0"/>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3" name="Shape 78623"/>
                        <wps:cNvSpPr/>
                        <wps:spPr>
                          <a:xfrm>
                            <a:off x="0" y="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4" name="Shape 78624"/>
                        <wps:cNvSpPr/>
                        <wps:spPr>
                          <a:xfrm>
                            <a:off x="6350" y="6350"/>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5" name="Shape 78625"/>
                        <wps:cNvSpPr/>
                        <wps:spPr>
                          <a:xfrm>
                            <a:off x="6350" y="6350"/>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6" name="Shape 78626"/>
                        <wps:cNvSpPr/>
                        <wps:spPr>
                          <a:xfrm>
                            <a:off x="12700" y="12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7" name="Shape 78627"/>
                        <wps:cNvSpPr/>
                        <wps:spPr>
                          <a:xfrm>
                            <a:off x="19050" y="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28" name="Shape 78628"/>
                        <wps:cNvSpPr/>
                        <wps:spPr>
                          <a:xfrm>
                            <a:off x="19050" y="635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29" name="Shape 78629"/>
                        <wps:cNvSpPr/>
                        <wps:spPr>
                          <a:xfrm>
                            <a:off x="19050" y="12700"/>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0" name="Shape 78630"/>
                        <wps:cNvSpPr/>
                        <wps:spPr>
                          <a:xfrm>
                            <a:off x="6946900" y="0"/>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1" name="Shape 78631"/>
                        <wps:cNvSpPr/>
                        <wps:spPr>
                          <a:xfrm>
                            <a:off x="6934200" y="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2" name="Shape 78632"/>
                        <wps:cNvSpPr/>
                        <wps:spPr>
                          <a:xfrm>
                            <a:off x="6940550" y="6350"/>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3" name="Shape 78633"/>
                        <wps:cNvSpPr/>
                        <wps:spPr>
                          <a:xfrm>
                            <a:off x="6934200" y="6350"/>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4" name="Shape 78634"/>
                        <wps:cNvSpPr/>
                        <wps:spPr>
                          <a:xfrm>
                            <a:off x="6934200" y="12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5" name="Shape 78635"/>
                        <wps:cNvSpPr/>
                        <wps:spPr>
                          <a:xfrm>
                            <a:off x="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6" name="Shape 78636"/>
                        <wps:cNvSpPr/>
                        <wps:spPr>
                          <a:xfrm>
                            <a:off x="635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37" name="Shape 78637"/>
                        <wps:cNvSpPr/>
                        <wps:spPr>
                          <a:xfrm>
                            <a:off x="127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8" name="Shape 78638"/>
                        <wps:cNvSpPr/>
                        <wps:spPr>
                          <a:xfrm>
                            <a:off x="69469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39" name="Shape 78639"/>
                        <wps:cNvSpPr/>
                        <wps:spPr>
                          <a:xfrm>
                            <a:off x="694055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0" name="Shape 78640"/>
                        <wps:cNvSpPr/>
                        <wps:spPr>
                          <a:xfrm>
                            <a:off x="6934200" y="19050"/>
                            <a:ext cx="9144" cy="10048875"/>
                          </a:xfrm>
                          <a:custGeom>
                            <a:avLst/>
                            <a:gdLst/>
                            <a:ahLst/>
                            <a:cxnLst/>
                            <a:rect l="0" t="0" r="0" b="0"/>
                            <a:pathLst>
                              <a:path w="9144" h="10048875">
                                <a:moveTo>
                                  <a:pt x="0" y="0"/>
                                </a:moveTo>
                                <a:lnTo>
                                  <a:pt x="9144" y="0"/>
                                </a:lnTo>
                                <a:lnTo>
                                  <a:pt x="9144" y="10048875"/>
                                </a:lnTo>
                                <a:lnTo>
                                  <a:pt x="0" y="10048875"/>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1" name="Shape 78641"/>
                        <wps:cNvSpPr/>
                        <wps:spPr>
                          <a:xfrm>
                            <a:off x="0" y="10067925"/>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2" name="Shape 78642"/>
                        <wps:cNvSpPr/>
                        <wps:spPr>
                          <a:xfrm>
                            <a:off x="0" y="10080625"/>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3" name="Shape 78643"/>
                        <wps:cNvSpPr/>
                        <wps:spPr>
                          <a:xfrm>
                            <a:off x="6350" y="10067925"/>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4" name="Shape 78644"/>
                        <wps:cNvSpPr/>
                        <wps:spPr>
                          <a:xfrm>
                            <a:off x="6350" y="10074275"/>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5" name="Shape 78645"/>
                        <wps:cNvSpPr/>
                        <wps:spPr>
                          <a:xfrm>
                            <a:off x="12700" y="100679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6" name="Shape 78646"/>
                        <wps:cNvSpPr/>
                        <wps:spPr>
                          <a:xfrm>
                            <a:off x="19050" y="1008062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7" name="Shape 78647"/>
                        <wps:cNvSpPr/>
                        <wps:spPr>
                          <a:xfrm>
                            <a:off x="19050" y="1007427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48" name="Shape 78648"/>
                        <wps:cNvSpPr/>
                        <wps:spPr>
                          <a:xfrm>
                            <a:off x="19050" y="10067925"/>
                            <a:ext cx="6915150" cy="9144"/>
                          </a:xfrm>
                          <a:custGeom>
                            <a:avLst/>
                            <a:gdLst/>
                            <a:ahLst/>
                            <a:cxnLst/>
                            <a:rect l="0" t="0" r="0" b="0"/>
                            <a:pathLst>
                              <a:path w="6915150" h="9144">
                                <a:moveTo>
                                  <a:pt x="0" y="0"/>
                                </a:moveTo>
                                <a:lnTo>
                                  <a:pt x="6915150" y="0"/>
                                </a:lnTo>
                                <a:lnTo>
                                  <a:pt x="69151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49" name="Shape 78649"/>
                        <wps:cNvSpPr/>
                        <wps:spPr>
                          <a:xfrm>
                            <a:off x="6946900" y="10067925"/>
                            <a:ext cx="9144" cy="19050"/>
                          </a:xfrm>
                          <a:custGeom>
                            <a:avLst/>
                            <a:gdLst/>
                            <a:ahLst/>
                            <a:cxnLst/>
                            <a:rect l="0" t="0" r="0" b="0"/>
                            <a:pathLst>
                              <a:path w="9144" h="19050">
                                <a:moveTo>
                                  <a:pt x="0" y="0"/>
                                </a:moveTo>
                                <a:lnTo>
                                  <a:pt x="9144" y="0"/>
                                </a:lnTo>
                                <a:lnTo>
                                  <a:pt x="9144" y="19050"/>
                                </a:lnTo>
                                <a:lnTo>
                                  <a:pt x="0" y="19050"/>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50" name="Shape 78650"/>
                        <wps:cNvSpPr/>
                        <wps:spPr>
                          <a:xfrm>
                            <a:off x="6934200" y="10080625"/>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s:wsp>
                        <wps:cNvPr id="78651" name="Shape 78651"/>
                        <wps:cNvSpPr/>
                        <wps:spPr>
                          <a:xfrm>
                            <a:off x="6940550" y="10067925"/>
                            <a:ext cx="9144" cy="12700"/>
                          </a:xfrm>
                          <a:custGeom>
                            <a:avLst/>
                            <a:gdLst/>
                            <a:ahLst/>
                            <a:cxnLst/>
                            <a:rect l="0" t="0" r="0" b="0"/>
                            <a:pathLst>
                              <a:path w="9144" h="12700">
                                <a:moveTo>
                                  <a:pt x="0" y="0"/>
                                </a:moveTo>
                                <a:lnTo>
                                  <a:pt x="9144" y="0"/>
                                </a:lnTo>
                                <a:lnTo>
                                  <a:pt x="9144" y="12700"/>
                                </a:lnTo>
                                <a:lnTo>
                                  <a:pt x="0" y="127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52" name="Shape 78652"/>
                        <wps:cNvSpPr/>
                        <wps:spPr>
                          <a:xfrm>
                            <a:off x="6934200" y="10074275"/>
                            <a:ext cx="12700" cy="9144"/>
                          </a:xfrm>
                          <a:custGeom>
                            <a:avLst/>
                            <a:gdLst/>
                            <a:ahLst/>
                            <a:cxnLst/>
                            <a:rect l="0" t="0" r="0" b="0"/>
                            <a:pathLst>
                              <a:path w="12700" h="9144">
                                <a:moveTo>
                                  <a:pt x="0" y="0"/>
                                </a:moveTo>
                                <a:lnTo>
                                  <a:pt x="12700" y="0"/>
                                </a:lnTo>
                                <a:lnTo>
                                  <a:pt x="12700"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653" name="Shape 78653"/>
                        <wps:cNvSpPr/>
                        <wps:spPr>
                          <a:xfrm>
                            <a:off x="6934200" y="100679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548DD4"/>
                          </a:fillRef>
                          <a:effectRef idx="0">
                            <a:scrgbClr r="0" g="0" b="0"/>
                          </a:effectRef>
                          <a:fontRef idx="none"/>
                        </wps:style>
                        <wps:bodyPr/>
                      </wps:wsp>
                    </wpg:wgp>
                  </a:graphicData>
                </a:graphic>
              </wp:inline>
            </w:drawing>
          </mc:Choice>
          <mc:Fallback>
            <w:pict>
              <v:group w14:anchorId="67A33262" id="Group 67732" o:spid="_x0000_s1026" style="width:547.7pt;height:794.45pt;mso-position-horizontal-relative:char;mso-position-vertical-relative:line" coordsize="69560,10089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">
                <v:rect id="Rectangle 6" o:spid="_x0000_s1027" style="position:absolute;left:6067;top:1718;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7FF30000" w14:textId="77777777" w:rsidR="00906BB0" w:rsidRDefault="00906BB0" w:rsidP="00823322">
                        <w:pPr>
                          <w:spacing w:line="259" w:lineRule="auto"/>
                        </w:pPr>
                        <w:r>
                          <w:t xml:space="preserve"> </w:t>
                        </w:r>
                      </w:p>
                    </w:txbxContent>
                  </v:textbox>
                </v:rect>
                <v:rect id="Rectangle 7" o:spid="_x0000_s1028" style="position:absolute;left:34751;top:1718;width:419;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3A33D5A8" w14:textId="77777777" w:rsidR="00906BB0" w:rsidRDefault="00906BB0" w:rsidP="00823322">
                        <w:pPr>
                          <w:spacing w:line="259" w:lineRule="auto"/>
                        </w:pPr>
                        <w:r>
                          <w:t xml:space="preserve"> </w:t>
                        </w:r>
                      </w:p>
                    </w:txbxContent>
                  </v:textbox>
                </v:rect>
                <v:rect id="Rectangle 8" o:spid="_x0000_s1029" style="position:absolute;left:6099;top:3623;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7B353174" w14:textId="77777777" w:rsidR="00906BB0" w:rsidRDefault="00906BB0" w:rsidP="00823322">
                        <w:pPr>
                          <w:spacing w:line="259" w:lineRule="auto"/>
                        </w:pPr>
                        <w:r>
                          <w:t xml:space="preserve"> </w:t>
                        </w:r>
                      </w:p>
                    </w:txbxContent>
                  </v:textbox>
                </v:rect>
                <v:rect id="Rectangle 9" o:spid="_x0000_s1030" style="position:absolute;left:6067;top:96072;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filled="f" stroked="f">
                  <v:textbox inset="0,0,0,0">
                    <w:txbxContent>
                      <w:p w14:paraId="06D42969" w14:textId="77777777" w:rsidR="00906BB0" w:rsidRDefault="00906BB0" w:rsidP="00823322">
                        <w:pPr>
                          <w:spacing w:line="259" w:lineRule="auto"/>
                        </w:pPr>
                        <w:r>
                          <w:t xml:space="preserve"> </w:t>
                        </w:r>
                      </w:p>
                    </w:txbxContent>
                  </v:textbox>
                </v:rect>
                <v:rect id="Rectangle 10" o:spid="_x0000_s1031" style="position:absolute;left:34751;top:96072;width:419;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" filled="f" stroked="f">
                  <v:textbox inset="0,0,0,0">
                    <w:txbxContent>
                      <w:p w14:paraId="44DA31C4" w14:textId="77777777" w:rsidR="00906BB0" w:rsidRDefault="00906BB0" w:rsidP="00823322">
                        <w:pPr>
                          <w:spacing w:line="259" w:lineRule="auto"/>
                        </w:pPr>
                        <w:r>
                          <w:t xml:space="preserve"> </w:t>
                        </w:r>
                      </w:p>
                    </w:txbxContent>
                  </v:textbox>
                </v:rect>
                <v:rect id="Rectangle 11" o:spid="_x0000_s1032" style="position:absolute;left:6099;top:97977;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" filled="f" stroked="f">
                  <v:textbox inset="0,0,0,0">
                    <w:txbxContent>
                      <w:p w14:paraId="743E6FCF" w14:textId="77777777" w:rsidR="00906BB0" w:rsidRDefault="00906BB0" w:rsidP="00823322">
                        <w:pPr>
                          <w:spacing w:line="259" w:lineRule="auto"/>
                        </w:pPr>
                        <w:r>
                          <w:t xml:space="preserve"> </w:t>
                        </w:r>
                      </w:p>
                    </w:txbxContent>
                  </v:textbox>
                </v:rect>
                <v:rect id="Rectangle 12" o:spid="_x0000_s1033" style="position:absolute;left:34751;top:6431;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" filled="f" stroked="f">
                  <v:textbox inset="0,0,0,0">
                    <w:txbxContent>
                      <w:p w14:paraId="2FDBFB29"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3" o:spid="_x0000_s1034" style="position:absolute;left:34751;top:10114;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042932B4"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4" o:spid="_x0000_s1035" style="position:absolute;left:34751;top:13768;width:520;height:23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3HxwAAAOAAAAAPAAAAZHJzL2Rvd25yZXYueG1sRI/BisIw&#13;&#10;EIbvgu8QRtibpo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Leb/cfHAAAA4AAA&#13;&#10;AA8AAAAAAAAAAAAAAAAABwIAAGRycy9kb3ducmV2LnhtbFBLBQYAAAAAAwADALcAAAD7AgAAAAA=&#13;&#10;" filled="f" stroked="f">
                  <v:textbox inset="0,0,0,0">
                    <w:txbxContent>
                      <w:p w14:paraId="5AEE56F6"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5" o:spid="_x0000_s1036" style="position:absolute;left:32401;top:22725;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1hcxwAAAOAAAAAPAAAAZHJzL2Rvd25yZXYueG1sRI/BisIw&#13;&#10;EIbvgu8QRtibpgqK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NjXWFzHAAAA4AAA&#13;&#10;AA8AAAAAAAAAAAAAAAAABwIAAGRycy9kb3ducmV2LnhtbFBLBQYAAAAAAwADALcAAAD7AgAAAAA=&#13;&#10;" filled="f" stroked="f">
                  <v:textbox inset="0,0,0,0">
                    <w:txbxContent>
                      <w:p w14:paraId="6565FBF6" w14:textId="77777777" w:rsidR="00906BB0" w:rsidRDefault="00906BB0" w:rsidP="00823322">
                        <w:pPr>
                          <w:spacing w:line="259" w:lineRule="auto"/>
                        </w:pPr>
                        <w:r>
                          <w:rPr>
                            <w:rFonts w:ascii="Cambria" w:eastAsia="Cambria" w:hAnsi="Cambria" w:cs="Cambria"/>
                            <w:b/>
                            <w:sz w:val="28"/>
                          </w:rPr>
                          <w:t xml:space="preserve"> </w:t>
                        </w:r>
                      </w:p>
                    </w:txbxContent>
                  </v:textbox>
                </v:rect>
                <v:rect id="Rectangle 16" o:spid="_x0000_s1037" style="position:absolute;left:6099;top:26052;width:8537;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0E413C4B" w14:textId="77777777" w:rsidR="00906BB0" w:rsidRDefault="00906BB0" w:rsidP="00823322">
                        <w:pPr>
                          <w:spacing w:line="259" w:lineRule="auto"/>
                        </w:pPr>
                        <w:r>
                          <w:rPr>
                            <w:rFonts w:ascii="Cambria" w:eastAsia="Cambria" w:hAnsi="Cambria" w:cs="Cambria"/>
                            <w:sz w:val="32"/>
                          </w:rPr>
                          <w:t>ACMRL</w:t>
                        </w:r>
                      </w:p>
                    </w:txbxContent>
                  </v:textbox>
                </v:rect>
                <v:rect id="Rectangle 17" o:spid="_x0000_s1038" style="position:absolute;left:12515;top:26052;width:595;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2088A52A" w14:textId="77777777" w:rsidR="00906BB0" w:rsidRDefault="00906BB0" w:rsidP="00823322">
                        <w:pPr>
                          <w:spacing w:line="259" w:lineRule="auto"/>
                        </w:pPr>
                        <w:r>
                          <w:rPr>
                            <w:rFonts w:ascii="Cambria" w:eastAsia="Cambria" w:hAnsi="Cambria" w:cs="Cambria"/>
                            <w:sz w:val="32"/>
                          </w:rPr>
                          <w:t xml:space="preserve"> </w:t>
                        </w:r>
                      </w:p>
                    </w:txbxContent>
                  </v:textbox>
                </v:rect>
                <v:rect id="Rectangle 18" o:spid="_x0000_s1039" style="position:absolute;left:12960;top:26052;width:28898;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4C703EDD" w14:textId="4CB48757" w:rsidR="00906BB0" w:rsidRDefault="00906BB0" w:rsidP="00823322">
                        <w:pPr>
                          <w:spacing w:line="259" w:lineRule="auto"/>
                        </w:pPr>
                        <w:r>
                          <w:rPr>
                            <w:rFonts w:ascii="Cambria" w:eastAsia="Cambria" w:hAnsi="Cambria" w:cs="Cambria"/>
                            <w:sz w:val="32"/>
                          </w:rPr>
                          <w:t xml:space="preserve">Migration Law Series No </w:t>
                        </w:r>
                        <w:r w:rsidR="009847E8">
                          <w:rPr>
                            <w:rFonts w:ascii="Cambria" w:eastAsia="Cambria" w:hAnsi="Cambria" w:cs="Cambria"/>
                            <w:sz w:val="32"/>
                          </w:rPr>
                          <w:t>31</w:t>
                        </w:r>
                      </w:p>
                    </w:txbxContent>
                  </v:textbox>
                </v:rect>
                <v:rect id="Rectangle 21" o:spid="_x0000_s1040" style="position:absolute;left:36941;top:26052;width:595;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021EB6D4" w14:textId="77777777" w:rsidR="00906BB0" w:rsidRDefault="00906BB0" w:rsidP="00823322">
                        <w:pPr>
                          <w:spacing w:line="259" w:lineRule="auto"/>
                        </w:pPr>
                        <w:r>
                          <w:rPr>
                            <w:rFonts w:ascii="Cambria" w:eastAsia="Cambria" w:hAnsi="Cambria" w:cs="Cambria"/>
                            <w:sz w:val="32"/>
                          </w:rPr>
                          <w:t xml:space="preserve"> </w:t>
                        </w:r>
                      </w:p>
                    </w:txbxContent>
                  </v:textbox>
                </v:rect>
                <v:rect id="Rectangle 22" o:spid="_x0000_s1041" style="position:absolute;left:6099;top:30027;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3383FD9B"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3" o:spid="_x0000_s1042" style="position:absolute;left:34751;top:33681;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77C4812A"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4" o:spid="_x0000_s1043" style="position:absolute;left:34751;top:37364;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2ACBBCFA"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5" o:spid="_x0000_s1044" style="position:absolute;left:34751;top:41015;width:520;height:2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5LhxwAAAOAAAAAPAAAAZHJzL2Rvd25yZXYueG1sRI9Bi8Iw&#13;&#10;FITvgv8hvIW9abrCil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Ba7kuHHAAAA4AAA&#13;&#10;AA8AAAAAAAAAAAAAAAAABwIAAGRycy9kb3ducmV2LnhtbFBLBQYAAAAAAwADALcAAAD7AgAAAAA=&#13;&#10;" filled="f" stroked="f">
                  <v:textbox inset="0,0,0,0">
                    <w:txbxContent>
                      <w:p w14:paraId="3932D20C" w14:textId="77777777" w:rsidR="00906BB0" w:rsidRDefault="00906BB0" w:rsidP="00823322">
                        <w:pPr>
                          <w:spacing w:line="259" w:lineRule="auto"/>
                        </w:pPr>
                        <w:r>
                          <w:rPr>
                            <w:rFonts w:ascii="Cambria" w:eastAsia="Cambria" w:hAnsi="Cambria" w:cs="Cambria"/>
                            <w:b/>
                            <w:sz w:val="28"/>
                          </w:rPr>
                          <w:t xml:space="preserve"> </w:t>
                        </w:r>
                      </w:p>
                    </w:txbxContent>
                  </v:textbox>
                </v:rect>
                <v:rect id="Rectangle 26" o:spid="_x0000_s1045" style="position:absolute;left:6097;top:44859;width:61625;height:219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2959170" w14:textId="77777777" w:rsidR="009847E8" w:rsidRPr="009847E8" w:rsidRDefault="009847E8" w:rsidP="009847E8">
                        <w:pPr>
                          <w:spacing w:line="259" w:lineRule="auto"/>
                          <w:rPr>
                            <w:rFonts w:ascii="Cambria" w:eastAsia="Cambria" w:hAnsi="Cambria" w:cs="Cambria"/>
                            <w:b/>
                            <w:color w:val="548DD4"/>
                            <w:sz w:val="52"/>
                            <w:szCs w:val="52"/>
                          </w:rPr>
                        </w:pPr>
                        <w:r w:rsidRPr="009847E8">
                          <w:rPr>
                            <w:rFonts w:ascii="Cambria" w:eastAsia="Cambria" w:hAnsi="Cambria" w:cs="Cambria"/>
                            <w:b/>
                            <w:color w:val="548DD4"/>
                            <w:sz w:val="52"/>
                            <w:szCs w:val="52"/>
                          </w:rPr>
                          <w:t xml:space="preserve">‘Wandering Around in the Kampongs’ </w:t>
                        </w:r>
                      </w:p>
                      <w:p w14:paraId="3EF2ACA7" w14:textId="57BD4EB8" w:rsidR="00906BB0" w:rsidRPr="00823322" w:rsidRDefault="009847E8" w:rsidP="009847E8">
                        <w:pPr>
                          <w:spacing w:line="259" w:lineRule="auto"/>
                          <w:rPr>
                            <w:sz w:val="40"/>
                            <w:szCs w:val="40"/>
                          </w:rPr>
                        </w:pPr>
                        <w:r w:rsidRPr="009847E8">
                          <w:rPr>
                            <w:rFonts w:ascii="Cambria" w:eastAsia="Cambria" w:hAnsi="Cambria" w:cs="Cambria"/>
                            <w:b/>
                            <w:sz w:val="40"/>
                            <w:szCs w:val="40"/>
                          </w:rPr>
                          <w:t>Child Separation in the Dutch East Indies in the Nineteenth- and Early Twentieth-Century as a Technology of Biopower</w:t>
                        </w:r>
                      </w:p>
                    </w:txbxContent>
                  </v:textbox>
                </v:rect>
                <v:rect id="Rectangle 30" o:spid="_x0000_s1046" style="position:absolute;left:6099;top:59917;width:14325;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7F68A740" w14:textId="77777777" w:rsidR="00906BB0" w:rsidRDefault="00906BB0" w:rsidP="00823322">
                        <w:pPr>
                          <w:spacing w:line="259" w:lineRule="auto"/>
                        </w:pPr>
                      </w:p>
                    </w:txbxContent>
                  </v:textbox>
                </v:rect>
                <v:rect id="Rectangle 31" o:spid="_x0000_s1047" style="position:absolute;left:16869;top:59917;width:817;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31B4B394" w14:textId="77777777" w:rsidR="00906BB0" w:rsidRDefault="00906BB0" w:rsidP="00823322">
                        <w:pPr>
                          <w:spacing w:line="259" w:lineRule="auto"/>
                        </w:pPr>
                        <w:r>
                          <w:rPr>
                            <w:rFonts w:ascii="Cambria" w:eastAsia="Cambria" w:hAnsi="Cambria" w:cs="Cambria"/>
                            <w:b/>
                            <w:color w:val="548DD4"/>
                            <w:sz w:val="44"/>
                          </w:rPr>
                          <w:t xml:space="preserve"> </w:t>
                        </w:r>
                      </w:p>
                    </w:txbxContent>
                  </v:textbox>
                </v:rect>
                <v:rect id="Rectangle 32" o:spid="_x0000_s1048" style="position:absolute;left:17504;top:59917;width:817;height: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2559A8B5" w14:textId="77777777" w:rsidR="00906BB0" w:rsidRDefault="00906BB0" w:rsidP="00823322">
                        <w:pPr>
                          <w:spacing w:line="259" w:lineRule="auto"/>
                        </w:pPr>
                        <w:r>
                          <w:rPr>
                            <w:rFonts w:ascii="Cambria" w:eastAsia="Cambria" w:hAnsi="Cambria" w:cs="Cambria"/>
                            <w:b/>
                            <w:color w:val="548DD4"/>
                            <w:sz w:val="44"/>
                          </w:rPr>
                          <w:t xml:space="preserve"> </w:t>
                        </w:r>
                      </w:p>
                    </w:txbxContent>
                  </v:textbox>
                </v:rect>
                <v:rect id="Rectangle 33" o:spid="_x0000_s1049" style="position:absolute;left:6099;top:64827;width:594;height:2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419F11D3" w14:textId="77777777" w:rsidR="00906BB0" w:rsidRDefault="00906BB0" w:rsidP="00823322">
                        <w:pPr>
                          <w:spacing w:line="259" w:lineRule="auto"/>
                        </w:pPr>
                        <w:r>
                          <w:rPr>
                            <w:rFonts w:ascii="Cambria" w:eastAsia="Cambria" w:hAnsi="Cambria" w:cs="Cambria"/>
                            <w:b/>
                            <w:sz w:val="32"/>
                          </w:rPr>
                          <w:t xml:space="preserve"> </w:t>
                        </w:r>
                      </w:p>
                    </w:txbxContent>
                  </v:textbox>
                </v:rect>
                <v:rect id="Rectangle 34" o:spid="_x0000_s1050" style="position:absolute;left:6543;top:64827;width:595;height:2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39A81783" w14:textId="77777777" w:rsidR="00906BB0" w:rsidRDefault="00906BB0" w:rsidP="00823322">
                        <w:pPr>
                          <w:spacing w:line="259" w:lineRule="auto"/>
                        </w:pPr>
                        <w:r>
                          <w:rPr>
                            <w:rFonts w:ascii="Cambria" w:eastAsia="Cambria" w:hAnsi="Cambria" w:cs="Cambria"/>
                            <w:b/>
                            <w:sz w:val="32"/>
                          </w:rPr>
                          <w:t xml:space="preserve"> </w:t>
                        </w:r>
                      </w:p>
                    </w:txbxContent>
                  </v:textbox>
                </v:rect>
                <v:rect id="Rectangle 35" o:spid="_x0000_s1051" style="position:absolute;left:6099;top:68832;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YgQ8yQAAAOAAAAAPAAAAZHJzL2Rvd25yZXYueG1sRI9Pa8JA&#13;&#10;FMTvBb/D8gRvdWOl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k2IEPMkAAADg&#13;&#10;AAAADwAAAAAAAAAAAAAAAAAHAgAAZHJzL2Rvd25yZXYueG1sUEsFBgAAAAADAAMAtwAAAP0CAAAA&#13;&#10;AA==&#13;&#10;" filled="f" stroked="f">
                  <v:textbox inset="0,0,0,0">
                    <w:txbxContent>
                      <w:p w14:paraId="508B3B56" w14:textId="77777777" w:rsidR="00906BB0" w:rsidRDefault="00906BB0" w:rsidP="00823322">
                        <w:pPr>
                          <w:spacing w:line="259" w:lineRule="auto"/>
                        </w:pPr>
                        <w:r>
                          <w:rPr>
                            <w:rFonts w:ascii="Cambria" w:eastAsia="Cambria" w:hAnsi="Cambria" w:cs="Cambria"/>
                            <w:sz w:val="32"/>
                          </w:rPr>
                          <w:t xml:space="preserve"> </w:t>
                        </w:r>
                      </w:p>
                    </w:txbxContent>
                  </v:textbox>
                </v:rect>
                <v:rect id="Rectangle 36" o:spid="_x0000_s1052" style="position:absolute;left:34751;top:72864;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JpLyAAAAOAAAAAPAAAAZHJzL2Rvd25yZXYueG1sRI9Ba8JA&#13;&#10;FITvQv/D8oTedGML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BjsJpLyAAAAOAA&#13;&#10;AAAPAAAAAAAAAAAAAAAAAAcCAABkcnMvZG93bnJldi54bWxQSwUGAAAAAAMAAwC3AAAA/AIAAAAA&#13;&#10;" filled="f" stroked="f">
                  <v:textbox inset="0,0,0,0">
                    <w:txbxContent>
                      <w:p w14:paraId="54F2E0C3" w14:textId="77777777" w:rsidR="00906BB0" w:rsidRDefault="00906BB0" w:rsidP="00823322">
                        <w:pPr>
                          <w:spacing w:line="259" w:lineRule="auto"/>
                        </w:pPr>
                        <w:r>
                          <w:rPr>
                            <w:rFonts w:ascii="Cambria" w:eastAsia="Cambria" w:hAnsi="Cambria" w:cs="Cambria"/>
                            <w:sz w:val="32"/>
                          </w:rPr>
                          <w:t xml:space="preserve"> </w:t>
                        </w:r>
                      </w:p>
                    </w:txbxContent>
                  </v:textbox>
                </v:rect>
                <v:rect id="Rectangle 37" o:spid="_x0000_s1053" style="position:absolute;left:6099;top:76867;width:8051;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QyQAAAOAAAAAPAAAAZHJzL2Rvd25yZXYueG1sRI9Pa8JA&#13;&#10;FMTvBb/D8gRvdWOF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DPw/0MkAAADg&#13;&#10;AAAADwAAAAAAAAAAAAAAAAAHAgAAZHJzL2Rvd25yZXYueG1sUEsFBgAAAAADAAMAtwAAAP0CAAAA&#13;&#10;AA==&#13;&#10;" filled="f" stroked="f">
                  <v:textbox inset="0,0,0,0">
                    <w:txbxContent>
                      <w:p w14:paraId="595B7853" w14:textId="45E0426B" w:rsidR="00906BB0" w:rsidRDefault="00906BB0" w:rsidP="00823322">
                        <w:pPr>
                          <w:spacing w:line="259" w:lineRule="auto"/>
                        </w:pPr>
                        <w:r w:rsidRPr="007C016D">
                          <w:rPr>
                            <w:caps/>
                            <w:color w:val="1C1A17"/>
                            <w:sz w:val="36"/>
                            <w:szCs w:val="36"/>
                            <w:shd w:val="clear" w:color="auto" w:fill="FFFFFF"/>
                            <w:lang w:val="en-US"/>
                          </w:rPr>
                          <w:t xml:space="preserve"> </w:t>
                        </w:r>
                        <w:r w:rsidR="00365EA9">
                          <w:rPr>
                            <w:rFonts w:ascii="Cambria" w:eastAsia="Cambria" w:hAnsi="Cambria" w:cs="Cambria"/>
                            <w:sz w:val="32"/>
                            <w:lang w:val="en-US"/>
                          </w:rPr>
                          <w:t>M</w:t>
                        </w:r>
                        <w:r w:rsidR="009847E8">
                          <w:rPr>
                            <w:rFonts w:ascii="Cambria" w:eastAsia="Cambria" w:hAnsi="Cambria" w:cs="Cambria"/>
                            <w:sz w:val="32"/>
                            <w:lang w:val="en-US"/>
                          </w:rPr>
                          <w:t>axime</w:t>
                        </w:r>
                        <w:r w:rsidRPr="007C016D">
                          <w:rPr>
                            <w:rFonts w:ascii="Cambria" w:eastAsia="Cambria" w:hAnsi="Cambria" w:cs="Cambria"/>
                            <w:sz w:val="32"/>
                            <w:lang w:val="en-US"/>
                          </w:rPr>
                          <w:t xml:space="preserve"> Ulusoy</w:t>
                        </w:r>
                        <w:r w:rsidRPr="007C016D">
                          <w:rPr>
                            <w:rFonts w:ascii="Cambria" w:eastAsia="Cambria" w:hAnsi="Cambria" w:cs="Cambria"/>
                            <w:sz w:val="32"/>
                          </w:rPr>
                          <w:t> </w:t>
                        </w:r>
                        <w:r>
                          <w:rPr>
                            <w:rFonts w:ascii="Cambria" w:eastAsia="Cambria" w:hAnsi="Cambria" w:cs="Cambria"/>
                            <w:sz w:val="32"/>
                          </w:rPr>
                          <w:t>rah I</w:t>
                        </w:r>
                        <w:r w:rsidR="00365EA9">
                          <w:rPr>
                            <w:rFonts w:ascii="Cambria" w:eastAsia="Cambria" w:hAnsi="Cambria" w:cs="Cambria"/>
                            <w:sz w:val="32"/>
                          </w:rPr>
                          <w:t>Miriam</w:t>
                        </w:r>
                      </w:p>
                    </w:txbxContent>
                  </v:textbox>
                </v:rect>
                <v:rect id="Rectangle 39" o:spid="_x0000_s1054" style="position:absolute;left:12579;top:76867;width:594;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" filled="f" stroked="f">
                  <v:textbox inset="0,0,0,0">
                    <w:txbxContent>
                      <w:p w14:paraId="6BA78A32" w14:textId="77777777" w:rsidR="00906BB0" w:rsidRDefault="00906BB0" w:rsidP="00823322">
                        <w:pPr>
                          <w:spacing w:line="259" w:lineRule="auto"/>
                        </w:pPr>
                        <w:r>
                          <w:rPr>
                            <w:rFonts w:ascii="Cambria" w:eastAsia="Cambria" w:hAnsi="Cambria" w:cs="Cambria"/>
                            <w:sz w:val="32"/>
                          </w:rPr>
                          <w:t xml:space="preserve"> </w:t>
                        </w:r>
                      </w:p>
                    </w:txbxContent>
                  </v:textbox>
                </v:rect>
                <v:rect id="Rectangle 40" o:spid="_x0000_s1055" style="position:absolute;left:13023;top:76867;width:8457;height:2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9TZyAAAAOAAAAAPAAAAZHJzL2Rvd25yZXYueG1sRI9Na8JA&#13;&#10;EIbvgv9hGaE33VhK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DbE9TZyAAAAOAA&#13;&#10;AAAPAAAAAAAAAAAAAAAAAAcCAABkcnMvZG93bnJldi54bWxQSwUGAAAAAAMAAwC3AAAA/AIAAAAA&#13;&#10;" filled="f" stroked="f">
                  <v:textbox inset="0,0,0,0">
                    <w:txbxContent>
                      <w:p w14:paraId="25D9D412" w14:textId="67F8EA02" w:rsidR="00906BB0" w:rsidRDefault="00365EA9" w:rsidP="00823322">
                        <w:pPr>
                          <w:spacing w:line="259" w:lineRule="auto"/>
                        </w:pPr>
                        <w:r>
                          <w:rPr>
                            <w:rFonts w:ascii="Cambria" w:eastAsia="Cambria" w:hAnsi="Cambria" w:cs="Cambria"/>
                            <w:sz w:val="32"/>
                            <w:lang w:val="en-US"/>
                          </w:rPr>
                          <w:t xml:space="preserve">  </w:t>
                        </w:r>
                        <w:proofErr w:type="spellStart"/>
                        <w:r w:rsidR="009847E8">
                          <w:rPr>
                            <w:rFonts w:ascii="Cambria" w:eastAsia="Cambria" w:hAnsi="Cambria" w:cs="Cambria"/>
                            <w:sz w:val="32"/>
                            <w:lang w:val="en-US"/>
                          </w:rPr>
                          <w:t>Schoots</w:t>
                        </w:r>
                        <w:proofErr w:type="spellEnd"/>
                      </w:p>
                    </w:txbxContent>
                  </v:textbox>
                </v:rect>
                <v:rect id="Rectangle 41" o:spid="_x0000_s1056" style="position:absolute;left:19409;top:77460;width:372;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3FCxwAAAOAAAAAPAAAAZHJzL2Rvd25yZXYueG1sRI9Bi8Iw&#13;&#10;FITvgv8hPMGbpsoi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LRfcULHAAAA4AAA&#13;&#10;AA8AAAAAAAAAAAAAAAAABwIAAGRycy9kb3ducmV2LnhtbFBLBQYAAAAAAwADALcAAAD7AgAAAAA=&#13;&#10;" filled="f" stroked="f">
                  <v:textbox inset="0,0,0,0">
                    <w:txbxContent>
                      <w:p w14:paraId="73FACC12" w14:textId="77777777" w:rsidR="00906BB0" w:rsidRDefault="00906BB0" w:rsidP="00823322">
                        <w:pPr>
                          <w:spacing w:line="259" w:lineRule="auto"/>
                        </w:pPr>
                        <w:r>
                          <w:rPr>
                            <w:rFonts w:ascii="Cambria" w:eastAsia="Cambria" w:hAnsi="Cambria" w:cs="Cambria"/>
                            <w:sz w:val="20"/>
                          </w:rPr>
                          <w:t xml:space="preserve"> </w:t>
                        </w:r>
                      </w:p>
                    </w:txbxContent>
                  </v:textbox>
                </v:rect>
                <v:rect id="Rectangle 42" o:spid="_x0000_s1057" style="position:absolute;left:34751;top:80730;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e81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ESN7zXHAAAA4AAA&#13;&#10;AA8AAAAAAAAAAAAAAAAABwIAAGRycy9kb3ducmV2LnhtbFBLBQYAAAAAAwADALcAAAD7AgAAAAA=&#13;&#10;" filled="f" stroked="f">
                  <v:textbox inset="0,0,0,0">
                    <w:txbxContent>
                      <w:p w14:paraId="308D03AC" w14:textId="77777777" w:rsidR="00906BB0" w:rsidRDefault="00906BB0" w:rsidP="00823322">
                        <w:pPr>
                          <w:spacing w:line="259" w:lineRule="auto"/>
                        </w:pPr>
                        <w:r>
                          <w:rPr>
                            <w:rFonts w:ascii="Cambria" w:eastAsia="Cambria" w:hAnsi="Cambria" w:cs="Cambria"/>
                            <w:sz w:val="20"/>
                          </w:rPr>
                          <w:t xml:space="preserve"> </w:t>
                        </w:r>
                      </w:p>
                    </w:txbxContent>
                  </v:textbox>
                </v:rect>
                <v:rect id="Rectangle 43" o:spid="_x0000_s1058" style="position:absolute;left:34751;top:83714;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Uqu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" filled="f" stroked="f">
                  <v:textbox inset="0,0,0,0">
                    <w:txbxContent>
                      <w:p w14:paraId="27B66085" w14:textId="77777777" w:rsidR="00906BB0" w:rsidRDefault="00906BB0" w:rsidP="00823322">
                        <w:pPr>
                          <w:spacing w:line="259" w:lineRule="auto"/>
                        </w:pPr>
                        <w:r>
                          <w:rPr>
                            <w:rFonts w:ascii="Cambria" w:eastAsia="Cambria" w:hAnsi="Cambria" w:cs="Cambria"/>
                            <w:sz w:val="20"/>
                          </w:rPr>
                          <w:t xml:space="preserve"> </w:t>
                        </w:r>
                      </w:p>
                    </w:txbxContent>
                  </v:textbox>
                </v:rect>
                <v:rect id="Rectangle 44" o:spid="_x0000_s1059" style="position:absolute;left:6099;top:86699;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NLayQAAAOAAAAAPAAAAZHJzL2Rvd25yZXYueG1sRI9Ba8JA&#13;&#10;FITvhf6H5RW81U2L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pCjS2skAAADg&#13;&#10;AAAADwAAAAAAAAAAAAAAAAAHAgAAZHJzL2Rvd25yZXYueG1sUEsFBgAAAAADAAMAtwAAAP0CAAAA&#13;&#10;AA==&#13;&#10;" filled="f" stroked="f">
                  <v:textbox inset="0,0,0,0">
                    <w:txbxContent>
                      <w:p w14:paraId="44A63042" w14:textId="77777777" w:rsidR="00906BB0" w:rsidRDefault="00906BB0" w:rsidP="00823322">
                        <w:pPr>
                          <w:spacing w:line="259" w:lineRule="auto"/>
                        </w:pPr>
                        <w:r>
                          <w:rPr>
                            <w:rFonts w:ascii="Cambria" w:eastAsia="Cambria" w:hAnsi="Cambria" w:cs="Cambria"/>
                            <w:sz w:val="20"/>
                          </w:rPr>
                          <w:t xml:space="preserve"> </w:t>
                        </w:r>
                      </w:p>
                    </w:txbxContent>
                  </v:textbox>
                </v:rect>
                <v:rect id="Rectangle 45" o:spid="_x0000_s1060" style="position:absolute;left:6099;top:89686;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HdByQAAAOAAAAAPAAAAZHJzL2Rvd25yZXYueG1sRI9Pa8JA&#13;&#10;FMTvBb/D8gRvdWOx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y2R3QckAAADg&#13;&#10;AAAADwAAAAAAAAAAAAAAAAAHAgAAZHJzL2Rvd25yZXYueG1sUEsFBgAAAAADAAMAtwAAAP0CAAAA&#13;&#10;AA==&#13;&#10;" filled="f" stroked="f">
                  <v:textbox inset="0,0,0,0">
                    <w:txbxContent>
                      <w:p w14:paraId="3A3A7EAB" w14:textId="77777777" w:rsidR="00906BB0" w:rsidRDefault="00906BB0" w:rsidP="00823322">
                        <w:pPr>
                          <w:spacing w:line="259" w:lineRule="auto"/>
                        </w:pPr>
                        <w:r>
                          <w:rPr>
                            <w:rFonts w:ascii="Cambria" w:eastAsia="Cambria" w:hAnsi="Cambria" w:cs="Cambria"/>
                            <w:sz w:val="20"/>
                          </w:rPr>
                          <w:t xml:space="preserve"> </w:t>
                        </w:r>
                      </w:p>
                    </w:txbxContent>
                  </v:textbox>
                </v:rect>
                <v:rect id="Rectangle 46" o:spid="_x0000_s1061" style="position:absolute;left:6099;top:91179;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uk2yAAAAOAAAAAPAAAAZHJzL2Rvd25yZXYueG1sRI9Ba8JA&#13;&#10;FITvQv/D8oTedGMp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A7tuk2yAAAAOAA&#13;&#10;AAAPAAAAAAAAAAAAAAAAAAcCAABkcnMvZG93bnJldi54bWxQSwUGAAAAAAMAAwC3AAAA/AIAAAAA&#13;&#10;" filled="f" stroked="f">
                  <v:textbox inset="0,0,0,0">
                    <w:txbxContent>
                      <w:p w14:paraId="15656571" w14:textId="77777777" w:rsidR="00906BB0" w:rsidRDefault="00906BB0" w:rsidP="00823322">
                        <w:pPr>
                          <w:spacing w:line="259" w:lineRule="auto"/>
                        </w:pPr>
                        <w:r>
                          <w:rPr>
                            <w:rFonts w:ascii="Cambria" w:eastAsia="Cambria" w:hAnsi="Cambria" w:cs="Cambria"/>
                            <w:sz w:val="20"/>
                          </w:rPr>
                          <w:t xml:space="preserve"> </w:t>
                        </w:r>
                      </w:p>
                    </w:txbxContent>
                  </v:textbox>
                </v:rect>
                <v:rect id="Rectangle 47" o:spid="_x0000_s1062" style="position:absolute;left:6099;top:92671;width:371;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ytyQAAAOAAAAAPAAAAZHJzL2Rvd25yZXYueG1sRI9Pa8JA&#13;&#10;FMTvBb/D8gRvdWOR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VPpMrckAAADg&#13;&#10;AAAADwAAAAAAAAAAAAAAAAAHAgAAZHJzL2Rvd25yZXYueG1sUEsFBgAAAAADAAMAtwAAAP0CAAAA&#13;&#10;AA==&#13;&#10;" filled="f" stroked="f">
                  <v:textbox inset="0,0,0,0">
                    <w:txbxContent>
                      <w:p w14:paraId="5EB3ACFD" w14:textId="77777777" w:rsidR="00906BB0" w:rsidRDefault="00906BB0" w:rsidP="00823322">
                        <w:pPr>
                          <w:spacing w:line="259" w:lineRule="auto"/>
                        </w:pPr>
                        <w:r>
                          <w:rPr>
                            <w:rFonts w:ascii="Cambria" w:eastAsia="Cambria" w:hAnsi="Cambria" w:cs="Cambria"/>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63" type="#_x0000_t75" style="position:absolute;left:6286;top:17098;width:26106;height:6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">
                  <v:imagedata r:id="rId9" o:title=""/>
                </v:shape>
                <v:shape id="Shape 78622" o:spid="_x0000_s1064" style="position:absolute;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" path="m,l9144,r,19050l,19050,,e" fillcolor="#548dd4" stroked="f" strokeweight="0">
                  <v:stroke miterlimit="83231f" joinstyle="miter"/>
                  <v:path arrowok="t" textboxrect="0,0,9144,19050"/>
                </v:shape>
                <v:shape id="Shape 78623" o:spid="_x0000_s1065" style="position:absolute;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" path="m,l19050,r,9144l,9144,,e" fillcolor="#548dd4" stroked="f" strokeweight="0">
                  <v:stroke miterlimit="83231f" joinstyle="miter"/>
                  <v:path arrowok="t" textboxrect="0,0,19050,9144"/>
                </v:shape>
                <v:shape id="Shape 78624" o:spid="_x0000_s1066" style="position:absolute;left:63;top:63;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" path="m,l9144,r,12700l,12700,,e" stroked="f" strokeweight="0">
                  <v:stroke miterlimit="83231f" joinstyle="miter"/>
                  <v:path arrowok="t" textboxrect="0,0,9144,12700"/>
                </v:shape>
                <v:shape id="Shape 78625" o:spid="_x0000_s1067" style="position:absolute;left:63;top:63;width:127;height:91;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" path="m,l12700,r,9144l,9144,,e" stroked="f" strokeweight="0">
                  <v:stroke miterlimit="83231f" joinstyle="miter"/>
                  <v:path arrowok="t" textboxrect="0,0,12700,9144"/>
                </v:shape>
                <v:shape id="Shape 78626" o:spid="_x0000_s1068" style="position:absolute;left:127;top:127;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" path="m,l9144,r,9144l,9144,,e" fillcolor="#548dd4" stroked="f" strokeweight="0">
                  <v:stroke miterlimit="83231f" joinstyle="miter"/>
                  <v:path arrowok="t" textboxrect="0,0,9144,9144"/>
                </v:shape>
                <v:shape id="Shape 78627" o:spid="_x0000_s1069" style="position:absolute;left:190;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" path="m,l6915150,r,9144l,9144,,e" fillcolor="#548dd4" stroked="f" strokeweight="0">
                  <v:stroke miterlimit="83231f" joinstyle="miter"/>
                  <v:path arrowok="t" textboxrect="0,0,6915150,9144"/>
                </v:shape>
                <v:shape id="Shape 78628" o:spid="_x0000_s1070" style="position:absolute;left:190;top:63;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" path="m,l6915150,r,9144l,9144,,e" stroked="f" strokeweight="0">
                  <v:stroke miterlimit="83231f" joinstyle="miter"/>
                  <v:path arrowok="t" textboxrect="0,0,6915150,9144"/>
                </v:shape>
                <v:shape id="Shape 78629" o:spid="_x0000_s1071" style="position:absolute;left:190;top:127;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" path="m,l6915150,r,9144l,9144,,e" fillcolor="#548dd4" stroked="f" strokeweight="0">
                  <v:stroke miterlimit="83231f" joinstyle="miter"/>
                  <v:path arrowok="t" textboxrect="0,0,6915150,9144"/>
                </v:shape>
                <v:shape id="Shape 78630" o:spid="_x0000_s1072" style="position:absolute;left:6946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" path="m,l9144,r,19050l,19050,,e" fillcolor="#548dd4" stroked="f" strokeweight="0">
                  <v:stroke miterlimit="83231f" joinstyle="miter"/>
                  <v:path arrowok="t" textboxrect="0,0,9144,19050"/>
                </v:shape>
                <v:shape id="Shape 78631" o:spid="_x0000_s1073" style="position:absolute;left:69342;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" path="m,l19050,r,9144l,9144,,e" fillcolor="#548dd4" stroked="f" strokeweight="0">
                  <v:stroke miterlimit="83231f" joinstyle="miter"/>
                  <v:path arrowok="t" textboxrect="0,0,19050,9144"/>
                </v:shape>
                <v:shape id="Shape 78632" o:spid="_x0000_s1074" style="position:absolute;left:69405;top:63;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" path="m,l9144,r,12700l,12700,,e" stroked="f" strokeweight="0">
                  <v:stroke miterlimit="83231f" joinstyle="miter"/>
                  <v:path arrowok="t" textboxrect="0,0,9144,12700"/>
                </v:shape>
                <v:shape id="Shape 78633" o:spid="_x0000_s1075" style="position:absolute;left:69342;top:63;width:127;height:91;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" path="m,l12700,r,9144l,9144,,e" stroked="f" strokeweight="0">
                  <v:stroke miterlimit="83231f" joinstyle="miter"/>
                  <v:path arrowok="t" textboxrect="0,0,12700,9144"/>
                </v:shape>
                <v:shape id="Shape 78634" o:spid="_x0000_s1076" style="position:absolute;left:69342;top:127;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" path="m,l9144,r,9144l,9144,,e" fillcolor="#548dd4" stroked="f" strokeweight="0">
                  <v:stroke miterlimit="83231f" joinstyle="miter"/>
                  <v:path arrowok="t" textboxrect="0,0,9144,9144"/>
                </v:shape>
                <v:shape id="Shape 78635" o:spid="_x0000_s1077" style="position:absolute;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" path="m,l9144,r,10048875l,10048875,,e" fillcolor="#548dd4" stroked="f" strokeweight="0">
                  <v:stroke miterlimit="83231f" joinstyle="miter"/>
                  <v:path arrowok="t" textboxrect="0,0,9144,10048875"/>
                </v:shape>
                <v:shape id="Shape 78636" o:spid="_x0000_s1078" style="position:absolute;left:63;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" path="m,l9144,r,10048875l,10048875,,e" stroked="f" strokeweight="0">
                  <v:stroke miterlimit="83231f" joinstyle="miter"/>
                  <v:path arrowok="t" textboxrect="0,0,9144,10048875"/>
                </v:shape>
                <v:shape id="Shape 78637" o:spid="_x0000_s1079" style="position:absolute;left:127;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" path="m,l9144,r,10048875l,10048875,,e" fillcolor="#548dd4" stroked="f" strokeweight="0">
                  <v:stroke miterlimit="83231f" joinstyle="miter"/>
                  <v:path arrowok="t" textboxrect="0,0,9144,10048875"/>
                </v:shape>
                <v:shape id="Shape 78638" o:spid="_x0000_s1080" style="position:absolute;left:69469;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" path="m,l9144,r,10048875l,10048875,,e" fillcolor="#548dd4" stroked="f" strokeweight="0">
                  <v:stroke miterlimit="83231f" joinstyle="miter"/>
                  <v:path arrowok="t" textboxrect="0,0,9144,10048875"/>
                </v:shape>
                <v:shape id="Shape 78639" o:spid="_x0000_s1081" style="position:absolute;left:69405;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" path="m,l9144,r,10048875l,10048875,,e" stroked="f" strokeweight="0">
                  <v:stroke miterlimit="83231f" joinstyle="miter"/>
                  <v:path arrowok="t" textboxrect="0,0,9144,10048875"/>
                </v:shape>
                <v:shape id="Shape 78640" o:spid="_x0000_s1082" style="position:absolute;left:69342;top:190;width:91;height:100489;visibility:visible;mso-wrap-style:square;v-text-anchor:top" coordsize="9144,10048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" path="m,l9144,r,10048875l,10048875,,e" fillcolor="#548dd4" stroked="f" strokeweight="0">
                  <v:stroke miterlimit="83231f" joinstyle="miter"/>
                  <v:path arrowok="t" textboxrect="0,0,9144,10048875"/>
                </v:shape>
                <v:shape id="Shape 78641" o:spid="_x0000_s1083" style="position:absolute;top:10067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" path="m,l9144,r,19050l,19050,,e" fillcolor="#548dd4" stroked="f" strokeweight="0">
                  <v:stroke miterlimit="83231f" joinstyle="miter"/>
                  <v:path arrowok="t" textboxrect="0,0,9144,19050"/>
                </v:shape>
                <v:shape id="Shape 78642" o:spid="_x0000_s1084" style="position:absolute;top:100806;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" path="m,l19050,r,9144l,9144,,e" fillcolor="#548dd4" stroked="f" strokeweight="0">
                  <v:stroke miterlimit="83231f" joinstyle="miter"/>
                  <v:path arrowok="t" textboxrect="0,0,19050,9144"/>
                </v:shape>
                <v:shape id="Shape 78643" o:spid="_x0000_s1085" style="position:absolute;left:63;top:100679;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" path="m,l9144,r,12700l,12700,,e" stroked="f" strokeweight="0">
                  <v:stroke miterlimit="83231f" joinstyle="miter"/>
                  <v:path arrowok="t" textboxrect="0,0,9144,12700"/>
                </v:shape>
                <v:shape id="Shape 78644" o:spid="_x0000_s1086" style="position:absolute;left:63;top:100742;width:127;height:92;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" path="m,l12700,r,9144l,9144,,e" stroked="f" strokeweight="0">
                  <v:stroke miterlimit="83231f" joinstyle="miter"/>
                  <v:path arrowok="t" textboxrect="0,0,12700,9144"/>
                </v:shape>
                <v:shape id="Shape 78645" o:spid="_x0000_s1087" style="position:absolute;left:127;top:1006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" path="m,l9144,r,9144l,9144,,e" fillcolor="#548dd4" stroked="f" strokeweight="0">
                  <v:stroke miterlimit="83231f" joinstyle="miter"/>
                  <v:path arrowok="t" textboxrect="0,0,9144,9144"/>
                </v:shape>
                <v:shape id="Shape 78646" o:spid="_x0000_s1088" style="position:absolute;left:190;top:100806;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" path="m,l6915150,r,9144l,9144,,e" fillcolor="#548dd4" stroked="f" strokeweight="0">
                  <v:stroke miterlimit="83231f" joinstyle="miter"/>
                  <v:path arrowok="t" textboxrect="0,0,6915150,9144"/>
                </v:shape>
                <v:shape id="Shape 78647" o:spid="_x0000_s1089" style="position:absolute;left:190;top:100742;width:69152;height:92;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" path="m,l6915150,r,9144l,9144,,e" stroked="f" strokeweight="0">
                  <v:stroke miterlimit="83231f" joinstyle="miter"/>
                  <v:path arrowok="t" textboxrect="0,0,6915150,9144"/>
                </v:shape>
                <v:shape id="Shape 78648" o:spid="_x0000_s1090" style="position:absolute;left:190;top:100679;width:69152;height:91;visibility:visible;mso-wrap-style:square;v-text-anchor:top" coordsize="69151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" path="m,l6915150,r,9144l,9144,,e" fillcolor="#548dd4" stroked="f" strokeweight="0">
                  <v:stroke miterlimit="83231f" joinstyle="miter"/>
                  <v:path arrowok="t" textboxrect="0,0,6915150,9144"/>
                </v:shape>
                <v:shape id="Shape 78649" o:spid="_x0000_s1091" style="position:absolute;left:69469;top:100679;width:91;height:190;visibility:visible;mso-wrap-style:square;v-text-anchor:top" coordsize="9144,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" path="m,l9144,r,19050l,19050,,e" fillcolor="#548dd4" stroked="f" strokeweight="0">
                  <v:stroke miterlimit="83231f" joinstyle="miter"/>
                  <v:path arrowok="t" textboxrect="0,0,9144,19050"/>
                </v:shape>
                <v:shape id="Shape 78650" o:spid="_x0000_s1092" style="position:absolute;left:69342;top:100806;width:190;height:91;visibility:visible;mso-wrap-style:square;v-text-anchor:top" coordsize="1905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" path="m,l19050,r,9144l,9144,,e" fillcolor="#548dd4" stroked="f" strokeweight="0">
                  <v:stroke miterlimit="83231f" joinstyle="miter"/>
                  <v:path arrowok="t" textboxrect="0,0,19050,9144"/>
                </v:shape>
                <v:shape id="Shape 78651" o:spid="_x0000_s1093" style="position:absolute;left:69405;top:100679;width:91;height:127;visibility:visible;mso-wrap-style:square;v-text-anchor:top" coordsize="9144,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" path="m,l9144,r,12700l,12700,,e" stroked="f" strokeweight="0">
                  <v:stroke miterlimit="83231f" joinstyle="miter"/>
                  <v:path arrowok="t" textboxrect="0,0,9144,12700"/>
                </v:shape>
                <v:shape id="Shape 78652" o:spid="_x0000_s1094" style="position:absolute;left:69342;top:100742;width:127;height:92;visibility:visible;mso-wrap-style:square;v-text-anchor:top" coordsize="1270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" path="m,l12700,r,9144l,9144,,e" stroked="f" strokeweight="0">
                  <v:stroke miterlimit="83231f" joinstyle="miter"/>
                  <v:path arrowok="t" textboxrect="0,0,12700,9144"/>
                </v:shape>
                <v:shape id="Shape 78653" o:spid="_x0000_s1095" style="position:absolute;left:69342;top:1006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" path="m,l9144,r,9144l,9144,,e" fillcolor="#548dd4" stroked="f" strokeweight="0">
                  <v:stroke miterlimit="83231f" joinstyle="miter"/>
                  <v:path arrowok="t" textboxrect="0,0,9144,9144"/>
                </v:shape>
                <w10:anchorlock/>
              </v:group>
            </w:pict>
          </mc:Fallback>
        </mc:AlternateContent>
      </w:r>
    </w:p>
    <w:p w14:paraId="02DD9734" w14:textId="0CA9FC5C" w:rsidR="00906BB0" w:rsidRPr="00402996" w:rsidRDefault="00906BB0" w:rsidP="00402996">
      <w:pPr>
        <w:spacing w:after="10" w:line="259" w:lineRule="auto"/>
        <w:sectPr w:rsidR="00906BB0" w:rsidRPr="00402996" w:rsidSect="00906BB0">
          <w:footerReference w:type="even" r:id="rId10"/>
          <w:footerReference w:type="default" r:id="rId11"/>
          <w:footerReference w:type="first" r:id="rId12"/>
          <w:pgSz w:w="11906" w:h="16838"/>
          <w:pgMar w:top="720" w:right="720" w:bottom="720" w:left="720" w:header="709" w:footer="709" w:gutter="0"/>
          <w:cols w:space="708"/>
          <w:docGrid w:linePitch="360"/>
        </w:sectPr>
      </w:pPr>
    </w:p>
    <w:p w14:paraId="09FE564C" w14:textId="2C88F517" w:rsidR="00906BB0" w:rsidRPr="00823322" w:rsidRDefault="00906BB0" w:rsidP="00823322">
      <w:pPr>
        <w:spacing w:after="5" w:line="248" w:lineRule="auto"/>
        <w:rPr>
          <w:rFonts w:eastAsia="Cambria" w:cs="Cambria"/>
          <w:sz w:val="20"/>
        </w:rPr>
      </w:pPr>
      <w:bookmarkStart w:id="0" w:name="_Hlk238067828"/>
      <w:r w:rsidRPr="00823322">
        <w:rPr>
          <w:rFonts w:eastAsia="Cambria" w:cs="Cambria"/>
          <w:sz w:val="20"/>
        </w:rPr>
        <w:lastRenderedPageBreak/>
        <w:t xml:space="preserve">© </w:t>
      </w:r>
      <w:r w:rsidR="00365EA9">
        <w:rPr>
          <w:rFonts w:eastAsia="Cambria" w:cs="Cambria"/>
          <w:sz w:val="20"/>
        </w:rPr>
        <w:t>M</w:t>
      </w:r>
      <w:r w:rsidR="009847E8">
        <w:rPr>
          <w:rFonts w:eastAsia="Cambria" w:cs="Cambria"/>
          <w:sz w:val="20"/>
        </w:rPr>
        <w:t>axime Schoots</w:t>
      </w:r>
      <w:r w:rsidRPr="00823322">
        <w:rPr>
          <w:rFonts w:eastAsia="Cambria" w:cs="Cambria"/>
          <w:sz w:val="20"/>
        </w:rPr>
        <w:t xml:space="preserve"> 2026 </w:t>
      </w:r>
    </w:p>
    <w:p w14:paraId="7D41621F" w14:textId="77777777" w:rsidR="00906BB0" w:rsidRPr="00823322" w:rsidRDefault="00906BB0" w:rsidP="00823322">
      <w:pPr>
        <w:spacing w:after="5" w:line="248" w:lineRule="auto"/>
        <w:rPr>
          <w:rFonts w:eastAsia="Cambria" w:cs="Cambria"/>
          <w:sz w:val="20"/>
        </w:rPr>
      </w:pPr>
    </w:p>
    <w:p w14:paraId="505E3F27" w14:textId="67BA2691" w:rsidR="00906BB0" w:rsidRPr="00823322" w:rsidRDefault="00906BB0" w:rsidP="00823322">
      <w:pPr>
        <w:spacing w:after="5" w:line="248" w:lineRule="auto"/>
      </w:pPr>
    </w:p>
    <w:p w14:paraId="4AA9AE7B" w14:textId="77777777" w:rsidR="00906BB0" w:rsidRPr="00823322" w:rsidRDefault="00906BB0" w:rsidP="00823322">
      <w:pPr>
        <w:spacing w:after="0" w:line="259" w:lineRule="auto"/>
        <w:ind w:left="5"/>
      </w:pPr>
      <w:r w:rsidRPr="00823322">
        <w:rPr>
          <w:rFonts w:eastAsia="Cambria" w:cs="Cambria"/>
          <w:sz w:val="20"/>
        </w:rPr>
        <w:t xml:space="preserve"> </w:t>
      </w:r>
    </w:p>
    <w:p w14:paraId="6A97936D" w14:textId="77777777" w:rsidR="00906BB0" w:rsidRPr="00823322" w:rsidRDefault="00906BB0" w:rsidP="00823322">
      <w:pPr>
        <w:spacing w:after="5" w:line="248" w:lineRule="auto"/>
        <w:rPr>
          <w:rFonts w:eastAsia="Cambria" w:cs="Cambria"/>
          <w:sz w:val="20"/>
        </w:rPr>
      </w:pPr>
      <w:r w:rsidRPr="00823322">
        <w:rPr>
          <w:rFonts w:eastAsia="Cambria" w:cs="Cambria"/>
          <w:sz w:val="20"/>
        </w:rPr>
        <w:t xml:space="preserve">ACMRL Migration Law Series </w:t>
      </w:r>
    </w:p>
    <w:p w14:paraId="53FFA845" w14:textId="77777777" w:rsidR="00906BB0" w:rsidRPr="00823322" w:rsidRDefault="00906BB0" w:rsidP="00823322">
      <w:pPr>
        <w:spacing w:after="5" w:line="248" w:lineRule="auto"/>
        <w:rPr>
          <w:rFonts w:eastAsia="Cambria" w:cs="Cambria"/>
          <w:sz w:val="20"/>
        </w:rPr>
      </w:pPr>
    </w:p>
    <w:p w14:paraId="11E73995" w14:textId="77777777" w:rsidR="00906BB0" w:rsidRPr="00823322" w:rsidRDefault="00906BB0" w:rsidP="00823322">
      <w:pPr>
        <w:spacing w:after="5" w:line="248" w:lineRule="auto"/>
      </w:pPr>
    </w:p>
    <w:p w14:paraId="6E98CCC9" w14:textId="77777777" w:rsidR="00906BB0" w:rsidRPr="00823322" w:rsidRDefault="00906BB0" w:rsidP="00823322">
      <w:pPr>
        <w:spacing w:after="0" w:line="259" w:lineRule="auto"/>
        <w:ind w:left="5"/>
      </w:pPr>
      <w:r w:rsidRPr="00823322">
        <w:rPr>
          <w:rFonts w:eastAsia="Cambria" w:cs="Cambria"/>
          <w:sz w:val="20"/>
        </w:rPr>
        <w:t xml:space="preserve"> </w:t>
      </w:r>
    </w:p>
    <w:p w14:paraId="76F53C0B" w14:textId="77777777" w:rsidR="00906BB0" w:rsidRPr="00823322" w:rsidRDefault="00906BB0" w:rsidP="00823322">
      <w:pPr>
        <w:spacing w:after="0" w:line="259" w:lineRule="auto"/>
        <w:ind w:right="4335"/>
      </w:pPr>
      <w:r w:rsidRPr="00823322">
        <w:rPr>
          <w:noProof/>
        </w:rPr>
        <w:drawing>
          <wp:inline distT="0" distB="0" distL="0" distR="0" wp14:anchorId="35A8AEE5" wp14:editId="234A48C1">
            <wp:extent cx="2906570" cy="545541"/>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3"/>
                    <a:stretch>
                      <a:fillRect/>
                    </a:stretch>
                  </pic:blipFill>
                  <pic:spPr>
                    <a:xfrm>
                      <a:off x="0" y="0"/>
                      <a:ext cx="2906570" cy="545541"/>
                    </a:xfrm>
                    <a:prstGeom prst="rect">
                      <a:avLst/>
                    </a:prstGeom>
                  </pic:spPr>
                </pic:pic>
              </a:graphicData>
            </a:graphic>
          </wp:inline>
        </w:drawing>
      </w:r>
      <w:r w:rsidRPr="00823322">
        <w:rPr>
          <w:rFonts w:eastAsia="Cambria" w:cs="Cambria"/>
          <w:sz w:val="20"/>
        </w:rPr>
        <w:t xml:space="preserve"> </w:t>
      </w:r>
    </w:p>
    <w:p w14:paraId="390D6A1B" w14:textId="77777777" w:rsidR="00906BB0" w:rsidRPr="00823322" w:rsidRDefault="00906BB0" w:rsidP="00823322">
      <w:pPr>
        <w:spacing w:after="0" w:line="259" w:lineRule="auto"/>
        <w:ind w:left="5"/>
      </w:pPr>
      <w:r w:rsidRPr="00823322">
        <w:rPr>
          <w:rFonts w:eastAsia="Cambria" w:cs="Cambria"/>
          <w:sz w:val="20"/>
        </w:rPr>
        <w:t xml:space="preserve"> </w:t>
      </w:r>
    </w:p>
    <w:p w14:paraId="52AC6E3E" w14:textId="77777777" w:rsidR="00906BB0" w:rsidRPr="00823322" w:rsidRDefault="00906BB0" w:rsidP="00823322">
      <w:pPr>
        <w:spacing w:after="5" w:line="248" w:lineRule="auto"/>
      </w:pPr>
      <w:r w:rsidRPr="00823322">
        <w:rPr>
          <w:rFonts w:eastAsia="Cambria" w:cs="Cambria"/>
          <w:sz w:val="20"/>
        </w:rPr>
        <w:t xml:space="preserve">Amsterdam Centre for Migration and Refugee Law </w:t>
      </w:r>
    </w:p>
    <w:p w14:paraId="3C0E1199" w14:textId="77777777" w:rsidR="00906BB0" w:rsidRPr="00823322" w:rsidRDefault="00906BB0" w:rsidP="00823322">
      <w:pPr>
        <w:spacing w:after="5" w:line="248" w:lineRule="auto"/>
      </w:pPr>
      <w:r w:rsidRPr="00823322">
        <w:rPr>
          <w:rFonts w:eastAsia="Cambria" w:cs="Cambria"/>
          <w:sz w:val="20"/>
        </w:rPr>
        <w:t xml:space="preserve">Department of Constitutional and Administrative Law </w:t>
      </w:r>
    </w:p>
    <w:p w14:paraId="02C5E298" w14:textId="77777777" w:rsidR="00906BB0" w:rsidRPr="00823322" w:rsidRDefault="00906BB0" w:rsidP="00823322">
      <w:pPr>
        <w:spacing w:after="5" w:line="248" w:lineRule="auto"/>
      </w:pPr>
      <w:r w:rsidRPr="00823322">
        <w:rPr>
          <w:rFonts w:eastAsia="Cambria" w:cs="Cambria"/>
          <w:sz w:val="20"/>
        </w:rPr>
        <w:t xml:space="preserve">De Boelelaan 1105 </w:t>
      </w:r>
    </w:p>
    <w:p w14:paraId="7C9283AF" w14:textId="77777777" w:rsidR="00906BB0" w:rsidRPr="00823322" w:rsidRDefault="00906BB0" w:rsidP="00823322">
      <w:pPr>
        <w:spacing w:after="5" w:line="248" w:lineRule="auto"/>
      </w:pPr>
      <w:r w:rsidRPr="00823322">
        <w:rPr>
          <w:rFonts w:eastAsia="Cambria" w:cs="Cambria"/>
          <w:sz w:val="20"/>
        </w:rPr>
        <w:t xml:space="preserve">1081 HV Amsterdam </w:t>
      </w:r>
    </w:p>
    <w:p w14:paraId="1BD2BFB3" w14:textId="77777777" w:rsidR="00906BB0" w:rsidRPr="00823322" w:rsidRDefault="00906BB0" w:rsidP="00823322">
      <w:pPr>
        <w:spacing w:after="5" w:line="248" w:lineRule="auto"/>
        <w:rPr>
          <w:rFonts w:eastAsia="Cambria" w:cs="Cambria"/>
          <w:sz w:val="20"/>
        </w:rPr>
      </w:pPr>
      <w:r w:rsidRPr="00823322">
        <w:rPr>
          <w:rFonts w:eastAsia="Cambria" w:cs="Cambria"/>
          <w:sz w:val="20"/>
        </w:rPr>
        <w:t xml:space="preserve">The Netherlands Tel. +31 20 5986261 </w:t>
      </w:r>
    </w:p>
    <w:p w14:paraId="7F10E873" w14:textId="77777777" w:rsidR="00906BB0" w:rsidRPr="00823322" w:rsidRDefault="00906BB0" w:rsidP="00823322">
      <w:pPr>
        <w:spacing w:after="5" w:line="248" w:lineRule="auto"/>
        <w:ind w:hanging="10"/>
        <w:rPr>
          <w:rFonts w:eastAsia="Cambria" w:cs="Cambria"/>
          <w:sz w:val="20"/>
        </w:rPr>
      </w:pPr>
      <w:hyperlink r:id="rId14">
        <w:r w:rsidRPr="00823322">
          <w:rPr>
            <w:rFonts w:eastAsia="Cambria" w:cs="Cambria"/>
            <w:color w:val="000000"/>
            <w:sz w:val="20"/>
          </w:rPr>
          <w:t>www.rechten.vu.nl</w:t>
        </w:r>
      </w:hyperlink>
      <w:hyperlink r:id="rId15">
        <w:r w:rsidRPr="00823322">
          <w:rPr>
            <w:rFonts w:eastAsia="Cambria" w:cs="Cambria"/>
            <w:sz w:val="20"/>
          </w:rPr>
          <w:t xml:space="preserve"> </w:t>
        </w:r>
      </w:hyperlink>
    </w:p>
    <w:p w14:paraId="46B28D58" w14:textId="77777777" w:rsidR="00906BB0" w:rsidRPr="00823322" w:rsidRDefault="00906BB0" w:rsidP="00823322">
      <w:pPr>
        <w:spacing w:after="0" w:line="259" w:lineRule="auto"/>
        <w:ind w:left="5"/>
      </w:pPr>
    </w:p>
    <w:p w14:paraId="4AE555B0" w14:textId="77777777" w:rsidR="00906BB0" w:rsidRPr="00823322" w:rsidRDefault="00906BB0" w:rsidP="00823322">
      <w:pPr>
        <w:spacing w:after="0" w:line="259" w:lineRule="auto"/>
        <w:ind w:left="5"/>
      </w:pPr>
      <w:r w:rsidRPr="00823322">
        <w:rPr>
          <w:rFonts w:eastAsia="Cambria" w:cs="Cambria"/>
          <w:sz w:val="20"/>
        </w:rPr>
        <w:t xml:space="preserve"> </w:t>
      </w:r>
    </w:p>
    <w:p w14:paraId="5B153048" w14:textId="77777777" w:rsidR="00906BB0" w:rsidRPr="00823322" w:rsidRDefault="00906BB0" w:rsidP="00823322">
      <w:pPr>
        <w:spacing w:after="130" w:line="259" w:lineRule="auto"/>
        <w:ind w:left="5"/>
      </w:pPr>
      <w:r w:rsidRPr="00823322">
        <w:rPr>
          <w:rFonts w:eastAsia="Cambria" w:cs="Cambria"/>
          <w:sz w:val="20"/>
        </w:rPr>
        <w:t xml:space="preserve"> </w:t>
      </w:r>
    </w:p>
    <w:p w14:paraId="56EA10D9" w14:textId="77777777" w:rsidR="00906BB0" w:rsidRPr="00823322" w:rsidRDefault="00906BB0" w:rsidP="00823322">
      <w:pPr>
        <w:spacing w:after="0" w:line="259" w:lineRule="auto"/>
        <w:ind w:left="5"/>
      </w:pPr>
      <w:r w:rsidRPr="00823322">
        <w:rPr>
          <w:rFonts w:eastAsia="Cambria" w:cs="Cambria"/>
          <w:sz w:val="36"/>
        </w:rPr>
        <w:t xml:space="preserve">ACMRL Migration Law Series  </w:t>
      </w:r>
    </w:p>
    <w:p w14:paraId="6C9534BD" w14:textId="77777777" w:rsidR="00906BB0" w:rsidRPr="00823322" w:rsidRDefault="00906BB0" w:rsidP="00823322">
      <w:pPr>
        <w:spacing w:after="5" w:line="248" w:lineRule="auto"/>
      </w:pPr>
      <w:r w:rsidRPr="00823322">
        <w:rPr>
          <w:rFonts w:eastAsia="Cambria" w:cs="Cambria"/>
          <w:sz w:val="20"/>
        </w:rPr>
        <w:t xml:space="preserve">The Amsterdam Centre for Migration and Refugee Law (ACMRL) of the Vrije Universiteit Amsterdam periodically publishes papers and books that highlight the findings of its research. Papers aim to stimulate discussion among the community of scholars, policymakers and practitioners. They are distributed free of charge in PDF format via the VU website. Comments on individual Working Papers are welcomed, and should be directed to the author/s. </w:t>
      </w:r>
    </w:p>
    <w:p w14:paraId="331523AF" w14:textId="77777777" w:rsidR="00906BB0" w:rsidRPr="00823322" w:rsidRDefault="00906BB0" w:rsidP="00823322">
      <w:pPr>
        <w:spacing w:after="0" w:line="259" w:lineRule="auto"/>
        <w:ind w:left="5"/>
      </w:pPr>
      <w:r w:rsidRPr="00823322">
        <w:rPr>
          <w:rFonts w:eastAsia="Cambria" w:cs="Cambria"/>
          <w:sz w:val="20"/>
        </w:rPr>
        <w:t xml:space="preserve"> </w:t>
      </w:r>
    </w:p>
    <w:p w14:paraId="4D06AF24" w14:textId="77777777" w:rsidR="00906BB0" w:rsidRPr="00823322" w:rsidRDefault="00906BB0" w:rsidP="00823322">
      <w:pPr>
        <w:spacing w:after="5" w:line="248" w:lineRule="auto"/>
      </w:pPr>
      <w:r w:rsidRPr="00823322">
        <w:rPr>
          <w:rFonts w:eastAsia="Cambria" w:cs="Cambria"/>
          <w:sz w:val="20"/>
        </w:rPr>
        <w:t xml:space="preserve">The opinions expressed in the papers are solely those of the author/s who retain the copyright. The VU does not warrant in anyway the accuracy of the information quoted and may not be held liable for any loss caused by reliance on the accuracy or reliability thereof. Further details may be found at </w:t>
      </w:r>
      <w:r>
        <w:fldChar w:fldCharType="begin"/>
      </w:r>
      <w:r>
        <w:instrText>HYPERLINK "https://vu.nl/en/about-vu/more-about/acmrl-migration-law-series" \h</w:instrText>
      </w:r>
      <w:r>
        <w:fldChar w:fldCharType="separate"/>
      </w:r>
      <w:r w:rsidRPr="00823322">
        <w:rPr>
          <w:rFonts w:eastAsia="Cambria" w:cs="Cambria"/>
          <w:color w:val="0000FF"/>
          <w:sz w:val="20"/>
          <w:u w:val="single" w:color="0000FF"/>
        </w:rPr>
        <w:t>https://vu.nl/en/about</w:t>
      </w:r>
      <w:r>
        <w:fldChar w:fldCharType="end"/>
      </w:r>
      <w:hyperlink r:id="rId16">
        <w:r w:rsidRPr="00823322">
          <w:rPr>
            <w:rFonts w:eastAsia="Cambria" w:cs="Cambria"/>
            <w:color w:val="0000FF"/>
            <w:sz w:val="20"/>
            <w:u w:val="single" w:color="0000FF"/>
          </w:rPr>
          <w:t>-</w:t>
        </w:r>
      </w:hyperlink>
      <w:hyperlink r:id="rId17">
        <w:r w:rsidRPr="00823322">
          <w:rPr>
            <w:rFonts w:eastAsia="Cambria" w:cs="Cambria"/>
            <w:color w:val="0000FF"/>
            <w:sz w:val="20"/>
            <w:u w:val="single" w:color="0000FF"/>
          </w:rPr>
          <w:t>vu/more</w:t>
        </w:r>
      </w:hyperlink>
      <w:hyperlink r:id="rId18">
        <w:r w:rsidRPr="00823322">
          <w:rPr>
            <w:rFonts w:eastAsia="Cambria" w:cs="Cambria"/>
            <w:color w:val="0000FF"/>
            <w:sz w:val="20"/>
            <w:u w:val="single" w:color="0000FF"/>
          </w:rPr>
          <w:t>-</w:t>
        </w:r>
      </w:hyperlink>
      <w:hyperlink r:id="rId19">
        <w:r w:rsidRPr="00823322">
          <w:rPr>
            <w:rFonts w:eastAsia="Cambria" w:cs="Cambria"/>
            <w:color w:val="0000FF"/>
            <w:sz w:val="20"/>
            <w:u w:val="single" w:color="0000FF"/>
          </w:rPr>
          <w:t>about/acmrl</w:t>
        </w:r>
      </w:hyperlink>
      <w:hyperlink r:id="rId20">
        <w:r w:rsidRPr="00823322">
          <w:rPr>
            <w:rFonts w:eastAsia="Cambria" w:cs="Cambria"/>
            <w:color w:val="0000FF"/>
            <w:sz w:val="20"/>
            <w:u w:val="single" w:color="0000FF"/>
          </w:rPr>
          <w:t>-</w:t>
        </w:r>
      </w:hyperlink>
      <w:hyperlink r:id="rId21">
        <w:r w:rsidRPr="00823322">
          <w:rPr>
            <w:rFonts w:eastAsia="Cambria" w:cs="Cambria"/>
            <w:color w:val="0000FF"/>
            <w:sz w:val="20"/>
            <w:u w:val="single" w:color="0000FF"/>
          </w:rPr>
          <w:t>migration</w:t>
        </w:r>
      </w:hyperlink>
      <w:hyperlink r:id="rId22">
        <w:r w:rsidRPr="00823322">
          <w:rPr>
            <w:rFonts w:eastAsia="Cambria" w:cs="Cambria"/>
            <w:color w:val="0000FF"/>
            <w:sz w:val="20"/>
            <w:u w:val="single" w:color="0000FF"/>
          </w:rPr>
          <w:t>-</w:t>
        </w:r>
      </w:hyperlink>
      <w:hyperlink r:id="rId23">
        <w:r w:rsidRPr="00823322">
          <w:rPr>
            <w:rFonts w:eastAsia="Cambria" w:cs="Cambria"/>
            <w:color w:val="0000FF"/>
            <w:sz w:val="20"/>
            <w:u w:val="single" w:color="0000FF"/>
          </w:rPr>
          <w:t>law</w:t>
        </w:r>
      </w:hyperlink>
      <w:hyperlink r:id="rId24">
        <w:r w:rsidRPr="00823322">
          <w:rPr>
            <w:rFonts w:eastAsia="Cambria" w:cs="Cambria"/>
            <w:color w:val="0000FF"/>
            <w:sz w:val="20"/>
            <w:u w:val="single" w:color="0000FF"/>
          </w:rPr>
          <w:t>-</w:t>
        </w:r>
      </w:hyperlink>
      <w:hyperlink r:id="rId25">
        <w:r w:rsidRPr="00823322">
          <w:rPr>
            <w:rFonts w:eastAsia="Cambria" w:cs="Cambria"/>
            <w:color w:val="0000FF"/>
            <w:sz w:val="20"/>
            <w:u w:val="single" w:color="0000FF"/>
          </w:rPr>
          <w:t>series</w:t>
        </w:r>
      </w:hyperlink>
      <w:hyperlink r:id="rId26">
        <w:r w:rsidRPr="00823322">
          <w:rPr>
            <w:rFonts w:eastAsia="Cambria" w:cs="Cambria"/>
            <w:sz w:val="20"/>
          </w:rPr>
          <w:t xml:space="preserve">  </w:t>
        </w:r>
      </w:hyperlink>
    </w:p>
    <w:p w14:paraId="1479C542" w14:textId="77777777" w:rsidR="00906BB0" w:rsidRPr="00823322" w:rsidRDefault="00906BB0" w:rsidP="00823322">
      <w:pPr>
        <w:spacing w:after="10" w:line="259" w:lineRule="auto"/>
        <w:ind w:left="5"/>
      </w:pPr>
      <w:r w:rsidRPr="00823322">
        <w:rPr>
          <w:rFonts w:eastAsia="Cambria" w:cs="Cambria"/>
          <w:color w:val="0000FF"/>
          <w:sz w:val="20"/>
        </w:rPr>
        <w:t xml:space="preserve"> </w:t>
      </w:r>
    </w:p>
    <w:p w14:paraId="1E912BE7"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 Joukje van Rooij, Asylum Procedure versus Human Rights, April 2004. </w:t>
      </w:r>
    </w:p>
    <w:p w14:paraId="424DF5DD"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 Said Essakkili, Marginal Judicial Review in the Dutch Asylum Procedure, June 2005. </w:t>
      </w:r>
    </w:p>
    <w:p w14:paraId="43DDFAEC"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3: Hemme Battjes, European Asylum Law and its Relation to International Law, 2006. </w:t>
      </w:r>
    </w:p>
    <w:p w14:paraId="35F00F32"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4: Lieneke Slingenberg, Dutch Accelerated Asylum Procedure in Light of the European Convention on Human Rights, June 2006. </w:t>
      </w:r>
    </w:p>
    <w:p w14:paraId="5583B460"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5, Said Essakkili, with the assistance of Sophie Flynn, Lieneke Slingenberg and Thomas Spijkerboer, Seeking Asylum Alone in the Netherlands, March 2007. </w:t>
      </w:r>
    </w:p>
    <w:p w14:paraId="38AB9E1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6: Kazimierz Bem, Defining the refugee: American and Dutch asylum case-law 1975-2005, 2007. </w:t>
      </w:r>
    </w:p>
    <w:p w14:paraId="2ADCC2A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7: Juan M. Amaya-Castro, Human Rights and the Critiques of the Public-Private Distinction, 2010. </w:t>
      </w:r>
    </w:p>
    <w:p w14:paraId="72255D62"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8: Karin Maria de Vries, Integration at the Border. The Dutch Act on Integration Abroad in relation to International Immigration Law, 2011. </w:t>
      </w:r>
    </w:p>
    <w:p w14:paraId="1E7C6014"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9: Sarah van Walsum, Intimate Strangers, 2012. </w:t>
      </w:r>
    </w:p>
    <w:p w14:paraId="247EB343"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10: Hemme Battjes, De ontwikkeling van het begrip bescherming in het asielrecht, 2012. </w:t>
      </w:r>
    </w:p>
    <w:p w14:paraId="2BAFDC92" w14:textId="77777777" w:rsidR="00906BB0" w:rsidRPr="00823322" w:rsidRDefault="00906BB0">
      <w:pPr>
        <w:numPr>
          <w:ilvl w:val="0"/>
          <w:numId w:val="3"/>
        </w:numPr>
        <w:spacing w:after="8" w:line="247" w:lineRule="auto"/>
        <w:rPr>
          <w:rFonts w:eastAsia="Cambria" w:cs="Cambria"/>
          <w:sz w:val="22"/>
          <w:szCs w:val="22"/>
        </w:rPr>
      </w:pPr>
      <w:r w:rsidRPr="00823322">
        <w:rPr>
          <w:rFonts w:eastAsia="Cambria" w:cs="Cambria"/>
          <w:sz w:val="22"/>
          <w:szCs w:val="22"/>
        </w:rPr>
        <w:t xml:space="preserve">ACMRL Migration law series 11: Lieneke Slingenberg, Between Sovereignty and Equality. The Reception of Asylum Seekers under International Law, 2012. </w:t>
      </w:r>
    </w:p>
    <w:p w14:paraId="14AD8E9B" w14:textId="77777777" w:rsidR="00906BB0" w:rsidRPr="00823322" w:rsidRDefault="00906BB0">
      <w:pPr>
        <w:numPr>
          <w:ilvl w:val="0"/>
          <w:numId w:val="3"/>
        </w:numPr>
        <w:spacing w:after="8" w:line="247" w:lineRule="auto"/>
        <w:rPr>
          <w:rFonts w:eastAsia="Cambria" w:cs="Cambria"/>
          <w:sz w:val="22"/>
          <w:szCs w:val="22"/>
        </w:rPr>
      </w:pPr>
      <w:r w:rsidRPr="00823322">
        <w:rPr>
          <w:rFonts w:eastAsia="Cambria" w:cs="Cambria"/>
          <w:sz w:val="22"/>
          <w:szCs w:val="22"/>
        </w:rPr>
        <w:t xml:space="preserve">ACMRL Migration law series 12: Janna Wessels, “Discretion”, persecution and the act/identity dichotomy: Reducing the Scope of Refugee Protection, 2016. </w:t>
      </w:r>
    </w:p>
    <w:p w14:paraId="6144814F"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13: Martijn Stronks, Grasping legal time. A Legal and Philosophical Analysis of the Role of Time in European Migration Law, 2017. </w:t>
      </w:r>
    </w:p>
    <w:p w14:paraId="1C21ABF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14: Eva Hilbrink, Adjudicating the Public Interest in Immigration Law. A Systematic Content Analysis of Strasbourg and Luxembourg Case Law on Immigration and Free Movement, 2017. </w:t>
      </w:r>
    </w:p>
    <w:p w14:paraId="52CEC44C"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ACMRL Migration law series 15; Or</w:t>
      </w:r>
      <w:r>
        <w:rPr>
          <w:rFonts w:eastAsia="Cambria" w:cs="Cambria"/>
          <w:sz w:val="22"/>
          <w:szCs w:val="22"/>
        </w:rPr>
        <w:t>ç</w:t>
      </w:r>
      <w:r w:rsidRPr="00823322">
        <w:rPr>
          <w:rFonts w:eastAsia="Cambria" w:cs="Cambria"/>
          <w:sz w:val="22"/>
          <w:szCs w:val="22"/>
        </w:rPr>
        <w:t xml:space="preserve">un Ulusoy &amp; Hemme Battjes, Situation of Readmitted Migrants and Refugees from Greece to Turkey under the EU-Turkey Statement, 2017. </w:t>
      </w:r>
    </w:p>
    <w:p w14:paraId="614D7FD5"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16: Tamara Last, Deaths Along Southern EU Borders, 2018. </w:t>
      </w:r>
    </w:p>
    <w:p w14:paraId="752E019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lastRenderedPageBreak/>
        <w:t xml:space="preserve">ACMRL Migration law series 17: Marcelle Reneman, Identification of asylum seekers with special reception and procedural needs in the Dutch asylum procedure, 2018. </w:t>
      </w:r>
    </w:p>
    <w:p w14:paraId="0100F22E"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18: Nadia Ismaïli, Who cares for the child? Regulating custody and access in family and migration law in the Netherlands, the European Union and the Council of Europe, 2018. </w:t>
      </w:r>
    </w:p>
    <w:p w14:paraId="1C5771DB" w14:textId="77777777" w:rsidR="00906BB0" w:rsidRPr="00823322" w:rsidRDefault="00906BB0">
      <w:pPr>
        <w:numPr>
          <w:ilvl w:val="0"/>
          <w:numId w:val="3"/>
        </w:numPr>
        <w:spacing w:after="19" w:line="240" w:lineRule="auto"/>
        <w:rPr>
          <w:sz w:val="22"/>
          <w:szCs w:val="22"/>
        </w:rPr>
      </w:pPr>
      <w:r w:rsidRPr="00823322">
        <w:rPr>
          <w:rFonts w:eastAsia="Cambria" w:cs="Cambria"/>
          <w:sz w:val="22"/>
          <w:szCs w:val="22"/>
        </w:rPr>
        <w:t xml:space="preserve">ACMRL Migration law series 19: Maarten Kos, Italy’s Responsibility Under International Law for Human Rights Violations of Migrants Intercepted at Sea and Returned to Libya by the Libyan Coast Guard with the Support of Italy, 2019. </w:t>
      </w:r>
    </w:p>
    <w:p w14:paraId="61B7994D"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20: Younous Arbaoui, Deux Poids, Deux Mesures: A critical frame analysis of the Dutch debate on family-related asylum claims, 2019. </w:t>
      </w:r>
    </w:p>
    <w:p w14:paraId="5B8113E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21: Lisa Komp, Border Deaths at Sea under the Right to Life in the European Convention on Human Rights, 2020. </w:t>
      </w:r>
    </w:p>
    <w:p w14:paraId="01E5368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22: Eva van der Wal, Exploring the African Accountability Avenue:  Libya’s Responsibility for Violating the Right to Leave under Article 12 (2) ACHPR through pullback operations, 2024. </w:t>
      </w:r>
    </w:p>
    <w:p w14:paraId="51696F9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23: Fadi Saher Fahad, Een gewaarschuwd kabinet telt voor twee: Doorwerking van wetgevingsadvisering door de Raad van State in het migratierecht, 2024. </w:t>
      </w:r>
    </w:p>
    <w:p w14:paraId="54EB0DE9"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24: Lydia Leibbrandt, Capturing the alchemy of regularization - Manifestations of citizenship in the German Ausbildungsduldung, 2024. </w:t>
      </w:r>
    </w:p>
    <w:p w14:paraId="58817F81"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25: Yasmina Yatti, Handicap en de Asielprocedure: </w:t>
      </w:r>
    </w:p>
    <w:p w14:paraId="7B056C39" w14:textId="77777777" w:rsidR="00906BB0" w:rsidRPr="00823322" w:rsidRDefault="00906BB0" w:rsidP="00823322">
      <w:pPr>
        <w:spacing w:after="8" w:line="247" w:lineRule="auto"/>
        <w:ind w:left="366"/>
        <w:rPr>
          <w:sz w:val="22"/>
          <w:szCs w:val="22"/>
        </w:rPr>
      </w:pPr>
      <w:r w:rsidRPr="00823322">
        <w:rPr>
          <w:rFonts w:eastAsia="Cambria" w:cs="Cambria"/>
          <w:sz w:val="22"/>
          <w:szCs w:val="22"/>
        </w:rPr>
        <w:t xml:space="preserve">Onzichtbaarheid, Onduidelijkheid en Ontooegankelijkheid, Een analyse van het Nederlandse asielbeleid in het licht van het VN-verdrag Handicap, 2024. </w:t>
      </w:r>
    </w:p>
    <w:p w14:paraId="1A15CA49"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26: Inga Agatha Broerse, The Italy-Albania Agreement: </w:t>
      </w:r>
    </w:p>
    <w:p w14:paraId="50FE047F" w14:textId="77777777" w:rsidR="00906BB0" w:rsidRPr="00823322" w:rsidRDefault="00906BB0" w:rsidP="00823322">
      <w:pPr>
        <w:spacing w:after="8" w:line="247" w:lineRule="auto"/>
        <w:ind w:left="366"/>
        <w:rPr>
          <w:sz w:val="22"/>
          <w:szCs w:val="22"/>
        </w:rPr>
      </w:pPr>
      <w:r w:rsidRPr="00823322">
        <w:rPr>
          <w:rFonts w:eastAsia="Cambria" w:cs="Cambria"/>
          <w:sz w:val="22"/>
          <w:szCs w:val="22"/>
        </w:rPr>
        <w:t xml:space="preserve">externalising asylum procedures in violation of human rights, 2024.  </w:t>
      </w:r>
    </w:p>
    <w:p w14:paraId="3BFF5BE5"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27: Lourdes W. Melese, The Politics of Civilian (Im)mobility, Movement Management Strategies in Western Syria, 2024. </w:t>
      </w:r>
    </w:p>
    <w:p w14:paraId="4E753F46"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ACMRL Migration law series 28: Sarah I. Pfeiffer, Exploring the Margin of Appreciation Doctrine of the European Court of Human Rights in the Context of the Absolute Prohibition of Refoulement: A Doctrinal Analysis, 2025.</w:t>
      </w:r>
    </w:p>
    <w:p w14:paraId="03094D88" w14:textId="77777777" w:rsidR="00906BB0" w:rsidRPr="00823322" w:rsidRDefault="00906BB0">
      <w:pPr>
        <w:numPr>
          <w:ilvl w:val="0"/>
          <w:numId w:val="3"/>
        </w:numPr>
        <w:spacing w:after="8" w:line="247" w:lineRule="auto"/>
        <w:rPr>
          <w:sz w:val="22"/>
          <w:szCs w:val="22"/>
        </w:rPr>
      </w:pPr>
      <w:r w:rsidRPr="00823322">
        <w:rPr>
          <w:rFonts w:eastAsia="Cambria" w:cs="Cambria"/>
          <w:sz w:val="22"/>
          <w:szCs w:val="22"/>
        </w:rPr>
        <w:t xml:space="preserve">ACMRL Migration law series 29: Orçun Ulusoy, Not A Tabula Rasa: A Historical and Critical Look </w:t>
      </w:r>
      <w:r>
        <w:rPr>
          <w:rFonts w:eastAsia="Cambria" w:cs="Cambria"/>
          <w:sz w:val="22"/>
          <w:szCs w:val="22"/>
        </w:rPr>
        <w:t>i</w:t>
      </w:r>
      <w:r w:rsidRPr="00823322">
        <w:rPr>
          <w:rFonts w:eastAsia="Cambria" w:cs="Cambria"/>
          <w:sz w:val="22"/>
          <w:szCs w:val="22"/>
        </w:rPr>
        <w:t>nto the Migration Policies Of Turkey, 2026.</w:t>
      </w:r>
    </w:p>
    <w:p w14:paraId="67461ADC" w14:textId="324C3948" w:rsidR="00365EA9" w:rsidRPr="009847E8" w:rsidRDefault="00365EA9">
      <w:pPr>
        <w:numPr>
          <w:ilvl w:val="0"/>
          <w:numId w:val="3"/>
        </w:numPr>
        <w:spacing w:after="8" w:line="247" w:lineRule="auto"/>
        <w:rPr>
          <w:sz w:val="22"/>
          <w:szCs w:val="22"/>
        </w:rPr>
      </w:pPr>
      <w:r w:rsidRPr="00823322">
        <w:rPr>
          <w:rFonts w:eastAsia="Cambria" w:cs="Cambria"/>
          <w:sz w:val="22"/>
          <w:szCs w:val="22"/>
        </w:rPr>
        <w:t xml:space="preserve">ACMRL Migration law series </w:t>
      </w:r>
      <w:r>
        <w:rPr>
          <w:rFonts w:eastAsia="Cambria" w:cs="Cambria"/>
          <w:sz w:val="22"/>
          <w:szCs w:val="22"/>
        </w:rPr>
        <w:t>30</w:t>
      </w:r>
      <w:r w:rsidRPr="00823322">
        <w:rPr>
          <w:rFonts w:eastAsia="Cambria" w:cs="Cambria"/>
          <w:sz w:val="22"/>
          <w:szCs w:val="22"/>
        </w:rPr>
        <w:t xml:space="preserve">: </w:t>
      </w:r>
      <w:r>
        <w:rPr>
          <w:rFonts w:eastAsia="Cambria" w:cs="Cambria"/>
          <w:sz w:val="22"/>
          <w:szCs w:val="22"/>
        </w:rPr>
        <w:t>Miriam Ward</w:t>
      </w:r>
      <w:r w:rsidRPr="00823322">
        <w:rPr>
          <w:rFonts w:eastAsia="Cambria" w:cs="Cambria"/>
          <w:sz w:val="22"/>
          <w:szCs w:val="22"/>
        </w:rPr>
        <w:t xml:space="preserve">, </w:t>
      </w:r>
      <w:r>
        <w:rPr>
          <w:rFonts w:eastAsia="Cambria" w:cs="Cambria"/>
          <w:sz w:val="22"/>
          <w:szCs w:val="22"/>
        </w:rPr>
        <w:t>Found to be Special, or Forced to be Special? Vulnerability, Procedural Differentation and Civic Stratification in the New Pact on Migration and Asylum</w:t>
      </w:r>
      <w:r w:rsidRPr="00823322">
        <w:rPr>
          <w:rFonts w:eastAsia="Cambria" w:cs="Cambria"/>
          <w:sz w:val="22"/>
          <w:szCs w:val="22"/>
        </w:rPr>
        <w:t>, 2026.</w:t>
      </w:r>
    </w:p>
    <w:p w14:paraId="38A060A2" w14:textId="47554FEE" w:rsidR="009847E8" w:rsidRPr="00823322" w:rsidRDefault="009847E8">
      <w:pPr>
        <w:numPr>
          <w:ilvl w:val="0"/>
          <w:numId w:val="3"/>
        </w:numPr>
        <w:spacing w:after="8" w:line="247" w:lineRule="auto"/>
        <w:rPr>
          <w:sz w:val="22"/>
          <w:szCs w:val="22"/>
        </w:rPr>
      </w:pPr>
      <w:r>
        <w:rPr>
          <w:rFonts w:eastAsia="Cambria" w:cs="Cambria"/>
          <w:sz w:val="22"/>
          <w:szCs w:val="22"/>
        </w:rPr>
        <w:t xml:space="preserve">ACMRL Migration law series 31: Maxime Schoots, </w:t>
      </w:r>
      <w:r w:rsidRPr="009847E8">
        <w:rPr>
          <w:rFonts w:eastAsia="Cambria" w:cs="Cambria"/>
          <w:sz w:val="22"/>
          <w:szCs w:val="22"/>
        </w:rPr>
        <w:t>‘Wandering Around in the Kampongs’ Child Separation in the Dutch East Indies in the Nineteenth- and Early Twentieth-Century as a Technology of Biopower</w:t>
      </w:r>
      <w:r>
        <w:rPr>
          <w:rFonts w:eastAsia="Cambria" w:cs="Cambria"/>
          <w:sz w:val="22"/>
          <w:szCs w:val="22"/>
        </w:rPr>
        <w:t xml:space="preserve">, 2026. </w:t>
      </w:r>
    </w:p>
    <w:p w14:paraId="16EFF981" w14:textId="77777777" w:rsidR="00906BB0" w:rsidRDefault="00906BB0" w:rsidP="00823322">
      <w:pPr>
        <w:spacing w:after="8" w:line="247" w:lineRule="auto"/>
        <w:ind w:left="361"/>
      </w:pPr>
    </w:p>
    <w:p w14:paraId="0F438BF5" w14:textId="77777777" w:rsidR="00906BB0" w:rsidRDefault="00906BB0" w:rsidP="00823322">
      <w:pPr>
        <w:spacing w:after="0" w:line="259" w:lineRule="auto"/>
        <w:ind w:left="5"/>
      </w:pPr>
      <w:r>
        <w:rPr>
          <w:rFonts w:ascii="Cambria" w:eastAsia="Cambria" w:hAnsi="Cambria" w:cs="Cambria"/>
        </w:rPr>
        <w:t xml:space="preserve"> </w:t>
      </w:r>
    </w:p>
    <w:p w14:paraId="2D5CE210" w14:textId="77777777" w:rsidR="00906BB0" w:rsidRDefault="00906BB0" w:rsidP="00823322">
      <w:pPr>
        <w:spacing w:after="0" w:line="259" w:lineRule="auto"/>
        <w:ind w:left="5"/>
      </w:pPr>
      <w:r>
        <w:rPr>
          <w:rFonts w:ascii="Cambria" w:eastAsia="Cambria" w:hAnsi="Cambria" w:cs="Cambria"/>
        </w:rPr>
        <w:t xml:space="preserve"> </w:t>
      </w:r>
    </w:p>
    <w:p w14:paraId="5F595228" w14:textId="77777777" w:rsidR="00906BB0" w:rsidRDefault="00906BB0" w:rsidP="00823322">
      <w:pPr>
        <w:spacing w:after="0" w:line="259" w:lineRule="auto"/>
        <w:ind w:left="5"/>
      </w:pPr>
      <w:r>
        <w:rPr>
          <w:rFonts w:ascii="Cambria" w:eastAsia="Cambria" w:hAnsi="Cambria" w:cs="Cambria"/>
        </w:rPr>
        <w:t xml:space="preserve">  </w:t>
      </w:r>
    </w:p>
    <w:p w14:paraId="00B1BA47" w14:textId="77777777" w:rsidR="00906BB0" w:rsidRDefault="00906BB0" w:rsidP="00365EA9">
      <w:pPr>
        <w:spacing w:after="0" w:line="259" w:lineRule="auto"/>
        <w:rPr>
          <w:rFonts w:ascii="Cambria" w:eastAsia="Cambria" w:hAnsi="Cambria" w:cs="Cambria"/>
        </w:rPr>
        <w:sectPr w:rsidR="00906BB0" w:rsidSect="00906BB0">
          <w:pgSz w:w="11905" w:h="16840"/>
          <w:pgMar w:top="480" w:right="1434" w:bottom="475" w:left="1276" w:header="708" w:footer="708" w:gutter="0"/>
          <w:cols w:num="2" w:space="407"/>
        </w:sectPr>
      </w:pPr>
    </w:p>
    <w:bookmarkEnd w:id="0"/>
    <w:p w14:paraId="22C0285F" w14:textId="74C6C68D" w:rsidR="00365EA9" w:rsidRDefault="00365EA9">
      <w:pPr>
        <w:framePr w:w="3041" w:h="420" w:hRule="exact" w:wrap="none" w:vAnchor="page" w:hAnchor="page" w:x="2081" w:y="10412"/>
        <w:spacing w:line="345" w:lineRule="exact"/>
      </w:pPr>
      <w:r>
        <w:rPr>
          <w:rFonts w:ascii="Z@R56C3.tmp" w:eastAsia="Z@R56C3.tmp" w:hAnsi="Z@R56C3.tmp" w:cs="Z@R56C3.tmp"/>
          <w:color w:val="000000"/>
          <w:sz w:val="30"/>
          <w:szCs w:val="30"/>
        </w:rPr>
        <w:lastRenderedPageBreak/>
        <w:t xml:space="preserve"> </w:t>
      </w:r>
    </w:p>
    <w:p w14:paraId="52396260" w14:textId="67F36E56" w:rsidR="009847E8" w:rsidRPr="009847E8" w:rsidRDefault="009847E8" w:rsidP="008F2963">
      <w:pPr>
        <w:spacing w:line="276" w:lineRule="auto"/>
        <w:rPr>
          <w:rFonts w:cs="Calibri"/>
          <w:lang w:val="en-US"/>
        </w:rPr>
      </w:pPr>
      <w:r w:rsidRPr="001D6CB4">
        <w:rPr>
          <w:rFonts w:cs="Calibri"/>
          <w:lang w:val="en-US"/>
        </w:rPr>
        <w:tab/>
      </w:r>
      <w:r w:rsidRPr="001D6CB4">
        <w:rPr>
          <w:rFonts w:cs="Calibri"/>
          <w:lang w:val="en-US"/>
        </w:rPr>
        <w:tab/>
      </w:r>
      <w:r w:rsidRPr="001D6CB4">
        <w:rPr>
          <w:rFonts w:cs="Calibri"/>
          <w:lang w:val="en-US"/>
        </w:rPr>
        <w:tab/>
      </w:r>
    </w:p>
    <w:p w14:paraId="3DE019C1" w14:textId="77777777" w:rsidR="009847E8" w:rsidRPr="00F818E5" w:rsidRDefault="009847E8" w:rsidP="009847E8">
      <w:pPr>
        <w:rPr>
          <w:lang w:val="en-US"/>
        </w:rPr>
      </w:pPr>
      <w:r>
        <w:rPr>
          <w:rFonts w:cs="Calibri"/>
          <w:noProof/>
          <w:sz w:val="22"/>
          <w:szCs w:val="22"/>
          <w:lang w:val="en-US"/>
        </w:rPr>
        <w:drawing>
          <wp:anchor distT="0" distB="0" distL="114300" distR="114300" simplePos="0" relativeHeight="251659264" behindDoc="1" locked="0" layoutInCell="1" allowOverlap="1" wp14:anchorId="0E321028" wp14:editId="31A28DC6">
            <wp:simplePos x="0" y="0"/>
            <wp:positionH relativeFrom="column">
              <wp:posOffset>-264423</wp:posOffset>
            </wp:positionH>
            <wp:positionV relativeFrom="paragraph">
              <wp:posOffset>189230</wp:posOffset>
            </wp:positionV>
            <wp:extent cx="6264910" cy="4594860"/>
            <wp:effectExtent l="0" t="0" r="0" b="2540"/>
            <wp:wrapTight wrapText="bothSides">
              <wp:wrapPolygon edited="0">
                <wp:start x="0" y="0"/>
                <wp:lineTo x="0" y="21552"/>
                <wp:lineTo x="21543" y="21552"/>
                <wp:lineTo x="21543" y="0"/>
                <wp:lineTo x="0" y="0"/>
              </wp:wrapPolygon>
            </wp:wrapTight>
            <wp:docPr id="19524457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576" name="Afbeelding 195244576"/>
                    <pic:cNvPicPr/>
                  </pic:nvPicPr>
                  <pic:blipFill rotWithShape="1">
                    <a:blip r:embed="rId27" cstate="print">
                      <a:extLst>
                        <a:ext uri="{28A0092B-C50C-407E-A947-70E740481C1C}">
                          <a14:useLocalDpi xmlns:a14="http://schemas.microsoft.com/office/drawing/2010/main" val="0"/>
                        </a:ext>
                      </a:extLst>
                    </a:blip>
                    <a:srcRect l="11882"/>
                    <a:stretch>
                      <a:fillRect/>
                    </a:stretch>
                  </pic:blipFill>
                  <pic:spPr bwMode="auto">
                    <a:xfrm>
                      <a:off x="0" y="0"/>
                      <a:ext cx="6264910" cy="4594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br/>
      </w:r>
      <w:r>
        <w:rPr>
          <w:lang w:val="en-US"/>
        </w:rPr>
        <w:br/>
      </w:r>
      <w:r w:rsidRPr="009E1997">
        <w:rPr>
          <w:lang w:val="en-US"/>
        </w:rPr>
        <w:t>KITLV, no. A143. Governor-General</w:t>
      </w:r>
      <w:r>
        <w:rPr>
          <w:lang w:val="en-US"/>
        </w:rPr>
        <w:t xml:space="preserve"> Dirk</w:t>
      </w:r>
      <w:r w:rsidRPr="009E1997">
        <w:rPr>
          <w:lang w:val="en-US"/>
        </w:rPr>
        <w:t xml:space="preserve"> Fock's visit to an orphanage in Surabaya, circa 1925. </w:t>
      </w:r>
      <w:r>
        <w:rPr>
          <w:lang w:val="en-US"/>
        </w:rPr>
        <w:t>The</w:t>
      </w:r>
      <w:r w:rsidRPr="009E1997">
        <w:rPr>
          <w:lang w:val="en-US"/>
        </w:rPr>
        <w:t xml:space="preserve"> photograph shows Fock and his officials, dressed uniformly in white, occupy</w:t>
      </w:r>
      <w:r>
        <w:rPr>
          <w:lang w:val="en-US"/>
        </w:rPr>
        <w:t>ing</w:t>
      </w:r>
      <w:r w:rsidRPr="009E1997">
        <w:rPr>
          <w:lang w:val="en-US"/>
        </w:rPr>
        <w:t xml:space="preserve"> the center of the frame</w:t>
      </w:r>
      <w:r>
        <w:rPr>
          <w:lang w:val="en-US"/>
        </w:rPr>
        <w:t>, looking at t</w:t>
      </w:r>
      <w:r w:rsidRPr="009E1997">
        <w:rPr>
          <w:lang w:val="en-US"/>
        </w:rPr>
        <w:t>he orpha</w:t>
      </w:r>
      <w:r>
        <w:rPr>
          <w:lang w:val="en-US"/>
        </w:rPr>
        <w:t xml:space="preserve">ns </w:t>
      </w:r>
      <w:r w:rsidRPr="009E1997">
        <w:rPr>
          <w:lang w:val="en-US"/>
        </w:rPr>
        <w:t>they have come to see</w:t>
      </w:r>
      <w:r>
        <w:rPr>
          <w:lang w:val="en-US"/>
        </w:rPr>
        <w:t>. The orphans</w:t>
      </w:r>
      <w:r w:rsidRPr="009E1997">
        <w:rPr>
          <w:lang w:val="en-US"/>
        </w:rPr>
        <w:t xml:space="preserve"> are visible only at the margin of the image, partially cut off.</w:t>
      </w:r>
      <w:r>
        <w:rPr>
          <w:lang w:val="en-US"/>
        </w:rPr>
        <w:t xml:space="preserve"> </w:t>
      </w:r>
    </w:p>
    <w:p w14:paraId="5948CFB6" w14:textId="77777777" w:rsidR="009847E8" w:rsidRDefault="009847E8" w:rsidP="00F818E5">
      <w:pPr>
        <w:spacing w:line="276" w:lineRule="auto"/>
        <w:rPr>
          <w:rFonts w:cs="Calibri"/>
          <w:sz w:val="22"/>
          <w:szCs w:val="22"/>
          <w:lang w:val="en-US"/>
        </w:rPr>
      </w:pPr>
    </w:p>
    <w:p w14:paraId="595567B6" w14:textId="77777777" w:rsidR="009847E8" w:rsidRDefault="009847E8" w:rsidP="000D6B84">
      <w:pPr>
        <w:spacing w:line="276" w:lineRule="auto"/>
        <w:rPr>
          <w:rFonts w:cs="Calibri"/>
          <w:sz w:val="22"/>
          <w:szCs w:val="22"/>
          <w:lang w:val="en-US"/>
        </w:rPr>
      </w:pPr>
    </w:p>
    <w:p w14:paraId="3C788EDA" w14:textId="77777777" w:rsidR="009847E8" w:rsidRDefault="009847E8" w:rsidP="000D6B84">
      <w:pPr>
        <w:spacing w:line="276" w:lineRule="auto"/>
        <w:rPr>
          <w:rFonts w:cs="Calibri"/>
          <w:sz w:val="22"/>
          <w:szCs w:val="22"/>
          <w:lang w:val="en-US"/>
        </w:rPr>
      </w:pPr>
    </w:p>
    <w:p w14:paraId="780D23F3" w14:textId="77777777" w:rsidR="009847E8" w:rsidRDefault="009847E8" w:rsidP="000D6B84">
      <w:pPr>
        <w:spacing w:line="276" w:lineRule="auto"/>
        <w:rPr>
          <w:rFonts w:cs="Calibri"/>
          <w:sz w:val="22"/>
          <w:szCs w:val="22"/>
          <w:lang w:val="en-US"/>
        </w:rPr>
      </w:pPr>
    </w:p>
    <w:p w14:paraId="2B290A8E" w14:textId="77777777" w:rsidR="009847E8" w:rsidRDefault="009847E8" w:rsidP="000D6B84">
      <w:pPr>
        <w:spacing w:line="276" w:lineRule="auto"/>
        <w:rPr>
          <w:rFonts w:cs="Calibri"/>
          <w:sz w:val="22"/>
          <w:szCs w:val="22"/>
          <w:lang w:val="en-US"/>
        </w:rPr>
      </w:pPr>
    </w:p>
    <w:p w14:paraId="6086A501" w14:textId="77777777" w:rsidR="009847E8" w:rsidRDefault="009847E8" w:rsidP="000D6B84">
      <w:pPr>
        <w:spacing w:line="276" w:lineRule="auto"/>
        <w:rPr>
          <w:rFonts w:cs="Calibri"/>
          <w:sz w:val="22"/>
          <w:szCs w:val="22"/>
          <w:lang w:val="en-US"/>
        </w:rPr>
      </w:pPr>
      <w:r>
        <w:rPr>
          <w:rFonts w:cs="Calibri"/>
          <w:sz w:val="22"/>
          <w:szCs w:val="22"/>
          <w:lang w:val="en-US"/>
        </w:rPr>
        <w:br/>
      </w:r>
    </w:p>
    <w:p w14:paraId="2874F2C7" w14:textId="77777777" w:rsidR="009847E8" w:rsidRDefault="009847E8" w:rsidP="000D6B84">
      <w:pPr>
        <w:spacing w:line="276" w:lineRule="auto"/>
        <w:rPr>
          <w:rFonts w:cs="Calibri"/>
          <w:sz w:val="22"/>
          <w:szCs w:val="22"/>
          <w:lang w:val="en-US"/>
        </w:rPr>
      </w:pPr>
    </w:p>
    <w:p w14:paraId="299286D9" w14:textId="77777777" w:rsidR="009847E8" w:rsidRPr="00285A7C" w:rsidRDefault="009847E8" w:rsidP="000D6B84">
      <w:pPr>
        <w:spacing w:line="276" w:lineRule="auto"/>
        <w:rPr>
          <w:rFonts w:cs="Calibri"/>
          <w:sz w:val="22"/>
          <w:szCs w:val="22"/>
          <w:lang w:val="en-US"/>
        </w:rPr>
      </w:pPr>
    </w:p>
    <w:sdt>
      <w:sdtPr>
        <w:rPr>
          <w:rFonts w:ascii="Calibri" w:eastAsiaTheme="minorEastAsia" w:hAnsi="Calibri" w:cs="Calibri"/>
          <w:b w:val="0"/>
          <w:bCs w:val="0"/>
          <w:caps/>
          <w:color w:val="000000" w:themeColor="text1"/>
          <w:kern w:val="2"/>
          <w:sz w:val="24"/>
          <w:szCs w:val="24"/>
          <w14:ligatures w14:val="standardContextual"/>
        </w:rPr>
        <w:id w:val="-1218204154"/>
        <w:docPartObj>
          <w:docPartGallery w:val="Table of Contents"/>
          <w:docPartUnique/>
        </w:docPartObj>
      </w:sdtPr>
      <w:sdtEndPr>
        <w:rPr>
          <w:rFonts w:ascii="Palatino Linotype" w:eastAsia="Palatino Linotype" w:hAnsi="Palatino Linotype" w:cs="Times New Roman"/>
          <w:b/>
          <w:iCs/>
          <w:caps w:val="0"/>
          <w:color w:val="auto"/>
          <w:kern w:val="0"/>
          <w:lang w:eastAsia="nl-NL"/>
          <w14:ligatures w14:val="none"/>
        </w:rPr>
      </w:sdtEndPr>
      <w:sdtContent>
        <w:sdt>
          <w:sdtPr>
            <w:rPr>
              <w:rFonts w:ascii="Calibri" w:eastAsiaTheme="minorEastAsia" w:hAnsi="Calibri" w:cs="Calibri"/>
              <w:b w:val="0"/>
              <w:bCs w:val="0"/>
              <w:caps/>
              <w:color w:val="000000" w:themeColor="text1"/>
              <w:kern w:val="2"/>
              <w:sz w:val="24"/>
              <w:szCs w:val="24"/>
              <w14:ligatures w14:val="standardContextual"/>
            </w:rPr>
            <w:id w:val="275882412"/>
          </w:sdtPr>
          <w:sdtEndPr>
            <w:rPr>
              <w:rFonts w:ascii="Palatino Linotype" w:eastAsia="Palatino Linotype" w:hAnsi="Palatino Linotype" w:cs="Times New Roman"/>
              <w:b/>
              <w:iCs/>
              <w:caps w:val="0"/>
              <w:color w:val="auto"/>
              <w:kern w:val="0"/>
              <w:lang w:eastAsia="nl-NL"/>
              <w14:ligatures w14:val="none"/>
            </w:rPr>
          </w:sdtEndPr>
          <w:sdtContent>
            <w:p w14:paraId="754C0267" w14:textId="77777777" w:rsidR="009847E8" w:rsidRPr="009E1997" w:rsidRDefault="009847E8" w:rsidP="000D6B84">
              <w:pPr>
                <w:pStyle w:val="TOCHeading"/>
                <w:rPr>
                  <w:rFonts w:ascii="Calibri" w:hAnsi="Calibri" w:cs="Calibri"/>
                  <w:color w:val="000000" w:themeColor="text1"/>
                </w:rPr>
              </w:pPr>
              <w:r w:rsidRPr="00A11F50">
                <w:rPr>
                  <w:rFonts w:ascii="Calibri" w:hAnsi="Calibri" w:cs="Calibri"/>
                  <w:color w:val="000000" w:themeColor="text1"/>
                </w:rPr>
                <w:t>Table of Contents</w:t>
              </w:r>
            </w:p>
            <w:p w14:paraId="000525E1" w14:textId="77777777" w:rsidR="009847E8" w:rsidRDefault="009847E8">
              <w:pPr>
                <w:pStyle w:val="TOC1"/>
                <w:tabs>
                  <w:tab w:val="right" w:leader="dot" w:pos="9062"/>
                </w:tabs>
                <w:rPr>
                  <w:rFonts w:eastAsiaTheme="minorEastAsia" w:cstheme="minorBidi"/>
                  <w:b w:val="0"/>
                  <w:bCs w:val="0"/>
                  <w:caps/>
                  <w:noProof/>
                </w:rPr>
              </w:pPr>
              <w:r w:rsidRPr="009C66BF">
                <w:rPr>
                  <w:rFonts w:ascii="Calibri" w:hAnsi="Calibri" w:cs="Calibri"/>
                </w:rPr>
                <w:fldChar w:fldCharType="begin"/>
              </w:r>
              <w:r w:rsidRPr="009C66BF">
                <w:rPr>
                  <w:rFonts w:ascii="Calibri" w:hAnsi="Calibri" w:cs="Calibri"/>
                </w:rPr>
                <w:instrText xml:space="preserve"> TOC \o "1-3" \h \z \u </w:instrText>
              </w:r>
              <w:r w:rsidRPr="009C66BF">
                <w:rPr>
                  <w:rFonts w:ascii="Calibri" w:hAnsi="Calibri" w:cs="Calibri"/>
                </w:rPr>
                <w:fldChar w:fldCharType="separate"/>
              </w:r>
              <w:hyperlink w:anchor="_Toc234183592" w:history="1">
                <w:r w:rsidRPr="00246314">
                  <w:rPr>
                    <w:rStyle w:val="Hyperlink"/>
                    <w:rFonts w:ascii="Calibri" w:hAnsi="Calibri" w:cs="Calibri"/>
                    <w:noProof/>
                    <w:lang w:val="en-US"/>
                  </w:rPr>
                  <w:t>Introduction</w:t>
                </w:r>
                <w:r>
                  <w:rPr>
                    <w:noProof/>
                    <w:webHidden/>
                  </w:rPr>
                  <w:tab/>
                </w:r>
                <w:r>
                  <w:rPr>
                    <w:noProof/>
                    <w:webHidden/>
                  </w:rPr>
                  <w:fldChar w:fldCharType="begin"/>
                </w:r>
                <w:r>
                  <w:rPr>
                    <w:noProof/>
                    <w:webHidden/>
                  </w:rPr>
                  <w:instrText xml:space="preserve"> PAGEREF _Toc234183592 \h </w:instrText>
                </w:r>
                <w:r>
                  <w:rPr>
                    <w:noProof/>
                    <w:webHidden/>
                  </w:rPr>
                </w:r>
                <w:r>
                  <w:rPr>
                    <w:noProof/>
                    <w:webHidden/>
                  </w:rPr>
                  <w:fldChar w:fldCharType="separate"/>
                </w:r>
                <w:r>
                  <w:rPr>
                    <w:noProof/>
                    <w:webHidden/>
                  </w:rPr>
                  <w:t>4</w:t>
                </w:r>
                <w:r>
                  <w:rPr>
                    <w:noProof/>
                    <w:webHidden/>
                  </w:rPr>
                  <w:fldChar w:fldCharType="end"/>
                </w:r>
              </w:hyperlink>
            </w:p>
            <w:p w14:paraId="608AD0F9" w14:textId="77777777" w:rsidR="009847E8" w:rsidRDefault="009847E8">
              <w:pPr>
                <w:pStyle w:val="TOC2"/>
                <w:tabs>
                  <w:tab w:val="right" w:leader="dot" w:pos="9062"/>
                </w:tabs>
                <w:rPr>
                  <w:rFonts w:eastAsiaTheme="minorEastAsia" w:cstheme="minorBidi"/>
                  <w:smallCaps/>
                  <w:noProof/>
                  <w:szCs w:val="24"/>
                </w:rPr>
              </w:pPr>
              <w:hyperlink w:anchor="_Toc234183593" w:history="1">
                <w:r w:rsidRPr="00246314">
                  <w:rPr>
                    <w:rStyle w:val="Hyperlink"/>
                    <w:noProof/>
                    <w:lang w:val="en-US"/>
                  </w:rPr>
                  <w:t>Chapter outline</w:t>
                </w:r>
                <w:r>
                  <w:rPr>
                    <w:noProof/>
                    <w:webHidden/>
                  </w:rPr>
                  <w:tab/>
                </w:r>
                <w:r>
                  <w:rPr>
                    <w:noProof/>
                    <w:webHidden/>
                  </w:rPr>
                  <w:fldChar w:fldCharType="begin"/>
                </w:r>
                <w:r>
                  <w:rPr>
                    <w:noProof/>
                    <w:webHidden/>
                  </w:rPr>
                  <w:instrText xml:space="preserve"> PAGEREF _Toc234183593 \h </w:instrText>
                </w:r>
                <w:r>
                  <w:rPr>
                    <w:noProof/>
                    <w:webHidden/>
                  </w:rPr>
                </w:r>
                <w:r>
                  <w:rPr>
                    <w:noProof/>
                    <w:webHidden/>
                  </w:rPr>
                  <w:fldChar w:fldCharType="separate"/>
                </w:r>
                <w:r>
                  <w:rPr>
                    <w:noProof/>
                    <w:webHidden/>
                  </w:rPr>
                  <w:t>6</w:t>
                </w:r>
                <w:r>
                  <w:rPr>
                    <w:noProof/>
                    <w:webHidden/>
                  </w:rPr>
                  <w:fldChar w:fldCharType="end"/>
                </w:r>
              </w:hyperlink>
            </w:p>
            <w:p w14:paraId="487FCF0D" w14:textId="77777777" w:rsidR="009847E8" w:rsidRDefault="009847E8">
              <w:pPr>
                <w:pStyle w:val="TOC2"/>
                <w:tabs>
                  <w:tab w:val="right" w:leader="dot" w:pos="9062"/>
                </w:tabs>
                <w:rPr>
                  <w:rFonts w:eastAsiaTheme="minorEastAsia" w:cstheme="minorBidi"/>
                  <w:smallCaps/>
                  <w:noProof/>
                  <w:szCs w:val="24"/>
                </w:rPr>
              </w:pPr>
              <w:hyperlink w:anchor="_Toc234183594" w:history="1">
                <w:r w:rsidRPr="00246314">
                  <w:rPr>
                    <w:rStyle w:val="Hyperlink"/>
                    <w:noProof/>
                    <w:lang w:val="en-US"/>
                  </w:rPr>
                  <w:t>Societal relevance</w:t>
                </w:r>
                <w:r>
                  <w:rPr>
                    <w:noProof/>
                    <w:webHidden/>
                  </w:rPr>
                  <w:tab/>
                </w:r>
                <w:r>
                  <w:rPr>
                    <w:noProof/>
                    <w:webHidden/>
                  </w:rPr>
                  <w:fldChar w:fldCharType="begin"/>
                </w:r>
                <w:r>
                  <w:rPr>
                    <w:noProof/>
                    <w:webHidden/>
                  </w:rPr>
                  <w:instrText xml:space="preserve"> PAGEREF _Toc234183594 \h </w:instrText>
                </w:r>
                <w:r>
                  <w:rPr>
                    <w:noProof/>
                    <w:webHidden/>
                  </w:rPr>
                </w:r>
                <w:r>
                  <w:rPr>
                    <w:noProof/>
                    <w:webHidden/>
                  </w:rPr>
                  <w:fldChar w:fldCharType="separate"/>
                </w:r>
                <w:r>
                  <w:rPr>
                    <w:noProof/>
                    <w:webHidden/>
                  </w:rPr>
                  <w:t>6</w:t>
                </w:r>
                <w:r>
                  <w:rPr>
                    <w:noProof/>
                    <w:webHidden/>
                  </w:rPr>
                  <w:fldChar w:fldCharType="end"/>
                </w:r>
              </w:hyperlink>
            </w:p>
            <w:p w14:paraId="6A371151" w14:textId="77777777" w:rsidR="009847E8" w:rsidRDefault="009847E8">
              <w:pPr>
                <w:pStyle w:val="TOC2"/>
                <w:tabs>
                  <w:tab w:val="right" w:leader="dot" w:pos="9062"/>
                </w:tabs>
                <w:rPr>
                  <w:rFonts w:eastAsiaTheme="minorEastAsia" w:cstheme="minorBidi"/>
                  <w:smallCaps/>
                  <w:noProof/>
                  <w:szCs w:val="24"/>
                </w:rPr>
              </w:pPr>
              <w:hyperlink w:anchor="_Toc234183595" w:history="1">
                <w:r w:rsidRPr="00246314">
                  <w:rPr>
                    <w:rStyle w:val="Hyperlink"/>
                    <w:noProof/>
                    <w:lang w:val="en-US"/>
                  </w:rPr>
                  <w:t>Academic relevance</w:t>
                </w:r>
                <w:r>
                  <w:rPr>
                    <w:noProof/>
                    <w:webHidden/>
                  </w:rPr>
                  <w:tab/>
                </w:r>
                <w:r>
                  <w:rPr>
                    <w:noProof/>
                    <w:webHidden/>
                  </w:rPr>
                  <w:fldChar w:fldCharType="begin"/>
                </w:r>
                <w:r>
                  <w:rPr>
                    <w:noProof/>
                    <w:webHidden/>
                  </w:rPr>
                  <w:instrText xml:space="preserve"> PAGEREF _Toc234183595 \h </w:instrText>
                </w:r>
                <w:r>
                  <w:rPr>
                    <w:noProof/>
                    <w:webHidden/>
                  </w:rPr>
                </w:r>
                <w:r>
                  <w:rPr>
                    <w:noProof/>
                    <w:webHidden/>
                  </w:rPr>
                  <w:fldChar w:fldCharType="separate"/>
                </w:r>
                <w:r>
                  <w:rPr>
                    <w:noProof/>
                    <w:webHidden/>
                  </w:rPr>
                  <w:t>7</w:t>
                </w:r>
                <w:r>
                  <w:rPr>
                    <w:noProof/>
                    <w:webHidden/>
                  </w:rPr>
                  <w:fldChar w:fldCharType="end"/>
                </w:r>
              </w:hyperlink>
            </w:p>
            <w:p w14:paraId="5DA04A55" w14:textId="77777777" w:rsidR="009847E8" w:rsidRDefault="009847E8">
              <w:pPr>
                <w:pStyle w:val="TOC2"/>
                <w:tabs>
                  <w:tab w:val="right" w:leader="dot" w:pos="9062"/>
                </w:tabs>
                <w:rPr>
                  <w:rFonts w:eastAsiaTheme="minorEastAsia" w:cstheme="minorBidi"/>
                  <w:smallCaps/>
                  <w:noProof/>
                  <w:szCs w:val="24"/>
                </w:rPr>
              </w:pPr>
              <w:hyperlink w:anchor="_Toc234183596" w:history="1">
                <w:r w:rsidRPr="00246314">
                  <w:rPr>
                    <w:rStyle w:val="Hyperlink"/>
                    <w:noProof/>
                    <w:lang w:val="en-US"/>
                  </w:rPr>
                  <w:t>Language and the concept of race</w:t>
                </w:r>
                <w:r>
                  <w:rPr>
                    <w:noProof/>
                    <w:webHidden/>
                  </w:rPr>
                  <w:tab/>
                </w:r>
                <w:r>
                  <w:rPr>
                    <w:noProof/>
                    <w:webHidden/>
                  </w:rPr>
                  <w:fldChar w:fldCharType="begin"/>
                </w:r>
                <w:r>
                  <w:rPr>
                    <w:noProof/>
                    <w:webHidden/>
                  </w:rPr>
                  <w:instrText xml:space="preserve"> PAGEREF _Toc234183596 \h </w:instrText>
                </w:r>
                <w:r>
                  <w:rPr>
                    <w:noProof/>
                    <w:webHidden/>
                  </w:rPr>
                </w:r>
                <w:r>
                  <w:rPr>
                    <w:noProof/>
                    <w:webHidden/>
                  </w:rPr>
                  <w:fldChar w:fldCharType="separate"/>
                </w:r>
                <w:r>
                  <w:rPr>
                    <w:noProof/>
                    <w:webHidden/>
                  </w:rPr>
                  <w:t>8</w:t>
                </w:r>
                <w:r>
                  <w:rPr>
                    <w:noProof/>
                    <w:webHidden/>
                  </w:rPr>
                  <w:fldChar w:fldCharType="end"/>
                </w:r>
              </w:hyperlink>
            </w:p>
            <w:p w14:paraId="69508D05" w14:textId="77777777" w:rsidR="009847E8" w:rsidRDefault="009847E8">
              <w:pPr>
                <w:pStyle w:val="TOC2"/>
                <w:tabs>
                  <w:tab w:val="right" w:leader="dot" w:pos="9062"/>
                </w:tabs>
                <w:rPr>
                  <w:rFonts w:eastAsiaTheme="minorEastAsia" w:cstheme="minorBidi"/>
                  <w:smallCaps/>
                  <w:noProof/>
                  <w:szCs w:val="24"/>
                </w:rPr>
              </w:pPr>
              <w:hyperlink w:anchor="_Toc234183597" w:history="1">
                <w:r w:rsidRPr="00246314">
                  <w:rPr>
                    <w:rStyle w:val="Hyperlink"/>
                    <w:rFonts w:cs="Calibri"/>
                    <w:noProof/>
                    <w:lang w:val="en-US"/>
                  </w:rPr>
                  <w:t>Remarks regarding methodology</w:t>
                </w:r>
                <w:r>
                  <w:rPr>
                    <w:noProof/>
                    <w:webHidden/>
                  </w:rPr>
                  <w:tab/>
                </w:r>
                <w:r>
                  <w:rPr>
                    <w:noProof/>
                    <w:webHidden/>
                  </w:rPr>
                  <w:fldChar w:fldCharType="begin"/>
                </w:r>
                <w:r>
                  <w:rPr>
                    <w:noProof/>
                    <w:webHidden/>
                  </w:rPr>
                  <w:instrText xml:space="preserve"> PAGEREF _Toc234183597 \h </w:instrText>
                </w:r>
                <w:r>
                  <w:rPr>
                    <w:noProof/>
                    <w:webHidden/>
                  </w:rPr>
                </w:r>
                <w:r>
                  <w:rPr>
                    <w:noProof/>
                    <w:webHidden/>
                  </w:rPr>
                  <w:fldChar w:fldCharType="separate"/>
                </w:r>
                <w:r>
                  <w:rPr>
                    <w:noProof/>
                    <w:webHidden/>
                  </w:rPr>
                  <w:t>9</w:t>
                </w:r>
                <w:r>
                  <w:rPr>
                    <w:noProof/>
                    <w:webHidden/>
                  </w:rPr>
                  <w:fldChar w:fldCharType="end"/>
                </w:r>
              </w:hyperlink>
            </w:p>
            <w:p w14:paraId="523EF978" w14:textId="77777777" w:rsidR="009847E8" w:rsidRDefault="009847E8">
              <w:pPr>
                <w:pStyle w:val="TOC1"/>
                <w:tabs>
                  <w:tab w:val="left" w:pos="600"/>
                  <w:tab w:val="right" w:leader="dot" w:pos="9062"/>
                </w:tabs>
                <w:rPr>
                  <w:rFonts w:eastAsiaTheme="minorEastAsia" w:cstheme="minorBidi"/>
                  <w:b w:val="0"/>
                  <w:bCs w:val="0"/>
                  <w:caps/>
                  <w:noProof/>
                </w:rPr>
              </w:pPr>
              <w:hyperlink w:anchor="_Toc234183598" w:history="1">
                <w:r w:rsidRPr="00246314">
                  <w:rPr>
                    <w:rStyle w:val="Hyperlink"/>
                    <w:rFonts w:cs="Calibri"/>
                    <w:noProof/>
                    <w:lang w:val="en-US"/>
                  </w:rPr>
                  <w:t>1.</w:t>
                </w:r>
                <w:r>
                  <w:rPr>
                    <w:rFonts w:eastAsiaTheme="minorEastAsia" w:cstheme="minorBidi"/>
                    <w:b w:val="0"/>
                    <w:bCs w:val="0"/>
                    <w:noProof/>
                  </w:rPr>
                  <w:tab/>
                </w:r>
                <w:r w:rsidRPr="00246314">
                  <w:rPr>
                    <w:rStyle w:val="Hyperlink"/>
                    <w:rFonts w:cs="Calibri"/>
                    <w:noProof/>
                    <w:lang w:val="en-US"/>
                  </w:rPr>
                  <w:t>Biopolitics, Sexuality and Race in the Colony</w:t>
                </w:r>
                <w:r>
                  <w:rPr>
                    <w:noProof/>
                    <w:webHidden/>
                  </w:rPr>
                  <w:tab/>
                </w:r>
                <w:r>
                  <w:rPr>
                    <w:noProof/>
                    <w:webHidden/>
                  </w:rPr>
                  <w:fldChar w:fldCharType="begin"/>
                </w:r>
                <w:r>
                  <w:rPr>
                    <w:noProof/>
                    <w:webHidden/>
                  </w:rPr>
                  <w:instrText xml:space="preserve"> PAGEREF _Toc234183598 \h </w:instrText>
                </w:r>
                <w:r>
                  <w:rPr>
                    <w:noProof/>
                    <w:webHidden/>
                  </w:rPr>
                </w:r>
                <w:r>
                  <w:rPr>
                    <w:noProof/>
                    <w:webHidden/>
                  </w:rPr>
                  <w:fldChar w:fldCharType="separate"/>
                </w:r>
                <w:r>
                  <w:rPr>
                    <w:noProof/>
                    <w:webHidden/>
                  </w:rPr>
                  <w:t>11</w:t>
                </w:r>
                <w:r>
                  <w:rPr>
                    <w:noProof/>
                    <w:webHidden/>
                  </w:rPr>
                  <w:fldChar w:fldCharType="end"/>
                </w:r>
              </w:hyperlink>
            </w:p>
            <w:p w14:paraId="54F545B6" w14:textId="77777777" w:rsidR="009847E8" w:rsidRDefault="009847E8">
              <w:pPr>
                <w:pStyle w:val="TOC2"/>
                <w:tabs>
                  <w:tab w:val="left" w:pos="800"/>
                  <w:tab w:val="right" w:leader="dot" w:pos="9062"/>
                </w:tabs>
                <w:rPr>
                  <w:rFonts w:eastAsiaTheme="minorEastAsia" w:cstheme="minorBidi"/>
                  <w:smallCaps/>
                  <w:noProof/>
                  <w:szCs w:val="24"/>
                </w:rPr>
              </w:pPr>
              <w:hyperlink w:anchor="_Toc234183599" w:history="1">
                <w:r w:rsidRPr="00246314">
                  <w:rPr>
                    <w:rStyle w:val="Hyperlink"/>
                    <w:rFonts w:cs="Calibri"/>
                    <w:noProof/>
                    <w:lang w:val="en-US"/>
                  </w:rPr>
                  <w:t>1.1</w:t>
                </w:r>
                <w:r>
                  <w:rPr>
                    <w:rFonts w:eastAsiaTheme="minorEastAsia" w:cstheme="minorBidi"/>
                    <w:noProof/>
                    <w:szCs w:val="24"/>
                  </w:rPr>
                  <w:tab/>
                </w:r>
                <w:r w:rsidRPr="00246314">
                  <w:rPr>
                    <w:rStyle w:val="Hyperlink"/>
                    <w:rFonts w:cs="Calibri"/>
                    <w:noProof/>
                    <w:lang w:val="en-US"/>
                  </w:rPr>
                  <w:t>Sexuality and racism</w:t>
                </w:r>
                <w:r>
                  <w:rPr>
                    <w:noProof/>
                    <w:webHidden/>
                  </w:rPr>
                  <w:tab/>
                </w:r>
                <w:r>
                  <w:rPr>
                    <w:noProof/>
                    <w:webHidden/>
                  </w:rPr>
                  <w:fldChar w:fldCharType="begin"/>
                </w:r>
                <w:r>
                  <w:rPr>
                    <w:noProof/>
                    <w:webHidden/>
                  </w:rPr>
                  <w:instrText xml:space="preserve"> PAGEREF _Toc234183599 \h </w:instrText>
                </w:r>
                <w:r>
                  <w:rPr>
                    <w:noProof/>
                    <w:webHidden/>
                  </w:rPr>
                </w:r>
                <w:r>
                  <w:rPr>
                    <w:noProof/>
                    <w:webHidden/>
                  </w:rPr>
                  <w:fldChar w:fldCharType="separate"/>
                </w:r>
                <w:r>
                  <w:rPr>
                    <w:noProof/>
                    <w:webHidden/>
                  </w:rPr>
                  <w:t>11</w:t>
                </w:r>
                <w:r>
                  <w:rPr>
                    <w:noProof/>
                    <w:webHidden/>
                  </w:rPr>
                  <w:fldChar w:fldCharType="end"/>
                </w:r>
              </w:hyperlink>
            </w:p>
            <w:p w14:paraId="60803E24" w14:textId="77777777" w:rsidR="009847E8" w:rsidRDefault="009847E8">
              <w:pPr>
                <w:pStyle w:val="TOC3"/>
                <w:tabs>
                  <w:tab w:val="left" w:pos="1200"/>
                  <w:tab w:val="right" w:leader="dot" w:pos="9062"/>
                </w:tabs>
                <w:rPr>
                  <w:rFonts w:eastAsiaTheme="minorEastAsia" w:cstheme="minorBidi"/>
                  <w:i/>
                  <w:iCs/>
                  <w:noProof/>
                  <w:szCs w:val="24"/>
                </w:rPr>
              </w:pPr>
              <w:hyperlink w:anchor="_Toc234183600" w:history="1">
                <w:r w:rsidRPr="00246314">
                  <w:rPr>
                    <w:rStyle w:val="Hyperlink"/>
                    <w:rFonts w:cs="Calibri"/>
                    <w:noProof/>
                    <w:lang w:val="en-US"/>
                  </w:rPr>
                  <w:t>1.1.1</w:t>
                </w:r>
                <w:r>
                  <w:rPr>
                    <w:rFonts w:eastAsiaTheme="minorEastAsia" w:cstheme="minorBidi"/>
                    <w:noProof/>
                    <w:szCs w:val="24"/>
                  </w:rPr>
                  <w:tab/>
                </w:r>
                <w:r w:rsidRPr="00246314">
                  <w:rPr>
                    <w:rStyle w:val="Hyperlink"/>
                    <w:rFonts w:cs="Calibri"/>
                    <w:noProof/>
                    <w:lang w:val="en-US"/>
                  </w:rPr>
                  <w:t>Discursive explosion and the production of abnormal sexualities</w:t>
                </w:r>
                <w:r>
                  <w:rPr>
                    <w:noProof/>
                    <w:webHidden/>
                  </w:rPr>
                  <w:tab/>
                </w:r>
                <w:r>
                  <w:rPr>
                    <w:noProof/>
                    <w:webHidden/>
                  </w:rPr>
                  <w:fldChar w:fldCharType="begin"/>
                </w:r>
                <w:r>
                  <w:rPr>
                    <w:noProof/>
                    <w:webHidden/>
                  </w:rPr>
                  <w:instrText xml:space="preserve"> PAGEREF _Toc234183600 \h </w:instrText>
                </w:r>
                <w:r>
                  <w:rPr>
                    <w:noProof/>
                    <w:webHidden/>
                  </w:rPr>
                </w:r>
                <w:r>
                  <w:rPr>
                    <w:noProof/>
                    <w:webHidden/>
                  </w:rPr>
                  <w:fldChar w:fldCharType="separate"/>
                </w:r>
                <w:r>
                  <w:rPr>
                    <w:noProof/>
                    <w:webHidden/>
                  </w:rPr>
                  <w:t>11</w:t>
                </w:r>
                <w:r>
                  <w:rPr>
                    <w:noProof/>
                    <w:webHidden/>
                  </w:rPr>
                  <w:fldChar w:fldCharType="end"/>
                </w:r>
              </w:hyperlink>
            </w:p>
            <w:p w14:paraId="32DCE1EA" w14:textId="77777777" w:rsidR="009847E8" w:rsidRDefault="009847E8">
              <w:pPr>
                <w:pStyle w:val="TOC3"/>
                <w:tabs>
                  <w:tab w:val="left" w:pos="1200"/>
                  <w:tab w:val="right" w:leader="dot" w:pos="9062"/>
                </w:tabs>
                <w:rPr>
                  <w:rFonts w:eastAsiaTheme="minorEastAsia" w:cstheme="minorBidi"/>
                  <w:i/>
                  <w:iCs/>
                  <w:noProof/>
                  <w:szCs w:val="24"/>
                </w:rPr>
              </w:pPr>
              <w:hyperlink w:anchor="_Toc234183601" w:history="1">
                <w:r w:rsidRPr="00246314">
                  <w:rPr>
                    <w:rStyle w:val="Hyperlink"/>
                    <w:rFonts w:cs="Calibri"/>
                    <w:noProof/>
                    <w:lang w:val="en-US"/>
                  </w:rPr>
                  <w:t>1.1.2</w:t>
                </w:r>
                <w:r>
                  <w:rPr>
                    <w:rFonts w:eastAsiaTheme="minorEastAsia" w:cstheme="minorBidi"/>
                    <w:noProof/>
                    <w:szCs w:val="24"/>
                  </w:rPr>
                  <w:tab/>
                </w:r>
                <w:r w:rsidRPr="00246314">
                  <w:rPr>
                    <w:rStyle w:val="Hyperlink"/>
                    <w:rFonts w:cs="Calibri"/>
                    <w:noProof/>
                    <w:lang w:val="en-US"/>
                  </w:rPr>
                  <w:t>Foucault’s notion of power and the deployment of sexuality</w:t>
                </w:r>
                <w:r>
                  <w:rPr>
                    <w:noProof/>
                    <w:webHidden/>
                  </w:rPr>
                  <w:tab/>
                </w:r>
                <w:r>
                  <w:rPr>
                    <w:noProof/>
                    <w:webHidden/>
                  </w:rPr>
                  <w:fldChar w:fldCharType="begin"/>
                </w:r>
                <w:r>
                  <w:rPr>
                    <w:noProof/>
                    <w:webHidden/>
                  </w:rPr>
                  <w:instrText xml:space="preserve"> PAGEREF _Toc234183601 \h </w:instrText>
                </w:r>
                <w:r>
                  <w:rPr>
                    <w:noProof/>
                    <w:webHidden/>
                  </w:rPr>
                </w:r>
                <w:r>
                  <w:rPr>
                    <w:noProof/>
                    <w:webHidden/>
                  </w:rPr>
                  <w:fldChar w:fldCharType="separate"/>
                </w:r>
                <w:r>
                  <w:rPr>
                    <w:noProof/>
                    <w:webHidden/>
                  </w:rPr>
                  <w:t>12</w:t>
                </w:r>
                <w:r>
                  <w:rPr>
                    <w:noProof/>
                    <w:webHidden/>
                  </w:rPr>
                  <w:fldChar w:fldCharType="end"/>
                </w:r>
              </w:hyperlink>
            </w:p>
            <w:p w14:paraId="5ED3AAFE" w14:textId="77777777" w:rsidR="009847E8" w:rsidRDefault="009847E8">
              <w:pPr>
                <w:pStyle w:val="TOC2"/>
                <w:tabs>
                  <w:tab w:val="left" w:pos="800"/>
                  <w:tab w:val="right" w:leader="dot" w:pos="9062"/>
                </w:tabs>
                <w:rPr>
                  <w:rFonts w:eastAsiaTheme="minorEastAsia" w:cstheme="minorBidi"/>
                  <w:smallCaps/>
                  <w:noProof/>
                  <w:szCs w:val="24"/>
                </w:rPr>
              </w:pPr>
              <w:hyperlink w:anchor="_Toc234183602" w:history="1">
                <w:r w:rsidRPr="00246314">
                  <w:rPr>
                    <w:rStyle w:val="Hyperlink"/>
                    <w:rFonts w:cs="Calibri"/>
                    <w:noProof/>
                    <w:lang w:val="en-US"/>
                  </w:rPr>
                  <w:t>1.2</w:t>
                </w:r>
                <w:r>
                  <w:rPr>
                    <w:rFonts w:eastAsiaTheme="minorEastAsia" w:cstheme="minorBidi"/>
                    <w:noProof/>
                    <w:szCs w:val="24"/>
                  </w:rPr>
                  <w:tab/>
                </w:r>
                <w:r w:rsidRPr="00246314">
                  <w:rPr>
                    <w:rStyle w:val="Hyperlink"/>
                    <w:rFonts w:cs="Calibri"/>
                    <w:noProof/>
                    <w:lang w:val="en-US"/>
                  </w:rPr>
                  <w:t>Biological racism and the internal enemy</w:t>
                </w:r>
                <w:r>
                  <w:rPr>
                    <w:noProof/>
                    <w:webHidden/>
                  </w:rPr>
                  <w:tab/>
                </w:r>
                <w:r>
                  <w:rPr>
                    <w:noProof/>
                    <w:webHidden/>
                  </w:rPr>
                  <w:fldChar w:fldCharType="begin"/>
                </w:r>
                <w:r>
                  <w:rPr>
                    <w:noProof/>
                    <w:webHidden/>
                  </w:rPr>
                  <w:instrText xml:space="preserve"> PAGEREF _Toc234183602 \h </w:instrText>
                </w:r>
                <w:r>
                  <w:rPr>
                    <w:noProof/>
                    <w:webHidden/>
                  </w:rPr>
                </w:r>
                <w:r>
                  <w:rPr>
                    <w:noProof/>
                    <w:webHidden/>
                  </w:rPr>
                  <w:fldChar w:fldCharType="separate"/>
                </w:r>
                <w:r>
                  <w:rPr>
                    <w:noProof/>
                    <w:webHidden/>
                  </w:rPr>
                  <w:t>15</w:t>
                </w:r>
                <w:r>
                  <w:rPr>
                    <w:noProof/>
                    <w:webHidden/>
                  </w:rPr>
                  <w:fldChar w:fldCharType="end"/>
                </w:r>
              </w:hyperlink>
            </w:p>
            <w:p w14:paraId="7953BC12" w14:textId="77777777" w:rsidR="009847E8" w:rsidRDefault="009847E8">
              <w:pPr>
                <w:pStyle w:val="TOC3"/>
                <w:tabs>
                  <w:tab w:val="left" w:pos="1200"/>
                  <w:tab w:val="right" w:leader="dot" w:pos="9062"/>
                </w:tabs>
                <w:rPr>
                  <w:rFonts w:eastAsiaTheme="minorEastAsia" w:cstheme="minorBidi"/>
                  <w:i/>
                  <w:iCs/>
                  <w:noProof/>
                  <w:szCs w:val="24"/>
                </w:rPr>
              </w:pPr>
              <w:hyperlink w:anchor="_Toc234183603" w:history="1">
                <w:r w:rsidRPr="00246314">
                  <w:rPr>
                    <w:rStyle w:val="Hyperlink"/>
                    <w:rFonts w:cs="Calibri"/>
                    <w:noProof/>
                    <w:lang w:val="en-US"/>
                  </w:rPr>
                  <w:t>1.2.1</w:t>
                </w:r>
                <w:r>
                  <w:rPr>
                    <w:rFonts w:eastAsiaTheme="minorEastAsia" w:cstheme="minorBidi"/>
                    <w:noProof/>
                    <w:szCs w:val="24"/>
                  </w:rPr>
                  <w:tab/>
                </w:r>
                <w:r w:rsidRPr="00246314">
                  <w:rPr>
                    <w:rStyle w:val="Hyperlink"/>
                    <w:rFonts w:cs="Calibri"/>
                    <w:noProof/>
                    <w:lang w:val="en-US"/>
                  </w:rPr>
                  <w:t>The birth of racism</w:t>
                </w:r>
                <w:r>
                  <w:rPr>
                    <w:noProof/>
                    <w:webHidden/>
                  </w:rPr>
                  <w:tab/>
                </w:r>
                <w:r>
                  <w:rPr>
                    <w:noProof/>
                    <w:webHidden/>
                  </w:rPr>
                  <w:fldChar w:fldCharType="begin"/>
                </w:r>
                <w:r>
                  <w:rPr>
                    <w:noProof/>
                    <w:webHidden/>
                  </w:rPr>
                  <w:instrText xml:space="preserve"> PAGEREF _Toc234183603 \h </w:instrText>
                </w:r>
                <w:r>
                  <w:rPr>
                    <w:noProof/>
                    <w:webHidden/>
                  </w:rPr>
                </w:r>
                <w:r>
                  <w:rPr>
                    <w:noProof/>
                    <w:webHidden/>
                  </w:rPr>
                  <w:fldChar w:fldCharType="separate"/>
                </w:r>
                <w:r>
                  <w:rPr>
                    <w:noProof/>
                    <w:webHidden/>
                  </w:rPr>
                  <w:t>15</w:t>
                </w:r>
                <w:r>
                  <w:rPr>
                    <w:noProof/>
                    <w:webHidden/>
                  </w:rPr>
                  <w:fldChar w:fldCharType="end"/>
                </w:r>
              </w:hyperlink>
            </w:p>
            <w:p w14:paraId="1C62EAAA" w14:textId="77777777" w:rsidR="009847E8" w:rsidRDefault="009847E8">
              <w:pPr>
                <w:pStyle w:val="TOC3"/>
                <w:tabs>
                  <w:tab w:val="left" w:pos="1200"/>
                  <w:tab w:val="right" w:leader="dot" w:pos="9062"/>
                </w:tabs>
                <w:rPr>
                  <w:rFonts w:eastAsiaTheme="minorEastAsia" w:cstheme="minorBidi"/>
                  <w:i/>
                  <w:iCs/>
                  <w:noProof/>
                  <w:szCs w:val="24"/>
                </w:rPr>
              </w:pPr>
              <w:hyperlink w:anchor="_Toc234183604" w:history="1">
                <w:r w:rsidRPr="00246314">
                  <w:rPr>
                    <w:rStyle w:val="Hyperlink"/>
                    <w:rFonts w:cs="Calibri"/>
                    <w:noProof/>
                    <w:lang w:val="en-US"/>
                  </w:rPr>
                  <w:t>1.2.2</w:t>
                </w:r>
                <w:r>
                  <w:rPr>
                    <w:rFonts w:eastAsiaTheme="minorEastAsia" w:cstheme="minorBidi"/>
                    <w:noProof/>
                    <w:szCs w:val="24"/>
                  </w:rPr>
                  <w:tab/>
                </w:r>
                <w:r w:rsidRPr="00246314">
                  <w:rPr>
                    <w:rStyle w:val="Hyperlink"/>
                    <w:rFonts w:cs="Calibri"/>
                    <w:noProof/>
                    <w:lang w:val="en-US"/>
                  </w:rPr>
                  <w:t>Decolonial critique of Foucault’s locating of the birth of racism</w:t>
                </w:r>
                <w:r>
                  <w:rPr>
                    <w:noProof/>
                    <w:webHidden/>
                  </w:rPr>
                  <w:tab/>
                </w:r>
                <w:r>
                  <w:rPr>
                    <w:noProof/>
                    <w:webHidden/>
                  </w:rPr>
                  <w:fldChar w:fldCharType="begin"/>
                </w:r>
                <w:r>
                  <w:rPr>
                    <w:noProof/>
                    <w:webHidden/>
                  </w:rPr>
                  <w:instrText xml:space="preserve"> PAGEREF _Toc234183604 \h </w:instrText>
                </w:r>
                <w:r>
                  <w:rPr>
                    <w:noProof/>
                    <w:webHidden/>
                  </w:rPr>
                </w:r>
                <w:r>
                  <w:rPr>
                    <w:noProof/>
                    <w:webHidden/>
                  </w:rPr>
                  <w:fldChar w:fldCharType="separate"/>
                </w:r>
                <w:r>
                  <w:rPr>
                    <w:noProof/>
                    <w:webHidden/>
                  </w:rPr>
                  <w:t>17</w:t>
                </w:r>
                <w:r>
                  <w:rPr>
                    <w:noProof/>
                    <w:webHidden/>
                  </w:rPr>
                  <w:fldChar w:fldCharType="end"/>
                </w:r>
              </w:hyperlink>
            </w:p>
            <w:p w14:paraId="19D1336F" w14:textId="77777777" w:rsidR="009847E8" w:rsidRDefault="009847E8">
              <w:pPr>
                <w:pStyle w:val="TOC3"/>
                <w:tabs>
                  <w:tab w:val="left" w:pos="1200"/>
                  <w:tab w:val="right" w:leader="dot" w:pos="9062"/>
                </w:tabs>
                <w:rPr>
                  <w:rFonts w:eastAsiaTheme="minorEastAsia" w:cstheme="minorBidi"/>
                  <w:i/>
                  <w:iCs/>
                  <w:noProof/>
                  <w:szCs w:val="24"/>
                </w:rPr>
              </w:pPr>
              <w:hyperlink w:anchor="_Toc234183605" w:history="1">
                <w:r w:rsidRPr="00246314">
                  <w:rPr>
                    <w:rStyle w:val="Hyperlink"/>
                    <w:rFonts w:cs="Calibri"/>
                    <w:noProof/>
                    <w:lang w:val="en-US"/>
                  </w:rPr>
                  <w:t>1.2.3</w:t>
                </w:r>
                <w:r>
                  <w:rPr>
                    <w:rFonts w:eastAsiaTheme="minorEastAsia" w:cstheme="minorBidi"/>
                    <w:noProof/>
                    <w:szCs w:val="24"/>
                  </w:rPr>
                  <w:tab/>
                </w:r>
                <w:r w:rsidRPr="00246314">
                  <w:rPr>
                    <w:rStyle w:val="Hyperlink"/>
                    <w:rFonts w:cs="Calibri"/>
                    <w:noProof/>
                    <w:lang w:val="en-US"/>
                  </w:rPr>
                  <w:t>Internal racism in the colony</w:t>
                </w:r>
                <w:r>
                  <w:rPr>
                    <w:noProof/>
                    <w:webHidden/>
                  </w:rPr>
                  <w:tab/>
                </w:r>
                <w:r>
                  <w:rPr>
                    <w:noProof/>
                    <w:webHidden/>
                  </w:rPr>
                  <w:fldChar w:fldCharType="begin"/>
                </w:r>
                <w:r>
                  <w:rPr>
                    <w:noProof/>
                    <w:webHidden/>
                  </w:rPr>
                  <w:instrText xml:space="preserve"> PAGEREF _Toc234183605 \h </w:instrText>
                </w:r>
                <w:r>
                  <w:rPr>
                    <w:noProof/>
                    <w:webHidden/>
                  </w:rPr>
                </w:r>
                <w:r>
                  <w:rPr>
                    <w:noProof/>
                    <w:webHidden/>
                  </w:rPr>
                  <w:fldChar w:fldCharType="separate"/>
                </w:r>
                <w:r>
                  <w:rPr>
                    <w:noProof/>
                    <w:webHidden/>
                  </w:rPr>
                  <w:t>18</w:t>
                </w:r>
                <w:r>
                  <w:rPr>
                    <w:noProof/>
                    <w:webHidden/>
                  </w:rPr>
                  <w:fldChar w:fldCharType="end"/>
                </w:r>
              </w:hyperlink>
            </w:p>
            <w:p w14:paraId="09AEDB3B" w14:textId="77777777" w:rsidR="009847E8" w:rsidRDefault="009847E8">
              <w:pPr>
                <w:pStyle w:val="TOC2"/>
                <w:tabs>
                  <w:tab w:val="left" w:pos="800"/>
                  <w:tab w:val="right" w:leader="dot" w:pos="9062"/>
                </w:tabs>
                <w:rPr>
                  <w:rFonts w:eastAsiaTheme="minorEastAsia" w:cstheme="minorBidi"/>
                  <w:smallCaps/>
                  <w:noProof/>
                  <w:szCs w:val="24"/>
                </w:rPr>
              </w:pPr>
              <w:hyperlink w:anchor="_Toc234183606" w:history="1">
                <w:r w:rsidRPr="00246314">
                  <w:rPr>
                    <w:rStyle w:val="Hyperlink"/>
                    <w:rFonts w:cs="Calibri"/>
                    <w:noProof/>
                    <w:lang w:val="en-US"/>
                  </w:rPr>
                  <w:t>1.3</w:t>
                </w:r>
                <w:r>
                  <w:rPr>
                    <w:rFonts w:eastAsiaTheme="minorEastAsia" w:cstheme="minorBidi"/>
                    <w:noProof/>
                    <w:szCs w:val="24"/>
                  </w:rPr>
                  <w:tab/>
                </w:r>
                <w:r w:rsidRPr="00246314">
                  <w:rPr>
                    <w:rStyle w:val="Hyperlink"/>
                    <w:rFonts w:cs="Calibri"/>
                    <w:noProof/>
                    <w:lang w:val="en-US"/>
                  </w:rPr>
                  <w:t>Conclusion</w:t>
                </w:r>
                <w:r>
                  <w:rPr>
                    <w:noProof/>
                    <w:webHidden/>
                  </w:rPr>
                  <w:tab/>
                </w:r>
                <w:r>
                  <w:rPr>
                    <w:noProof/>
                    <w:webHidden/>
                  </w:rPr>
                  <w:fldChar w:fldCharType="begin"/>
                </w:r>
                <w:r>
                  <w:rPr>
                    <w:noProof/>
                    <w:webHidden/>
                  </w:rPr>
                  <w:instrText xml:space="preserve"> PAGEREF _Toc234183606 \h </w:instrText>
                </w:r>
                <w:r>
                  <w:rPr>
                    <w:noProof/>
                    <w:webHidden/>
                  </w:rPr>
                </w:r>
                <w:r>
                  <w:rPr>
                    <w:noProof/>
                    <w:webHidden/>
                  </w:rPr>
                  <w:fldChar w:fldCharType="separate"/>
                </w:r>
                <w:r>
                  <w:rPr>
                    <w:noProof/>
                    <w:webHidden/>
                  </w:rPr>
                  <w:t>19</w:t>
                </w:r>
                <w:r>
                  <w:rPr>
                    <w:noProof/>
                    <w:webHidden/>
                  </w:rPr>
                  <w:fldChar w:fldCharType="end"/>
                </w:r>
              </w:hyperlink>
            </w:p>
            <w:p w14:paraId="141D18DD" w14:textId="77777777" w:rsidR="009847E8" w:rsidRDefault="009847E8">
              <w:pPr>
                <w:pStyle w:val="TOC1"/>
                <w:tabs>
                  <w:tab w:val="left" w:pos="400"/>
                  <w:tab w:val="right" w:leader="dot" w:pos="9062"/>
                </w:tabs>
                <w:rPr>
                  <w:rFonts w:eastAsiaTheme="minorEastAsia" w:cstheme="minorBidi"/>
                  <w:b w:val="0"/>
                  <w:bCs w:val="0"/>
                  <w:caps/>
                  <w:noProof/>
                </w:rPr>
              </w:pPr>
              <w:hyperlink w:anchor="_Toc234183607" w:history="1">
                <w:r w:rsidRPr="00246314">
                  <w:rPr>
                    <w:rStyle w:val="Hyperlink"/>
                    <w:rFonts w:ascii="Calibri" w:hAnsi="Calibri" w:cs="Calibri"/>
                    <w:noProof/>
                    <w:lang w:val="en-US"/>
                  </w:rPr>
                  <w:t>2.</w:t>
                </w:r>
                <w:r>
                  <w:rPr>
                    <w:rFonts w:eastAsiaTheme="minorEastAsia" w:cstheme="minorBidi"/>
                    <w:b w:val="0"/>
                    <w:bCs w:val="0"/>
                    <w:noProof/>
                  </w:rPr>
                  <w:tab/>
                </w:r>
                <w:r w:rsidRPr="00246314">
                  <w:rPr>
                    <w:rStyle w:val="Hyperlink"/>
                    <w:rFonts w:ascii="Calibri" w:hAnsi="Calibri" w:cs="Calibri"/>
                    <w:noProof/>
                    <w:lang w:val="en-US"/>
                  </w:rPr>
                  <w:t>Arrangements of Concubinage in the Dutch East Indies</w:t>
                </w:r>
                <w:r>
                  <w:rPr>
                    <w:noProof/>
                    <w:webHidden/>
                  </w:rPr>
                  <w:tab/>
                </w:r>
                <w:r>
                  <w:rPr>
                    <w:noProof/>
                    <w:webHidden/>
                  </w:rPr>
                  <w:fldChar w:fldCharType="begin"/>
                </w:r>
                <w:r>
                  <w:rPr>
                    <w:noProof/>
                    <w:webHidden/>
                  </w:rPr>
                  <w:instrText xml:space="preserve"> PAGEREF _Toc234183607 \h </w:instrText>
                </w:r>
                <w:r>
                  <w:rPr>
                    <w:noProof/>
                    <w:webHidden/>
                  </w:rPr>
                </w:r>
                <w:r>
                  <w:rPr>
                    <w:noProof/>
                    <w:webHidden/>
                  </w:rPr>
                  <w:fldChar w:fldCharType="separate"/>
                </w:r>
                <w:r>
                  <w:rPr>
                    <w:noProof/>
                    <w:webHidden/>
                  </w:rPr>
                  <w:t>21</w:t>
                </w:r>
                <w:r>
                  <w:rPr>
                    <w:noProof/>
                    <w:webHidden/>
                  </w:rPr>
                  <w:fldChar w:fldCharType="end"/>
                </w:r>
              </w:hyperlink>
            </w:p>
            <w:p w14:paraId="3B4F9321" w14:textId="77777777" w:rsidR="009847E8" w:rsidRDefault="009847E8">
              <w:pPr>
                <w:pStyle w:val="TOC2"/>
                <w:tabs>
                  <w:tab w:val="left" w:pos="800"/>
                  <w:tab w:val="right" w:leader="dot" w:pos="9062"/>
                </w:tabs>
                <w:rPr>
                  <w:rFonts w:eastAsiaTheme="minorEastAsia" w:cstheme="minorBidi"/>
                  <w:smallCaps/>
                  <w:noProof/>
                  <w:szCs w:val="24"/>
                </w:rPr>
              </w:pPr>
              <w:hyperlink w:anchor="_Toc234183608" w:history="1">
                <w:r w:rsidRPr="00246314">
                  <w:rPr>
                    <w:rStyle w:val="Hyperlink"/>
                    <w:rFonts w:cs="Calibri"/>
                    <w:noProof/>
                    <w:lang w:val="en-US"/>
                  </w:rPr>
                  <w:t>2.1</w:t>
                </w:r>
                <w:r>
                  <w:rPr>
                    <w:rFonts w:eastAsiaTheme="minorEastAsia" w:cstheme="minorBidi"/>
                    <w:noProof/>
                    <w:szCs w:val="24"/>
                  </w:rPr>
                  <w:tab/>
                </w:r>
                <w:r w:rsidRPr="00246314">
                  <w:rPr>
                    <w:rStyle w:val="Hyperlink"/>
                    <w:rFonts w:cs="Calibri"/>
                    <w:noProof/>
                    <w:lang w:val="en-US"/>
                  </w:rPr>
                  <w:t>The Dutch East India Company and the emergence of the njai</w:t>
                </w:r>
                <w:r>
                  <w:rPr>
                    <w:noProof/>
                    <w:webHidden/>
                  </w:rPr>
                  <w:tab/>
                </w:r>
                <w:r>
                  <w:rPr>
                    <w:noProof/>
                    <w:webHidden/>
                  </w:rPr>
                  <w:fldChar w:fldCharType="begin"/>
                </w:r>
                <w:r>
                  <w:rPr>
                    <w:noProof/>
                    <w:webHidden/>
                  </w:rPr>
                  <w:instrText xml:space="preserve"> PAGEREF _Toc234183608 \h </w:instrText>
                </w:r>
                <w:r>
                  <w:rPr>
                    <w:noProof/>
                    <w:webHidden/>
                  </w:rPr>
                </w:r>
                <w:r>
                  <w:rPr>
                    <w:noProof/>
                    <w:webHidden/>
                  </w:rPr>
                  <w:fldChar w:fldCharType="separate"/>
                </w:r>
                <w:r>
                  <w:rPr>
                    <w:noProof/>
                    <w:webHidden/>
                  </w:rPr>
                  <w:t>21</w:t>
                </w:r>
                <w:r>
                  <w:rPr>
                    <w:noProof/>
                    <w:webHidden/>
                  </w:rPr>
                  <w:fldChar w:fldCharType="end"/>
                </w:r>
              </w:hyperlink>
            </w:p>
            <w:p w14:paraId="76CC1F58" w14:textId="77777777" w:rsidR="009847E8" w:rsidRDefault="009847E8">
              <w:pPr>
                <w:pStyle w:val="TOC3"/>
                <w:tabs>
                  <w:tab w:val="left" w:pos="1200"/>
                  <w:tab w:val="right" w:leader="dot" w:pos="9062"/>
                </w:tabs>
                <w:rPr>
                  <w:rFonts w:eastAsiaTheme="minorEastAsia" w:cstheme="minorBidi"/>
                  <w:i/>
                  <w:iCs/>
                  <w:noProof/>
                  <w:szCs w:val="24"/>
                </w:rPr>
              </w:pPr>
              <w:hyperlink w:anchor="_Toc234183609" w:history="1">
                <w:r w:rsidRPr="00246314">
                  <w:rPr>
                    <w:rStyle w:val="Hyperlink"/>
                    <w:rFonts w:cs="Calibri"/>
                    <w:noProof/>
                    <w:lang w:val="en-US"/>
                  </w:rPr>
                  <w:t>2.1.1</w:t>
                </w:r>
                <w:r>
                  <w:rPr>
                    <w:rFonts w:eastAsiaTheme="minorEastAsia" w:cstheme="minorBidi"/>
                    <w:noProof/>
                    <w:szCs w:val="24"/>
                  </w:rPr>
                  <w:tab/>
                </w:r>
                <w:r w:rsidRPr="00246314">
                  <w:rPr>
                    <w:rStyle w:val="Hyperlink"/>
                    <w:rFonts w:cs="Calibri"/>
                    <w:noProof/>
                    <w:lang w:val="en-US"/>
                  </w:rPr>
                  <w:t>The VOC and its establishment</w:t>
                </w:r>
                <w:r>
                  <w:rPr>
                    <w:noProof/>
                    <w:webHidden/>
                  </w:rPr>
                  <w:tab/>
                </w:r>
                <w:r>
                  <w:rPr>
                    <w:noProof/>
                    <w:webHidden/>
                  </w:rPr>
                  <w:fldChar w:fldCharType="begin"/>
                </w:r>
                <w:r>
                  <w:rPr>
                    <w:noProof/>
                    <w:webHidden/>
                  </w:rPr>
                  <w:instrText xml:space="preserve"> PAGEREF _Toc234183609 \h </w:instrText>
                </w:r>
                <w:r>
                  <w:rPr>
                    <w:noProof/>
                    <w:webHidden/>
                  </w:rPr>
                </w:r>
                <w:r>
                  <w:rPr>
                    <w:noProof/>
                    <w:webHidden/>
                  </w:rPr>
                  <w:fldChar w:fldCharType="separate"/>
                </w:r>
                <w:r>
                  <w:rPr>
                    <w:noProof/>
                    <w:webHidden/>
                  </w:rPr>
                  <w:t>21</w:t>
                </w:r>
                <w:r>
                  <w:rPr>
                    <w:noProof/>
                    <w:webHidden/>
                  </w:rPr>
                  <w:fldChar w:fldCharType="end"/>
                </w:r>
              </w:hyperlink>
            </w:p>
            <w:p w14:paraId="0FDB6251" w14:textId="77777777" w:rsidR="009847E8" w:rsidRDefault="009847E8">
              <w:pPr>
                <w:pStyle w:val="TOC3"/>
                <w:tabs>
                  <w:tab w:val="left" w:pos="1200"/>
                  <w:tab w:val="right" w:leader="dot" w:pos="9062"/>
                </w:tabs>
                <w:rPr>
                  <w:rFonts w:eastAsiaTheme="minorEastAsia" w:cstheme="minorBidi"/>
                  <w:i/>
                  <w:iCs/>
                  <w:noProof/>
                  <w:szCs w:val="24"/>
                </w:rPr>
              </w:pPr>
              <w:hyperlink w:anchor="_Toc234183610" w:history="1">
                <w:r w:rsidRPr="00246314">
                  <w:rPr>
                    <w:rStyle w:val="Hyperlink"/>
                    <w:rFonts w:cs="Calibri"/>
                    <w:noProof/>
                    <w:lang w:val="en-US"/>
                  </w:rPr>
                  <w:t>2.1.2</w:t>
                </w:r>
                <w:r>
                  <w:rPr>
                    <w:rFonts w:eastAsiaTheme="minorEastAsia" w:cstheme="minorBidi"/>
                    <w:noProof/>
                    <w:szCs w:val="24"/>
                  </w:rPr>
                  <w:tab/>
                </w:r>
                <w:r w:rsidRPr="00246314">
                  <w:rPr>
                    <w:rStyle w:val="Hyperlink"/>
                    <w:rFonts w:cs="Calibri"/>
                    <w:noProof/>
                    <w:lang w:val="en-US"/>
                  </w:rPr>
                  <w:t>Concubinage in VOC-society</w:t>
                </w:r>
                <w:r>
                  <w:rPr>
                    <w:noProof/>
                    <w:webHidden/>
                  </w:rPr>
                  <w:tab/>
                </w:r>
                <w:r>
                  <w:rPr>
                    <w:noProof/>
                    <w:webHidden/>
                  </w:rPr>
                  <w:fldChar w:fldCharType="begin"/>
                </w:r>
                <w:r>
                  <w:rPr>
                    <w:noProof/>
                    <w:webHidden/>
                  </w:rPr>
                  <w:instrText xml:space="preserve"> PAGEREF _Toc234183610 \h </w:instrText>
                </w:r>
                <w:r>
                  <w:rPr>
                    <w:noProof/>
                    <w:webHidden/>
                  </w:rPr>
                </w:r>
                <w:r>
                  <w:rPr>
                    <w:noProof/>
                    <w:webHidden/>
                  </w:rPr>
                  <w:fldChar w:fldCharType="separate"/>
                </w:r>
                <w:r>
                  <w:rPr>
                    <w:noProof/>
                    <w:webHidden/>
                  </w:rPr>
                  <w:t>22</w:t>
                </w:r>
                <w:r>
                  <w:rPr>
                    <w:noProof/>
                    <w:webHidden/>
                  </w:rPr>
                  <w:fldChar w:fldCharType="end"/>
                </w:r>
              </w:hyperlink>
            </w:p>
            <w:p w14:paraId="6E576DE7" w14:textId="77777777" w:rsidR="009847E8" w:rsidRDefault="009847E8">
              <w:pPr>
                <w:pStyle w:val="TOC2"/>
                <w:tabs>
                  <w:tab w:val="left" w:pos="800"/>
                  <w:tab w:val="right" w:leader="dot" w:pos="9062"/>
                </w:tabs>
                <w:rPr>
                  <w:rFonts w:eastAsiaTheme="minorEastAsia" w:cstheme="minorBidi"/>
                  <w:smallCaps/>
                  <w:noProof/>
                  <w:szCs w:val="24"/>
                </w:rPr>
              </w:pPr>
              <w:hyperlink w:anchor="_Toc234183611" w:history="1">
                <w:r w:rsidRPr="00246314">
                  <w:rPr>
                    <w:rStyle w:val="Hyperlink"/>
                    <w:rFonts w:cs="Calibri"/>
                    <w:noProof/>
                    <w:lang w:val="en-US"/>
                  </w:rPr>
                  <w:t>2.2</w:t>
                </w:r>
                <w:r>
                  <w:rPr>
                    <w:rFonts w:eastAsiaTheme="minorEastAsia" w:cstheme="minorBidi"/>
                    <w:noProof/>
                    <w:szCs w:val="24"/>
                  </w:rPr>
                  <w:tab/>
                </w:r>
                <w:r w:rsidRPr="00246314">
                  <w:rPr>
                    <w:rStyle w:val="Hyperlink"/>
                    <w:rFonts w:cs="Calibri"/>
                    <w:noProof/>
                    <w:lang w:val="en-US"/>
                  </w:rPr>
                  <w:t>Nineteenth and twentieth century Indies society: concubinage and a civilizing offensive</w:t>
                </w:r>
                <w:r>
                  <w:rPr>
                    <w:noProof/>
                    <w:webHidden/>
                  </w:rPr>
                  <w:tab/>
                </w:r>
                <w:r>
                  <w:rPr>
                    <w:noProof/>
                    <w:webHidden/>
                  </w:rPr>
                  <w:fldChar w:fldCharType="begin"/>
                </w:r>
                <w:r>
                  <w:rPr>
                    <w:noProof/>
                    <w:webHidden/>
                  </w:rPr>
                  <w:instrText xml:space="preserve"> PAGEREF _Toc234183611 \h </w:instrText>
                </w:r>
                <w:r>
                  <w:rPr>
                    <w:noProof/>
                    <w:webHidden/>
                  </w:rPr>
                </w:r>
                <w:r>
                  <w:rPr>
                    <w:noProof/>
                    <w:webHidden/>
                  </w:rPr>
                  <w:fldChar w:fldCharType="separate"/>
                </w:r>
                <w:r>
                  <w:rPr>
                    <w:noProof/>
                    <w:webHidden/>
                  </w:rPr>
                  <w:t>23</w:t>
                </w:r>
                <w:r>
                  <w:rPr>
                    <w:noProof/>
                    <w:webHidden/>
                  </w:rPr>
                  <w:fldChar w:fldCharType="end"/>
                </w:r>
              </w:hyperlink>
            </w:p>
            <w:p w14:paraId="2B2024C4" w14:textId="77777777" w:rsidR="009847E8" w:rsidRDefault="009847E8">
              <w:pPr>
                <w:pStyle w:val="TOC3"/>
                <w:tabs>
                  <w:tab w:val="left" w:pos="1200"/>
                  <w:tab w:val="right" w:leader="dot" w:pos="9062"/>
                </w:tabs>
                <w:rPr>
                  <w:rFonts w:eastAsiaTheme="minorEastAsia" w:cstheme="minorBidi"/>
                  <w:i/>
                  <w:iCs/>
                  <w:noProof/>
                  <w:szCs w:val="24"/>
                </w:rPr>
              </w:pPr>
              <w:hyperlink w:anchor="_Toc234183612" w:history="1">
                <w:r w:rsidRPr="00246314">
                  <w:rPr>
                    <w:rStyle w:val="Hyperlink"/>
                    <w:rFonts w:cs="Calibri"/>
                    <w:noProof/>
                    <w:lang w:val="en-US"/>
                  </w:rPr>
                  <w:t>2.2.1</w:t>
                </w:r>
                <w:r>
                  <w:rPr>
                    <w:rFonts w:eastAsiaTheme="minorEastAsia" w:cstheme="minorBidi"/>
                    <w:noProof/>
                    <w:szCs w:val="24"/>
                  </w:rPr>
                  <w:tab/>
                </w:r>
                <w:r w:rsidRPr="00246314">
                  <w:rPr>
                    <w:rStyle w:val="Hyperlink"/>
                    <w:rFonts w:cs="Calibri"/>
                    <w:noProof/>
                    <w:lang w:val="en-US"/>
                  </w:rPr>
                  <w:t>Concubinage after the British interregnum</w:t>
                </w:r>
                <w:r>
                  <w:rPr>
                    <w:noProof/>
                    <w:webHidden/>
                  </w:rPr>
                  <w:tab/>
                </w:r>
                <w:r>
                  <w:rPr>
                    <w:noProof/>
                    <w:webHidden/>
                  </w:rPr>
                  <w:fldChar w:fldCharType="begin"/>
                </w:r>
                <w:r>
                  <w:rPr>
                    <w:noProof/>
                    <w:webHidden/>
                  </w:rPr>
                  <w:instrText xml:space="preserve"> PAGEREF _Toc234183612 \h </w:instrText>
                </w:r>
                <w:r>
                  <w:rPr>
                    <w:noProof/>
                    <w:webHidden/>
                  </w:rPr>
                </w:r>
                <w:r>
                  <w:rPr>
                    <w:noProof/>
                    <w:webHidden/>
                  </w:rPr>
                  <w:fldChar w:fldCharType="separate"/>
                </w:r>
                <w:r>
                  <w:rPr>
                    <w:noProof/>
                    <w:webHidden/>
                  </w:rPr>
                  <w:t>23</w:t>
                </w:r>
                <w:r>
                  <w:rPr>
                    <w:noProof/>
                    <w:webHidden/>
                  </w:rPr>
                  <w:fldChar w:fldCharType="end"/>
                </w:r>
              </w:hyperlink>
            </w:p>
            <w:p w14:paraId="0B2F31C6" w14:textId="77777777" w:rsidR="009847E8" w:rsidRDefault="009847E8">
              <w:pPr>
                <w:pStyle w:val="TOC3"/>
                <w:tabs>
                  <w:tab w:val="left" w:pos="1200"/>
                  <w:tab w:val="right" w:leader="dot" w:pos="9062"/>
                </w:tabs>
                <w:rPr>
                  <w:rFonts w:eastAsiaTheme="minorEastAsia" w:cstheme="minorBidi"/>
                  <w:i/>
                  <w:iCs/>
                  <w:noProof/>
                  <w:szCs w:val="24"/>
                </w:rPr>
              </w:pPr>
              <w:hyperlink w:anchor="_Toc234183613" w:history="1">
                <w:r w:rsidRPr="00246314">
                  <w:rPr>
                    <w:rStyle w:val="Hyperlink"/>
                    <w:rFonts w:cs="Calibri"/>
                    <w:noProof/>
                    <w:lang w:val="en-US"/>
                  </w:rPr>
                  <w:t>2.2.2</w:t>
                </w:r>
                <w:r>
                  <w:rPr>
                    <w:rFonts w:eastAsiaTheme="minorEastAsia" w:cstheme="minorBidi"/>
                    <w:noProof/>
                    <w:szCs w:val="24"/>
                  </w:rPr>
                  <w:tab/>
                </w:r>
                <w:r w:rsidRPr="00246314">
                  <w:rPr>
                    <w:rStyle w:val="Hyperlink"/>
                    <w:rFonts w:cs="Calibri"/>
                    <w:noProof/>
                    <w:lang w:val="en-US"/>
                  </w:rPr>
                  <w:t>KNIL Barrack-concubinage</w:t>
                </w:r>
                <w:r>
                  <w:rPr>
                    <w:noProof/>
                    <w:webHidden/>
                  </w:rPr>
                  <w:tab/>
                </w:r>
                <w:r>
                  <w:rPr>
                    <w:noProof/>
                    <w:webHidden/>
                  </w:rPr>
                  <w:fldChar w:fldCharType="begin"/>
                </w:r>
                <w:r>
                  <w:rPr>
                    <w:noProof/>
                    <w:webHidden/>
                  </w:rPr>
                  <w:instrText xml:space="preserve"> PAGEREF _Toc234183613 \h </w:instrText>
                </w:r>
                <w:r>
                  <w:rPr>
                    <w:noProof/>
                    <w:webHidden/>
                  </w:rPr>
                </w:r>
                <w:r>
                  <w:rPr>
                    <w:noProof/>
                    <w:webHidden/>
                  </w:rPr>
                  <w:fldChar w:fldCharType="separate"/>
                </w:r>
                <w:r>
                  <w:rPr>
                    <w:noProof/>
                    <w:webHidden/>
                  </w:rPr>
                  <w:t>24</w:t>
                </w:r>
                <w:r>
                  <w:rPr>
                    <w:noProof/>
                    <w:webHidden/>
                  </w:rPr>
                  <w:fldChar w:fldCharType="end"/>
                </w:r>
              </w:hyperlink>
            </w:p>
            <w:p w14:paraId="2C951FBE" w14:textId="77777777" w:rsidR="009847E8" w:rsidRDefault="009847E8">
              <w:pPr>
                <w:pStyle w:val="TOC3"/>
                <w:tabs>
                  <w:tab w:val="left" w:pos="1200"/>
                  <w:tab w:val="right" w:leader="dot" w:pos="9062"/>
                </w:tabs>
                <w:rPr>
                  <w:rFonts w:eastAsiaTheme="minorEastAsia" w:cstheme="minorBidi"/>
                  <w:i/>
                  <w:iCs/>
                  <w:noProof/>
                  <w:szCs w:val="24"/>
                </w:rPr>
              </w:pPr>
              <w:hyperlink w:anchor="_Toc234183614" w:history="1">
                <w:r w:rsidRPr="00246314">
                  <w:rPr>
                    <w:rStyle w:val="Hyperlink"/>
                    <w:rFonts w:cs="Calibri"/>
                    <w:noProof/>
                    <w:lang w:val="en-US"/>
                  </w:rPr>
                  <w:t>2.2.3</w:t>
                </w:r>
                <w:r>
                  <w:rPr>
                    <w:rFonts w:eastAsiaTheme="minorEastAsia" w:cstheme="minorBidi"/>
                    <w:noProof/>
                    <w:szCs w:val="24"/>
                  </w:rPr>
                  <w:tab/>
                </w:r>
                <w:r w:rsidRPr="00246314">
                  <w:rPr>
                    <w:rStyle w:val="Hyperlink"/>
                    <w:rFonts w:cs="Calibri"/>
                    <w:noProof/>
                    <w:lang w:val="en-US"/>
                  </w:rPr>
                  <w:t>Who is the njai?</w:t>
                </w:r>
                <w:r>
                  <w:rPr>
                    <w:noProof/>
                    <w:webHidden/>
                  </w:rPr>
                  <w:tab/>
                </w:r>
                <w:r>
                  <w:rPr>
                    <w:noProof/>
                    <w:webHidden/>
                  </w:rPr>
                  <w:fldChar w:fldCharType="begin"/>
                </w:r>
                <w:r>
                  <w:rPr>
                    <w:noProof/>
                    <w:webHidden/>
                  </w:rPr>
                  <w:instrText xml:space="preserve"> PAGEREF _Toc234183614 \h </w:instrText>
                </w:r>
                <w:r>
                  <w:rPr>
                    <w:noProof/>
                    <w:webHidden/>
                  </w:rPr>
                </w:r>
                <w:r>
                  <w:rPr>
                    <w:noProof/>
                    <w:webHidden/>
                  </w:rPr>
                  <w:fldChar w:fldCharType="separate"/>
                </w:r>
                <w:r>
                  <w:rPr>
                    <w:noProof/>
                    <w:webHidden/>
                  </w:rPr>
                  <w:t>25</w:t>
                </w:r>
                <w:r>
                  <w:rPr>
                    <w:noProof/>
                    <w:webHidden/>
                  </w:rPr>
                  <w:fldChar w:fldCharType="end"/>
                </w:r>
              </w:hyperlink>
            </w:p>
            <w:p w14:paraId="6FEF994E" w14:textId="77777777" w:rsidR="009847E8" w:rsidRDefault="009847E8">
              <w:pPr>
                <w:pStyle w:val="TOC2"/>
                <w:tabs>
                  <w:tab w:val="left" w:pos="800"/>
                  <w:tab w:val="right" w:leader="dot" w:pos="9062"/>
                </w:tabs>
                <w:rPr>
                  <w:rFonts w:eastAsiaTheme="minorEastAsia" w:cstheme="minorBidi"/>
                  <w:smallCaps/>
                  <w:noProof/>
                  <w:szCs w:val="24"/>
                </w:rPr>
              </w:pPr>
              <w:hyperlink w:anchor="_Toc234183615" w:history="1">
                <w:r w:rsidRPr="00246314">
                  <w:rPr>
                    <w:rStyle w:val="Hyperlink"/>
                    <w:rFonts w:cs="Calibri"/>
                    <w:noProof/>
                    <w:lang w:val="en-US"/>
                  </w:rPr>
                  <w:t>2.3</w:t>
                </w:r>
                <w:r>
                  <w:rPr>
                    <w:rFonts w:eastAsiaTheme="minorEastAsia" w:cstheme="minorBidi"/>
                    <w:noProof/>
                    <w:szCs w:val="24"/>
                  </w:rPr>
                  <w:tab/>
                </w:r>
                <w:r w:rsidRPr="00246314">
                  <w:rPr>
                    <w:rStyle w:val="Hyperlink"/>
                    <w:rFonts w:cs="Calibri"/>
                    <w:noProof/>
                    <w:lang w:val="en-US"/>
                  </w:rPr>
                  <w:t>Colonial legal pluralism and racial classifications</w:t>
                </w:r>
                <w:r>
                  <w:rPr>
                    <w:noProof/>
                    <w:webHidden/>
                  </w:rPr>
                  <w:tab/>
                </w:r>
                <w:r>
                  <w:rPr>
                    <w:noProof/>
                    <w:webHidden/>
                  </w:rPr>
                  <w:fldChar w:fldCharType="begin"/>
                </w:r>
                <w:r>
                  <w:rPr>
                    <w:noProof/>
                    <w:webHidden/>
                  </w:rPr>
                  <w:instrText xml:space="preserve"> PAGEREF _Toc234183615 \h </w:instrText>
                </w:r>
                <w:r>
                  <w:rPr>
                    <w:noProof/>
                    <w:webHidden/>
                  </w:rPr>
                </w:r>
                <w:r>
                  <w:rPr>
                    <w:noProof/>
                    <w:webHidden/>
                  </w:rPr>
                  <w:fldChar w:fldCharType="separate"/>
                </w:r>
                <w:r>
                  <w:rPr>
                    <w:noProof/>
                    <w:webHidden/>
                  </w:rPr>
                  <w:t>26</w:t>
                </w:r>
                <w:r>
                  <w:rPr>
                    <w:noProof/>
                    <w:webHidden/>
                  </w:rPr>
                  <w:fldChar w:fldCharType="end"/>
                </w:r>
              </w:hyperlink>
            </w:p>
            <w:p w14:paraId="55D94B02" w14:textId="77777777" w:rsidR="009847E8" w:rsidRDefault="009847E8">
              <w:pPr>
                <w:pStyle w:val="TOC3"/>
                <w:tabs>
                  <w:tab w:val="left" w:pos="1200"/>
                  <w:tab w:val="right" w:leader="dot" w:pos="9062"/>
                </w:tabs>
                <w:rPr>
                  <w:rFonts w:eastAsiaTheme="minorEastAsia" w:cstheme="minorBidi"/>
                  <w:i/>
                  <w:iCs/>
                  <w:noProof/>
                  <w:szCs w:val="24"/>
                </w:rPr>
              </w:pPr>
              <w:hyperlink w:anchor="_Toc234183616" w:history="1">
                <w:r w:rsidRPr="00246314">
                  <w:rPr>
                    <w:rStyle w:val="Hyperlink"/>
                    <w:rFonts w:cs="Calibri"/>
                    <w:noProof/>
                    <w:lang w:val="en-US"/>
                  </w:rPr>
                  <w:t>2.3.1</w:t>
                </w:r>
                <w:r>
                  <w:rPr>
                    <w:rFonts w:eastAsiaTheme="minorEastAsia" w:cstheme="minorBidi"/>
                    <w:noProof/>
                    <w:szCs w:val="24"/>
                  </w:rPr>
                  <w:tab/>
                </w:r>
                <w:r w:rsidRPr="00246314">
                  <w:rPr>
                    <w:rStyle w:val="Hyperlink"/>
                    <w:rFonts w:cs="Calibri"/>
                    <w:noProof/>
                    <w:lang w:val="en-US"/>
                  </w:rPr>
                  <w:t>Racial classifications in the law</w:t>
                </w:r>
                <w:r>
                  <w:rPr>
                    <w:noProof/>
                    <w:webHidden/>
                  </w:rPr>
                  <w:tab/>
                </w:r>
                <w:r>
                  <w:rPr>
                    <w:noProof/>
                    <w:webHidden/>
                  </w:rPr>
                  <w:fldChar w:fldCharType="begin"/>
                </w:r>
                <w:r>
                  <w:rPr>
                    <w:noProof/>
                    <w:webHidden/>
                  </w:rPr>
                  <w:instrText xml:space="preserve"> PAGEREF _Toc234183616 \h </w:instrText>
                </w:r>
                <w:r>
                  <w:rPr>
                    <w:noProof/>
                    <w:webHidden/>
                  </w:rPr>
                </w:r>
                <w:r>
                  <w:rPr>
                    <w:noProof/>
                    <w:webHidden/>
                  </w:rPr>
                  <w:fldChar w:fldCharType="separate"/>
                </w:r>
                <w:r>
                  <w:rPr>
                    <w:noProof/>
                    <w:webHidden/>
                  </w:rPr>
                  <w:t>26</w:t>
                </w:r>
                <w:r>
                  <w:rPr>
                    <w:noProof/>
                    <w:webHidden/>
                  </w:rPr>
                  <w:fldChar w:fldCharType="end"/>
                </w:r>
              </w:hyperlink>
            </w:p>
            <w:p w14:paraId="0C1F675E" w14:textId="77777777" w:rsidR="009847E8" w:rsidRDefault="009847E8">
              <w:pPr>
                <w:pStyle w:val="TOC3"/>
                <w:tabs>
                  <w:tab w:val="left" w:pos="1200"/>
                  <w:tab w:val="right" w:leader="dot" w:pos="9062"/>
                </w:tabs>
                <w:rPr>
                  <w:rFonts w:eastAsiaTheme="minorEastAsia" w:cstheme="minorBidi"/>
                  <w:i/>
                  <w:iCs/>
                  <w:noProof/>
                  <w:szCs w:val="24"/>
                </w:rPr>
              </w:pPr>
              <w:hyperlink w:anchor="_Toc234183617" w:history="1">
                <w:r w:rsidRPr="00246314">
                  <w:rPr>
                    <w:rStyle w:val="Hyperlink"/>
                    <w:rFonts w:cs="Calibri"/>
                    <w:noProof/>
                    <w:lang w:val="en-US"/>
                  </w:rPr>
                  <w:t>2.3.2</w:t>
                </w:r>
                <w:r>
                  <w:rPr>
                    <w:rFonts w:eastAsiaTheme="minorEastAsia" w:cstheme="minorBidi"/>
                    <w:noProof/>
                    <w:szCs w:val="24"/>
                  </w:rPr>
                  <w:tab/>
                </w:r>
                <w:r w:rsidRPr="00246314">
                  <w:rPr>
                    <w:rStyle w:val="Hyperlink"/>
                    <w:rFonts w:cs="Calibri"/>
                    <w:noProof/>
                    <w:lang w:val="en-US"/>
                  </w:rPr>
                  <w:t>Racial categories beyond the legal system</w:t>
                </w:r>
                <w:r>
                  <w:rPr>
                    <w:noProof/>
                    <w:webHidden/>
                  </w:rPr>
                  <w:tab/>
                </w:r>
                <w:r>
                  <w:rPr>
                    <w:noProof/>
                    <w:webHidden/>
                  </w:rPr>
                  <w:fldChar w:fldCharType="begin"/>
                </w:r>
                <w:r>
                  <w:rPr>
                    <w:noProof/>
                    <w:webHidden/>
                  </w:rPr>
                  <w:instrText xml:space="preserve"> PAGEREF _Toc234183617 \h </w:instrText>
                </w:r>
                <w:r>
                  <w:rPr>
                    <w:noProof/>
                    <w:webHidden/>
                  </w:rPr>
                </w:r>
                <w:r>
                  <w:rPr>
                    <w:noProof/>
                    <w:webHidden/>
                  </w:rPr>
                  <w:fldChar w:fldCharType="separate"/>
                </w:r>
                <w:r>
                  <w:rPr>
                    <w:noProof/>
                    <w:webHidden/>
                  </w:rPr>
                  <w:t>29</w:t>
                </w:r>
                <w:r>
                  <w:rPr>
                    <w:noProof/>
                    <w:webHidden/>
                  </w:rPr>
                  <w:fldChar w:fldCharType="end"/>
                </w:r>
              </w:hyperlink>
            </w:p>
            <w:p w14:paraId="2BCD3A3F" w14:textId="77777777" w:rsidR="009847E8" w:rsidRDefault="009847E8">
              <w:pPr>
                <w:pStyle w:val="TOC2"/>
                <w:tabs>
                  <w:tab w:val="left" w:pos="800"/>
                  <w:tab w:val="right" w:leader="dot" w:pos="9062"/>
                </w:tabs>
                <w:rPr>
                  <w:rFonts w:eastAsiaTheme="minorEastAsia" w:cstheme="minorBidi"/>
                  <w:smallCaps/>
                  <w:noProof/>
                  <w:szCs w:val="24"/>
                </w:rPr>
              </w:pPr>
              <w:hyperlink w:anchor="_Toc234183618" w:history="1">
                <w:r w:rsidRPr="00246314">
                  <w:rPr>
                    <w:rStyle w:val="Hyperlink"/>
                    <w:rFonts w:cs="Calibri"/>
                    <w:noProof/>
                    <w:lang w:val="en-US"/>
                  </w:rPr>
                  <w:t>2.4</w:t>
                </w:r>
                <w:r>
                  <w:rPr>
                    <w:rFonts w:eastAsiaTheme="minorEastAsia" w:cstheme="minorBidi"/>
                    <w:noProof/>
                    <w:szCs w:val="24"/>
                  </w:rPr>
                  <w:tab/>
                </w:r>
                <w:r w:rsidRPr="00246314">
                  <w:rPr>
                    <w:rStyle w:val="Hyperlink"/>
                    <w:rFonts w:cs="Calibri"/>
                    <w:noProof/>
                    <w:lang w:val="en-US"/>
                  </w:rPr>
                  <w:t>Conclusion</w:t>
                </w:r>
                <w:r>
                  <w:rPr>
                    <w:noProof/>
                    <w:webHidden/>
                  </w:rPr>
                  <w:tab/>
                </w:r>
                <w:r>
                  <w:rPr>
                    <w:noProof/>
                    <w:webHidden/>
                  </w:rPr>
                  <w:fldChar w:fldCharType="begin"/>
                </w:r>
                <w:r>
                  <w:rPr>
                    <w:noProof/>
                    <w:webHidden/>
                  </w:rPr>
                  <w:instrText xml:space="preserve"> PAGEREF _Toc234183618 \h </w:instrText>
                </w:r>
                <w:r>
                  <w:rPr>
                    <w:noProof/>
                    <w:webHidden/>
                  </w:rPr>
                </w:r>
                <w:r>
                  <w:rPr>
                    <w:noProof/>
                    <w:webHidden/>
                  </w:rPr>
                  <w:fldChar w:fldCharType="separate"/>
                </w:r>
                <w:r>
                  <w:rPr>
                    <w:noProof/>
                    <w:webHidden/>
                  </w:rPr>
                  <w:t>30</w:t>
                </w:r>
                <w:r>
                  <w:rPr>
                    <w:noProof/>
                    <w:webHidden/>
                  </w:rPr>
                  <w:fldChar w:fldCharType="end"/>
                </w:r>
              </w:hyperlink>
            </w:p>
            <w:p w14:paraId="7B404618" w14:textId="77777777" w:rsidR="009847E8" w:rsidRDefault="009847E8">
              <w:pPr>
                <w:pStyle w:val="TOC1"/>
                <w:tabs>
                  <w:tab w:val="left" w:pos="600"/>
                  <w:tab w:val="right" w:leader="dot" w:pos="9062"/>
                </w:tabs>
                <w:rPr>
                  <w:rFonts w:eastAsiaTheme="minorEastAsia" w:cstheme="minorBidi"/>
                  <w:b w:val="0"/>
                  <w:bCs w:val="0"/>
                  <w:caps/>
                  <w:noProof/>
                </w:rPr>
              </w:pPr>
              <w:hyperlink w:anchor="_Toc234183619" w:history="1">
                <w:r w:rsidRPr="00246314">
                  <w:rPr>
                    <w:rStyle w:val="Hyperlink"/>
                    <w:rFonts w:cs="Calibri"/>
                    <w:noProof/>
                    <w:lang w:val="en-US"/>
                  </w:rPr>
                  <w:t>3.</w:t>
                </w:r>
                <w:r>
                  <w:rPr>
                    <w:rFonts w:eastAsiaTheme="minorEastAsia" w:cstheme="minorBidi"/>
                    <w:b w:val="0"/>
                    <w:bCs w:val="0"/>
                    <w:noProof/>
                  </w:rPr>
                  <w:tab/>
                </w:r>
                <w:r w:rsidRPr="00246314">
                  <w:rPr>
                    <w:rStyle w:val="Hyperlink"/>
                    <w:rFonts w:cs="Calibri"/>
                    <w:noProof/>
                    <w:lang w:val="en-US"/>
                  </w:rPr>
                  <w:t>Separating Children, Securing Race</w:t>
                </w:r>
                <w:r>
                  <w:rPr>
                    <w:noProof/>
                    <w:webHidden/>
                  </w:rPr>
                  <w:tab/>
                </w:r>
                <w:r>
                  <w:rPr>
                    <w:noProof/>
                    <w:webHidden/>
                  </w:rPr>
                  <w:fldChar w:fldCharType="begin"/>
                </w:r>
                <w:r>
                  <w:rPr>
                    <w:noProof/>
                    <w:webHidden/>
                  </w:rPr>
                  <w:instrText xml:space="preserve"> PAGEREF _Toc234183619 \h </w:instrText>
                </w:r>
                <w:r>
                  <w:rPr>
                    <w:noProof/>
                    <w:webHidden/>
                  </w:rPr>
                </w:r>
                <w:r>
                  <w:rPr>
                    <w:noProof/>
                    <w:webHidden/>
                  </w:rPr>
                  <w:fldChar w:fldCharType="separate"/>
                </w:r>
                <w:r>
                  <w:rPr>
                    <w:noProof/>
                    <w:webHidden/>
                  </w:rPr>
                  <w:t>31</w:t>
                </w:r>
                <w:r>
                  <w:rPr>
                    <w:noProof/>
                    <w:webHidden/>
                  </w:rPr>
                  <w:fldChar w:fldCharType="end"/>
                </w:r>
              </w:hyperlink>
            </w:p>
            <w:p w14:paraId="6BCE044C" w14:textId="77777777" w:rsidR="009847E8" w:rsidRDefault="009847E8">
              <w:pPr>
                <w:pStyle w:val="TOC2"/>
                <w:tabs>
                  <w:tab w:val="left" w:pos="800"/>
                  <w:tab w:val="right" w:leader="dot" w:pos="9062"/>
                </w:tabs>
                <w:rPr>
                  <w:rFonts w:eastAsiaTheme="minorEastAsia" w:cstheme="minorBidi"/>
                  <w:smallCaps/>
                  <w:noProof/>
                  <w:szCs w:val="24"/>
                </w:rPr>
              </w:pPr>
              <w:hyperlink w:anchor="_Toc234183620" w:history="1">
                <w:r w:rsidRPr="00246314">
                  <w:rPr>
                    <w:rStyle w:val="Hyperlink"/>
                    <w:rFonts w:cs="Calibri"/>
                    <w:noProof/>
                    <w:lang w:val="en-US"/>
                  </w:rPr>
                  <w:t>3.1</w:t>
                </w:r>
                <w:r>
                  <w:rPr>
                    <w:rFonts w:eastAsiaTheme="minorEastAsia" w:cstheme="minorBidi"/>
                    <w:noProof/>
                    <w:szCs w:val="24"/>
                  </w:rPr>
                  <w:tab/>
                </w:r>
                <w:r w:rsidRPr="00246314">
                  <w:rPr>
                    <w:rStyle w:val="Hyperlink"/>
                    <w:rFonts w:cs="Calibri"/>
                    <w:noProof/>
                    <w:lang w:val="en-US"/>
                  </w:rPr>
                  <w:t>The child as a local center of power-knowledge</w:t>
                </w:r>
                <w:r>
                  <w:rPr>
                    <w:noProof/>
                    <w:webHidden/>
                  </w:rPr>
                  <w:tab/>
                </w:r>
                <w:r>
                  <w:rPr>
                    <w:noProof/>
                    <w:webHidden/>
                  </w:rPr>
                  <w:fldChar w:fldCharType="begin"/>
                </w:r>
                <w:r>
                  <w:rPr>
                    <w:noProof/>
                    <w:webHidden/>
                  </w:rPr>
                  <w:instrText xml:space="preserve"> PAGEREF _Toc234183620 \h </w:instrText>
                </w:r>
                <w:r>
                  <w:rPr>
                    <w:noProof/>
                    <w:webHidden/>
                  </w:rPr>
                </w:r>
                <w:r>
                  <w:rPr>
                    <w:noProof/>
                    <w:webHidden/>
                  </w:rPr>
                  <w:fldChar w:fldCharType="separate"/>
                </w:r>
                <w:r>
                  <w:rPr>
                    <w:noProof/>
                    <w:webHidden/>
                  </w:rPr>
                  <w:t>31</w:t>
                </w:r>
                <w:r>
                  <w:rPr>
                    <w:noProof/>
                    <w:webHidden/>
                  </w:rPr>
                  <w:fldChar w:fldCharType="end"/>
                </w:r>
              </w:hyperlink>
            </w:p>
            <w:p w14:paraId="5987C1EE" w14:textId="77777777" w:rsidR="009847E8" w:rsidRDefault="009847E8">
              <w:pPr>
                <w:pStyle w:val="TOC3"/>
                <w:tabs>
                  <w:tab w:val="left" w:pos="1200"/>
                  <w:tab w:val="right" w:leader="dot" w:pos="9062"/>
                </w:tabs>
                <w:rPr>
                  <w:rFonts w:eastAsiaTheme="minorEastAsia" w:cstheme="minorBidi"/>
                  <w:i/>
                  <w:iCs/>
                  <w:noProof/>
                  <w:szCs w:val="24"/>
                </w:rPr>
              </w:pPr>
              <w:hyperlink w:anchor="_Toc234183621" w:history="1">
                <w:r w:rsidRPr="00246314">
                  <w:rPr>
                    <w:rStyle w:val="Hyperlink"/>
                    <w:rFonts w:cs="Calibri"/>
                    <w:noProof/>
                    <w:lang w:val="en-US"/>
                  </w:rPr>
                  <w:t>3.1.1</w:t>
                </w:r>
                <w:r>
                  <w:rPr>
                    <w:rFonts w:eastAsiaTheme="minorEastAsia" w:cstheme="minorBidi"/>
                    <w:noProof/>
                    <w:szCs w:val="24"/>
                  </w:rPr>
                  <w:tab/>
                </w:r>
                <w:r w:rsidRPr="00246314">
                  <w:rPr>
                    <w:rStyle w:val="Hyperlink"/>
                    <w:rFonts w:cs="Calibri"/>
                    <w:noProof/>
                    <w:lang w:val="en-US"/>
                  </w:rPr>
                  <w:t>Degeneration of European and Eurasian children</w:t>
                </w:r>
                <w:r>
                  <w:rPr>
                    <w:noProof/>
                    <w:webHidden/>
                  </w:rPr>
                  <w:tab/>
                </w:r>
                <w:r>
                  <w:rPr>
                    <w:noProof/>
                    <w:webHidden/>
                  </w:rPr>
                  <w:fldChar w:fldCharType="begin"/>
                </w:r>
                <w:r>
                  <w:rPr>
                    <w:noProof/>
                    <w:webHidden/>
                  </w:rPr>
                  <w:instrText xml:space="preserve"> PAGEREF _Toc234183621 \h </w:instrText>
                </w:r>
                <w:r>
                  <w:rPr>
                    <w:noProof/>
                    <w:webHidden/>
                  </w:rPr>
                </w:r>
                <w:r>
                  <w:rPr>
                    <w:noProof/>
                    <w:webHidden/>
                  </w:rPr>
                  <w:fldChar w:fldCharType="separate"/>
                </w:r>
                <w:r>
                  <w:rPr>
                    <w:noProof/>
                    <w:webHidden/>
                  </w:rPr>
                  <w:t>31</w:t>
                </w:r>
                <w:r>
                  <w:rPr>
                    <w:noProof/>
                    <w:webHidden/>
                  </w:rPr>
                  <w:fldChar w:fldCharType="end"/>
                </w:r>
              </w:hyperlink>
            </w:p>
            <w:p w14:paraId="4827BE12" w14:textId="77777777" w:rsidR="009847E8" w:rsidRDefault="009847E8">
              <w:pPr>
                <w:pStyle w:val="TOC2"/>
                <w:tabs>
                  <w:tab w:val="left" w:pos="800"/>
                  <w:tab w:val="right" w:leader="dot" w:pos="9062"/>
                </w:tabs>
                <w:rPr>
                  <w:rFonts w:eastAsiaTheme="minorEastAsia" w:cstheme="minorBidi"/>
                  <w:smallCaps/>
                  <w:noProof/>
                  <w:szCs w:val="24"/>
                </w:rPr>
              </w:pPr>
              <w:hyperlink w:anchor="_Toc234183622" w:history="1">
                <w:r w:rsidRPr="00246314">
                  <w:rPr>
                    <w:rStyle w:val="Hyperlink"/>
                    <w:noProof/>
                    <w:lang w:val="en-US"/>
                  </w:rPr>
                  <w:t>3.2</w:t>
                </w:r>
                <w:r>
                  <w:rPr>
                    <w:rFonts w:eastAsiaTheme="minorEastAsia" w:cstheme="minorBidi"/>
                    <w:noProof/>
                    <w:szCs w:val="24"/>
                  </w:rPr>
                  <w:tab/>
                </w:r>
                <w:r w:rsidRPr="00246314">
                  <w:rPr>
                    <w:rStyle w:val="Hyperlink"/>
                    <w:noProof/>
                    <w:lang w:val="en-US"/>
                  </w:rPr>
                  <w:t>Discourses on child separation</w:t>
                </w:r>
                <w:r>
                  <w:rPr>
                    <w:noProof/>
                    <w:webHidden/>
                  </w:rPr>
                  <w:tab/>
                </w:r>
                <w:r>
                  <w:rPr>
                    <w:noProof/>
                    <w:webHidden/>
                  </w:rPr>
                  <w:fldChar w:fldCharType="begin"/>
                </w:r>
                <w:r>
                  <w:rPr>
                    <w:noProof/>
                    <w:webHidden/>
                  </w:rPr>
                  <w:instrText xml:space="preserve"> PAGEREF _Toc234183622 \h </w:instrText>
                </w:r>
                <w:r>
                  <w:rPr>
                    <w:noProof/>
                    <w:webHidden/>
                  </w:rPr>
                </w:r>
                <w:r>
                  <w:rPr>
                    <w:noProof/>
                    <w:webHidden/>
                  </w:rPr>
                  <w:fldChar w:fldCharType="separate"/>
                </w:r>
                <w:r>
                  <w:rPr>
                    <w:noProof/>
                    <w:webHidden/>
                  </w:rPr>
                  <w:t>34</w:t>
                </w:r>
                <w:r>
                  <w:rPr>
                    <w:noProof/>
                    <w:webHidden/>
                  </w:rPr>
                  <w:fldChar w:fldCharType="end"/>
                </w:r>
              </w:hyperlink>
            </w:p>
            <w:p w14:paraId="37B3A6FC" w14:textId="77777777" w:rsidR="009847E8" w:rsidRDefault="009847E8">
              <w:pPr>
                <w:pStyle w:val="TOC3"/>
                <w:tabs>
                  <w:tab w:val="left" w:pos="1200"/>
                  <w:tab w:val="right" w:leader="dot" w:pos="9062"/>
                </w:tabs>
                <w:rPr>
                  <w:rFonts w:eastAsiaTheme="minorEastAsia" w:cstheme="minorBidi"/>
                  <w:i/>
                  <w:iCs/>
                  <w:noProof/>
                  <w:szCs w:val="24"/>
                </w:rPr>
              </w:pPr>
              <w:hyperlink w:anchor="_Toc234183623" w:history="1">
                <w:r w:rsidRPr="00246314">
                  <w:rPr>
                    <w:rStyle w:val="Hyperlink"/>
                    <w:rFonts w:cs="Calibri"/>
                    <w:noProof/>
                    <w:lang w:val="en-US"/>
                  </w:rPr>
                  <w:t>3.2.1</w:t>
                </w:r>
                <w:r>
                  <w:rPr>
                    <w:rFonts w:eastAsiaTheme="minorEastAsia" w:cstheme="minorBidi"/>
                    <w:noProof/>
                    <w:szCs w:val="24"/>
                  </w:rPr>
                  <w:tab/>
                </w:r>
                <w:r w:rsidRPr="00246314">
                  <w:rPr>
                    <w:rStyle w:val="Hyperlink"/>
                    <w:rFonts w:cs="Calibri"/>
                    <w:noProof/>
                    <w:lang w:val="en-US"/>
                  </w:rPr>
                  <w:t>Preventing pauperism among Indo-Europeans</w:t>
                </w:r>
                <w:r>
                  <w:rPr>
                    <w:noProof/>
                    <w:webHidden/>
                  </w:rPr>
                  <w:tab/>
                </w:r>
                <w:r>
                  <w:rPr>
                    <w:noProof/>
                    <w:webHidden/>
                  </w:rPr>
                  <w:fldChar w:fldCharType="begin"/>
                </w:r>
                <w:r>
                  <w:rPr>
                    <w:noProof/>
                    <w:webHidden/>
                  </w:rPr>
                  <w:instrText xml:space="preserve"> PAGEREF _Toc234183623 \h </w:instrText>
                </w:r>
                <w:r>
                  <w:rPr>
                    <w:noProof/>
                    <w:webHidden/>
                  </w:rPr>
                </w:r>
                <w:r>
                  <w:rPr>
                    <w:noProof/>
                    <w:webHidden/>
                  </w:rPr>
                  <w:fldChar w:fldCharType="separate"/>
                </w:r>
                <w:r>
                  <w:rPr>
                    <w:noProof/>
                    <w:webHidden/>
                  </w:rPr>
                  <w:t>34</w:t>
                </w:r>
                <w:r>
                  <w:rPr>
                    <w:noProof/>
                    <w:webHidden/>
                  </w:rPr>
                  <w:fldChar w:fldCharType="end"/>
                </w:r>
              </w:hyperlink>
            </w:p>
            <w:p w14:paraId="0219E15A" w14:textId="77777777" w:rsidR="009847E8" w:rsidRDefault="009847E8">
              <w:pPr>
                <w:pStyle w:val="TOC3"/>
                <w:tabs>
                  <w:tab w:val="left" w:pos="1200"/>
                  <w:tab w:val="right" w:leader="dot" w:pos="9062"/>
                </w:tabs>
                <w:rPr>
                  <w:rFonts w:eastAsiaTheme="minorEastAsia" w:cstheme="minorBidi"/>
                  <w:i/>
                  <w:iCs/>
                  <w:noProof/>
                  <w:szCs w:val="24"/>
                </w:rPr>
              </w:pPr>
              <w:hyperlink w:anchor="_Toc234183624" w:history="1">
                <w:r w:rsidRPr="00246314">
                  <w:rPr>
                    <w:rStyle w:val="Hyperlink"/>
                    <w:rFonts w:cs="Calibri"/>
                    <w:noProof/>
                    <w:lang w:val="en-US"/>
                  </w:rPr>
                  <w:t>3.2.2</w:t>
                </w:r>
                <w:r>
                  <w:rPr>
                    <w:rFonts w:eastAsiaTheme="minorEastAsia" w:cstheme="minorBidi"/>
                    <w:noProof/>
                    <w:szCs w:val="24"/>
                  </w:rPr>
                  <w:tab/>
                </w:r>
                <w:r w:rsidRPr="00246314">
                  <w:rPr>
                    <w:rStyle w:val="Hyperlink"/>
                    <w:rFonts w:cs="Calibri"/>
                    <w:noProof/>
                    <w:lang w:val="en-US"/>
                  </w:rPr>
                  <w:t>The njai as a ‘bad’ mother</w:t>
                </w:r>
                <w:r>
                  <w:rPr>
                    <w:noProof/>
                    <w:webHidden/>
                  </w:rPr>
                  <w:tab/>
                </w:r>
                <w:r>
                  <w:rPr>
                    <w:noProof/>
                    <w:webHidden/>
                  </w:rPr>
                  <w:fldChar w:fldCharType="begin"/>
                </w:r>
                <w:r>
                  <w:rPr>
                    <w:noProof/>
                    <w:webHidden/>
                  </w:rPr>
                  <w:instrText xml:space="preserve"> PAGEREF _Toc234183624 \h </w:instrText>
                </w:r>
                <w:r>
                  <w:rPr>
                    <w:noProof/>
                    <w:webHidden/>
                  </w:rPr>
                </w:r>
                <w:r>
                  <w:rPr>
                    <w:noProof/>
                    <w:webHidden/>
                  </w:rPr>
                  <w:fldChar w:fldCharType="separate"/>
                </w:r>
                <w:r>
                  <w:rPr>
                    <w:noProof/>
                    <w:webHidden/>
                  </w:rPr>
                  <w:t>37</w:t>
                </w:r>
                <w:r>
                  <w:rPr>
                    <w:noProof/>
                    <w:webHidden/>
                  </w:rPr>
                  <w:fldChar w:fldCharType="end"/>
                </w:r>
              </w:hyperlink>
            </w:p>
            <w:p w14:paraId="35E6D7F8" w14:textId="77777777" w:rsidR="009847E8" w:rsidRDefault="009847E8">
              <w:pPr>
                <w:pStyle w:val="TOC3"/>
                <w:tabs>
                  <w:tab w:val="left" w:pos="1200"/>
                  <w:tab w:val="right" w:leader="dot" w:pos="9062"/>
                </w:tabs>
                <w:rPr>
                  <w:rFonts w:eastAsiaTheme="minorEastAsia" w:cstheme="minorBidi"/>
                  <w:i/>
                  <w:iCs/>
                  <w:noProof/>
                  <w:szCs w:val="24"/>
                </w:rPr>
              </w:pPr>
              <w:hyperlink w:anchor="_Toc234183625" w:history="1">
                <w:r w:rsidRPr="00246314">
                  <w:rPr>
                    <w:rStyle w:val="Hyperlink"/>
                    <w:rFonts w:cs="Calibri"/>
                    <w:noProof/>
                    <w:lang w:val="en-US"/>
                  </w:rPr>
                  <w:t>3.2.3</w:t>
                </w:r>
                <w:r>
                  <w:rPr>
                    <w:rFonts w:eastAsiaTheme="minorEastAsia" w:cstheme="minorBidi"/>
                    <w:noProof/>
                    <w:szCs w:val="24"/>
                  </w:rPr>
                  <w:tab/>
                </w:r>
                <w:r w:rsidRPr="00246314">
                  <w:rPr>
                    <w:rStyle w:val="Hyperlink"/>
                    <w:rFonts w:cs="Calibri"/>
                    <w:noProof/>
                    <w:lang w:val="en-US"/>
                  </w:rPr>
                  <w:t>Child separation practices legitimized by law</w:t>
                </w:r>
                <w:r>
                  <w:rPr>
                    <w:noProof/>
                    <w:webHidden/>
                  </w:rPr>
                  <w:tab/>
                </w:r>
                <w:r>
                  <w:rPr>
                    <w:noProof/>
                    <w:webHidden/>
                  </w:rPr>
                  <w:fldChar w:fldCharType="begin"/>
                </w:r>
                <w:r>
                  <w:rPr>
                    <w:noProof/>
                    <w:webHidden/>
                  </w:rPr>
                  <w:instrText xml:space="preserve"> PAGEREF _Toc234183625 \h </w:instrText>
                </w:r>
                <w:r>
                  <w:rPr>
                    <w:noProof/>
                    <w:webHidden/>
                  </w:rPr>
                </w:r>
                <w:r>
                  <w:rPr>
                    <w:noProof/>
                    <w:webHidden/>
                  </w:rPr>
                  <w:fldChar w:fldCharType="separate"/>
                </w:r>
                <w:r>
                  <w:rPr>
                    <w:noProof/>
                    <w:webHidden/>
                  </w:rPr>
                  <w:t>39</w:t>
                </w:r>
                <w:r>
                  <w:rPr>
                    <w:noProof/>
                    <w:webHidden/>
                  </w:rPr>
                  <w:fldChar w:fldCharType="end"/>
                </w:r>
              </w:hyperlink>
            </w:p>
            <w:p w14:paraId="73F80741" w14:textId="77777777" w:rsidR="009847E8" w:rsidRDefault="009847E8">
              <w:pPr>
                <w:pStyle w:val="TOC2"/>
                <w:tabs>
                  <w:tab w:val="left" w:pos="800"/>
                  <w:tab w:val="right" w:leader="dot" w:pos="9062"/>
                </w:tabs>
                <w:rPr>
                  <w:rFonts w:eastAsiaTheme="minorEastAsia" w:cstheme="minorBidi"/>
                  <w:smallCaps/>
                  <w:noProof/>
                  <w:szCs w:val="24"/>
                </w:rPr>
              </w:pPr>
              <w:hyperlink w:anchor="_Toc234183626" w:history="1">
                <w:r w:rsidRPr="00246314">
                  <w:rPr>
                    <w:rStyle w:val="Hyperlink"/>
                    <w:rFonts w:cs="Calibri"/>
                    <w:noProof/>
                    <w:lang w:val="en-US"/>
                  </w:rPr>
                  <w:t>3.3</w:t>
                </w:r>
                <w:r>
                  <w:rPr>
                    <w:rFonts w:eastAsiaTheme="minorEastAsia" w:cstheme="minorBidi"/>
                    <w:noProof/>
                    <w:szCs w:val="24"/>
                  </w:rPr>
                  <w:tab/>
                </w:r>
                <w:r w:rsidRPr="00246314">
                  <w:rPr>
                    <w:rStyle w:val="Hyperlink"/>
                    <w:rFonts w:cs="Calibri"/>
                    <w:noProof/>
                    <w:lang w:val="en-US"/>
                  </w:rPr>
                  <w:t>Producing productive citizens</w:t>
                </w:r>
                <w:r>
                  <w:rPr>
                    <w:noProof/>
                    <w:webHidden/>
                  </w:rPr>
                  <w:tab/>
                </w:r>
                <w:r>
                  <w:rPr>
                    <w:noProof/>
                    <w:webHidden/>
                  </w:rPr>
                  <w:fldChar w:fldCharType="begin"/>
                </w:r>
                <w:r>
                  <w:rPr>
                    <w:noProof/>
                    <w:webHidden/>
                  </w:rPr>
                  <w:instrText xml:space="preserve"> PAGEREF _Toc234183626 \h </w:instrText>
                </w:r>
                <w:r>
                  <w:rPr>
                    <w:noProof/>
                    <w:webHidden/>
                  </w:rPr>
                </w:r>
                <w:r>
                  <w:rPr>
                    <w:noProof/>
                    <w:webHidden/>
                  </w:rPr>
                  <w:fldChar w:fldCharType="separate"/>
                </w:r>
                <w:r>
                  <w:rPr>
                    <w:noProof/>
                    <w:webHidden/>
                  </w:rPr>
                  <w:t>42</w:t>
                </w:r>
                <w:r>
                  <w:rPr>
                    <w:noProof/>
                    <w:webHidden/>
                  </w:rPr>
                  <w:fldChar w:fldCharType="end"/>
                </w:r>
              </w:hyperlink>
            </w:p>
            <w:p w14:paraId="0D3B485F" w14:textId="77777777" w:rsidR="009847E8" w:rsidRDefault="009847E8">
              <w:pPr>
                <w:pStyle w:val="TOC2"/>
                <w:tabs>
                  <w:tab w:val="left" w:pos="800"/>
                  <w:tab w:val="right" w:leader="dot" w:pos="9062"/>
                </w:tabs>
                <w:rPr>
                  <w:rFonts w:eastAsiaTheme="minorEastAsia" w:cstheme="minorBidi"/>
                  <w:smallCaps/>
                  <w:noProof/>
                  <w:szCs w:val="24"/>
                </w:rPr>
              </w:pPr>
              <w:hyperlink w:anchor="_Toc234183627" w:history="1">
                <w:r w:rsidRPr="00246314">
                  <w:rPr>
                    <w:rStyle w:val="Hyperlink"/>
                    <w:rFonts w:cs="Calibri"/>
                    <w:noProof/>
                    <w:lang w:val="en-US"/>
                  </w:rPr>
                  <w:t>3.4</w:t>
                </w:r>
                <w:r>
                  <w:rPr>
                    <w:rFonts w:eastAsiaTheme="minorEastAsia" w:cstheme="minorBidi"/>
                    <w:noProof/>
                    <w:szCs w:val="24"/>
                  </w:rPr>
                  <w:tab/>
                </w:r>
                <w:r w:rsidRPr="00246314">
                  <w:rPr>
                    <w:rStyle w:val="Hyperlink"/>
                    <w:rFonts w:cs="Calibri"/>
                    <w:noProof/>
                    <w:lang w:val="en-US"/>
                  </w:rPr>
                  <w:t>Conclusion</w:t>
                </w:r>
                <w:r>
                  <w:rPr>
                    <w:noProof/>
                    <w:webHidden/>
                  </w:rPr>
                  <w:tab/>
                </w:r>
                <w:r>
                  <w:rPr>
                    <w:noProof/>
                    <w:webHidden/>
                  </w:rPr>
                  <w:fldChar w:fldCharType="begin"/>
                </w:r>
                <w:r>
                  <w:rPr>
                    <w:noProof/>
                    <w:webHidden/>
                  </w:rPr>
                  <w:instrText xml:space="preserve"> PAGEREF _Toc234183627 \h </w:instrText>
                </w:r>
                <w:r>
                  <w:rPr>
                    <w:noProof/>
                    <w:webHidden/>
                  </w:rPr>
                </w:r>
                <w:r>
                  <w:rPr>
                    <w:noProof/>
                    <w:webHidden/>
                  </w:rPr>
                  <w:fldChar w:fldCharType="separate"/>
                </w:r>
                <w:r>
                  <w:rPr>
                    <w:noProof/>
                    <w:webHidden/>
                  </w:rPr>
                  <w:t>43</w:t>
                </w:r>
                <w:r>
                  <w:rPr>
                    <w:noProof/>
                    <w:webHidden/>
                  </w:rPr>
                  <w:fldChar w:fldCharType="end"/>
                </w:r>
              </w:hyperlink>
            </w:p>
            <w:p w14:paraId="36540C73" w14:textId="77777777" w:rsidR="009847E8" w:rsidRDefault="009847E8">
              <w:pPr>
                <w:pStyle w:val="TOC1"/>
                <w:tabs>
                  <w:tab w:val="right" w:leader="dot" w:pos="9062"/>
                </w:tabs>
                <w:rPr>
                  <w:rFonts w:eastAsiaTheme="minorEastAsia" w:cstheme="minorBidi"/>
                  <w:b w:val="0"/>
                  <w:bCs w:val="0"/>
                  <w:caps/>
                  <w:noProof/>
                </w:rPr>
              </w:pPr>
              <w:hyperlink w:anchor="_Toc234183628" w:history="1">
                <w:r w:rsidRPr="00246314">
                  <w:rPr>
                    <w:rStyle w:val="Hyperlink"/>
                    <w:noProof/>
                    <w:lang w:val="en-US"/>
                  </w:rPr>
                  <w:t>Conclusion</w:t>
                </w:r>
                <w:r>
                  <w:rPr>
                    <w:noProof/>
                    <w:webHidden/>
                  </w:rPr>
                  <w:tab/>
                </w:r>
                <w:r>
                  <w:rPr>
                    <w:noProof/>
                    <w:webHidden/>
                  </w:rPr>
                  <w:fldChar w:fldCharType="begin"/>
                </w:r>
                <w:r>
                  <w:rPr>
                    <w:noProof/>
                    <w:webHidden/>
                  </w:rPr>
                  <w:instrText xml:space="preserve"> PAGEREF _Toc234183628 \h </w:instrText>
                </w:r>
                <w:r>
                  <w:rPr>
                    <w:noProof/>
                    <w:webHidden/>
                  </w:rPr>
                </w:r>
                <w:r>
                  <w:rPr>
                    <w:noProof/>
                    <w:webHidden/>
                  </w:rPr>
                  <w:fldChar w:fldCharType="separate"/>
                </w:r>
                <w:r>
                  <w:rPr>
                    <w:noProof/>
                    <w:webHidden/>
                  </w:rPr>
                  <w:t>45</w:t>
                </w:r>
                <w:r>
                  <w:rPr>
                    <w:noProof/>
                    <w:webHidden/>
                  </w:rPr>
                  <w:fldChar w:fldCharType="end"/>
                </w:r>
              </w:hyperlink>
            </w:p>
            <w:p w14:paraId="516E6A7F" w14:textId="77777777" w:rsidR="009847E8" w:rsidRDefault="009847E8">
              <w:pPr>
                <w:pStyle w:val="TOC1"/>
                <w:tabs>
                  <w:tab w:val="right" w:leader="dot" w:pos="9062"/>
                </w:tabs>
                <w:rPr>
                  <w:rFonts w:eastAsiaTheme="minorEastAsia" w:cstheme="minorBidi"/>
                  <w:b w:val="0"/>
                  <w:bCs w:val="0"/>
                  <w:caps/>
                  <w:noProof/>
                </w:rPr>
              </w:pPr>
              <w:hyperlink w:anchor="_Toc234183629" w:history="1">
                <w:r w:rsidRPr="00246314">
                  <w:rPr>
                    <w:rStyle w:val="Hyperlink"/>
                    <w:rFonts w:cs="Calibri"/>
                    <w:noProof/>
                    <w:lang w:val="en-US"/>
                  </w:rPr>
                  <w:t>Bibliography</w:t>
                </w:r>
                <w:r>
                  <w:rPr>
                    <w:noProof/>
                    <w:webHidden/>
                  </w:rPr>
                  <w:tab/>
                </w:r>
                <w:r>
                  <w:rPr>
                    <w:noProof/>
                    <w:webHidden/>
                  </w:rPr>
                  <w:fldChar w:fldCharType="begin"/>
                </w:r>
                <w:r>
                  <w:rPr>
                    <w:noProof/>
                    <w:webHidden/>
                  </w:rPr>
                  <w:instrText xml:space="preserve"> PAGEREF _Toc234183629 \h </w:instrText>
                </w:r>
                <w:r>
                  <w:rPr>
                    <w:noProof/>
                    <w:webHidden/>
                  </w:rPr>
                </w:r>
                <w:r>
                  <w:rPr>
                    <w:noProof/>
                    <w:webHidden/>
                  </w:rPr>
                  <w:fldChar w:fldCharType="separate"/>
                </w:r>
                <w:r>
                  <w:rPr>
                    <w:noProof/>
                    <w:webHidden/>
                  </w:rPr>
                  <w:t>47</w:t>
                </w:r>
                <w:r>
                  <w:rPr>
                    <w:noProof/>
                    <w:webHidden/>
                  </w:rPr>
                  <w:fldChar w:fldCharType="end"/>
                </w:r>
              </w:hyperlink>
            </w:p>
            <w:p w14:paraId="13F8785C" w14:textId="77777777" w:rsidR="009847E8" w:rsidRDefault="009847E8" w:rsidP="000D6B84">
              <w:pPr>
                <w:pStyle w:val="TOC1"/>
                <w:tabs>
                  <w:tab w:val="right" w:pos="8828"/>
                </w:tabs>
                <w:spacing w:line="276" w:lineRule="auto"/>
                <w:rPr>
                  <w:noProof/>
                </w:rPr>
              </w:pPr>
              <w:r w:rsidRPr="009C66BF">
                <w:rPr>
                  <w:rFonts w:ascii="Calibri" w:hAnsi="Calibri" w:cs="Calibri"/>
                </w:rPr>
                <w:fldChar w:fldCharType="end"/>
              </w:r>
            </w:p>
          </w:sdtContent>
        </w:sdt>
      </w:sdtContent>
    </w:sdt>
    <w:p w14:paraId="3E2E1C51" w14:textId="77777777" w:rsidR="009847E8" w:rsidRDefault="009847E8" w:rsidP="000D6B84">
      <w:pPr>
        <w:pStyle w:val="Maxhoofdteks"/>
        <w:spacing w:after="0" w:line="276" w:lineRule="auto"/>
        <w:ind w:left="0"/>
        <w:rPr>
          <w:rFonts w:cs="Calibri"/>
          <w:b/>
          <w:bCs/>
          <w:lang w:val="en-US"/>
        </w:rPr>
      </w:pPr>
    </w:p>
    <w:p w14:paraId="0A01206D" w14:textId="77777777" w:rsidR="009847E8" w:rsidRDefault="009847E8" w:rsidP="000D6B84">
      <w:pPr>
        <w:spacing w:line="276" w:lineRule="auto"/>
        <w:rPr>
          <w:rFonts w:cs="Calibri"/>
          <w:b/>
          <w:bCs/>
          <w:sz w:val="22"/>
          <w:lang w:val="en-US"/>
        </w:rPr>
      </w:pPr>
      <w:r>
        <w:rPr>
          <w:rFonts w:cs="Calibri"/>
          <w:b/>
          <w:bCs/>
          <w:lang w:val="en-US"/>
        </w:rPr>
        <w:br w:type="page"/>
      </w:r>
    </w:p>
    <w:p w14:paraId="6845B6A2" w14:textId="77777777" w:rsidR="009847E8" w:rsidRPr="00A11F50" w:rsidRDefault="009847E8" w:rsidP="000D6B84">
      <w:pPr>
        <w:pStyle w:val="Heading1"/>
        <w:spacing w:line="276" w:lineRule="auto"/>
        <w:rPr>
          <w:rFonts w:ascii="Calibri" w:hAnsi="Calibri" w:cs="Calibri"/>
          <w:b/>
          <w:bCs/>
          <w:color w:val="000000" w:themeColor="text1"/>
          <w:sz w:val="22"/>
          <w:szCs w:val="22"/>
          <w:lang w:val="en-US"/>
        </w:rPr>
      </w:pPr>
      <w:bookmarkStart w:id="1" w:name="_Toc234183592"/>
      <w:r w:rsidRPr="00A11F50">
        <w:rPr>
          <w:rFonts w:ascii="Calibri" w:hAnsi="Calibri" w:cs="Calibri"/>
          <w:b/>
          <w:bCs/>
          <w:color w:val="000000" w:themeColor="text1"/>
          <w:sz w:val="22"/>
          <w:szCs w:val="22"/>
          <w:lang w:val="en-US"/>
        </w:rPr>
        <w:lastRenderedPageBreak/>
        <w:t>Introduction</w:t>
      </w:r>
      <w:bookmarkEnd w:id="1"/>
    </w:p>
    <w:p w14:paraId="557C582A" w14:textId="77777777" w:rsidR="009847E8" w:rsidRDefault="009847E8" w:rsidP="0032387D">
      <w:pPr>
        <w:pStyle w:val="Maxhoofdtekst"/>
        <w:spacing w:line="276" w:lineRule="auto"/>
        <w:ind w:firstLine="284"/>
        <w:rPr>
          <w:lang w:val="en-US"/>
        </w:rPr>
      </w:pPr>
      <w:r>
        <w:rPr>
          <w:lang w:val="en-US"/>
        </w:rPr>
        <w:t>In March 2026, I attended a symposium organized by the Private Law department of the University of Amsterdam, which focused on the severing of family ties in different historical circumstances. Each speaker discussed different</w:t>
      </w:r>
      <w:r w:rsidRPr="0038710D">
        <w:rPr>
          <w:lang w:val="en-US"/>
        </w:rPr>
        <w:t xml:space="preserve"> legal and social context</w:t>
      </w:r>
      <w:r>
        <w:rPr>
          <w:lang w:val="en-US"/>
        </w:rPr>
        <w:t>s</w:t>
      </w:r>
      <w:r w:rsidRPr="0038710D">
        <w:rPr>
          <w:lang w:val="en-US"/>
        </w:rPr>
        <w:t xml:space="preserve"> in </w:t>
      </w:r>
      <w:r>
        <w:rPr>
          <w:lang w:val="en-US"/>
        </w:rPr>
        <w:t xml:space="preserve">which </w:t>
      </w:r>
      <w:r w:rsidRPr="0038710D">
        <w:rPr>
          <w:lang w:val="en-US"/>
        </w:rPr>
        <w:t>family ties were severed by government decree</w:t>
      </w:r>
      <w:r>
        <w:rPr>
          <w:lang w:val="en-US"/>
        </w:rPr>
        <w:t>. These contexts included the Dutch former colonies of Indonesia and Surinam, as well as the Netherlands.</w:t>
      </w:r>
      <w:r>
        <w:rPr>
          <w:rStyle w:val="FootnoteReference"/>
          <w:lang w:val="en-US"/>
        </w:rPr>
        <w:footnoteReference w:id="1"/>
      </w:r>
      <w:r>
        <w:rPr>
          <w:lang w:val="en-US"/>
        </w:rPr>
        <w:t xml:space="preserve"> </w:t>
      </w:r>
      <w:r w:rsidRPr="00DF685B">
        <w:rPr>
          <w:lang w:val="en-US"/>
        </w:rPr>
        <w:t>What became clear during th</w:t>
      </w:r>
      <w:r>
        <w:rPr>
          <w:lang w:val="en-US"/>
        </w:rPr>
        <w:t>is</w:t>
      </w:r>
      <w:r w:rsidRPr="00DF685B">
        <w:rPr>
          <w:lang w:val="en-US"/>
        </w:rPr>
        <w:t xml:space="preserve"> symposium was that </w:t>
      </w:r>
      <w:r>
        <w:rPr>
          <w:lang w:val="en-US"/>
        </w:rPr>
        <w:t xml:space="preserve">unjustly </w:t>
      </w:r>
      <w:r w:rsidRPr="00DF685B">
        <w:rPr>
          <w:lang w:val="en-US"/>
        </w:rPr>
        <w:t>removing children from their parents</w:t>
      </w:r>
      <w:r>
        <w:rPr>
          <w:lang w:val="en-US"/>
        </w:rPr>
        <w:t xml:space="preserve"> </w:t>
      </w:r>
      <w:r w:rsidRPr="00DF685B">
        <w:rPr>
          <w:lang w:val="en-US"/>
        </w:rPr>
        <w:t xml:space="preserve">is a means of exercising </w:t>
      </w:r>
      <w:r>
        <w:rPr>
          <w:lang w:val="en-US"/>
        </w:rPr>
        <w:t>coercive power</w:t>
      </w:r>
      <w:r w:rsidRPr="00DF685B">
        <w:rPr>
          <w:lang w:val="en-US"/>
        </w:rPr>
        <w:t xml:space="preserve"> that has been used in various historical </w:t>
      </w:r>
      <w:r>
        <w:rPr>
          <w:lang w:val="en-US"/>
        </w:rPr>
        <w:t xml:space="preserve">(colonial) </w:t>
      </w:r>
      <w:r w:rsidRPr="00DF685B">
        <w:rPr>
          <w:lang w:val="en-US"/>
        </w:rPr>
        <w:t>contexts.</w:t>
      </w:r>
      <w:r>
        <w:rPr>
          <w:rStyle w:val="FootnoteReference"/>
          <w:lang w:val="en-US"/>
        </w:rPr>
        <w:footnoteReference w:id="2"/>
      </w:r>
      <w:r w:rsidRPr="00DF685B">
        <w:rPr>
          <w:lang w:val="en-US"/>
        </w:rPr>
        <w:t xml:space="preserve"> </w:t>
      </w:r>
      <w:r>
        <w:rPr>
          <w:lang w:val="en-US"/>
        </w:rPr>
        <w:t>Therefore, it is</w:t>
      </w:r>
      <w:r w:rsidRPr="00DF685B">
        <w:rPr>
          <w:lang w:val="en-US"/>
        </w:rPr>
        <w:t xml:space="preserve"> important to </w:t>
      </w:r>
      <w:r>
        <w:rPr>
          <w:lang w:val="en-US"/>
        </w:rPr>
        <w:t>research</w:t>
      </w:r>
      <w:r w:rsidRPr="00DF685B">
        <w:rPr>
          <w:lang w:val="en-US"/>
        </w:rPr>
        <w:t xml:space="preserve"> how </w:t>
      </w:r>
      <w:r>
        <w:rPr>
          <w:lang w:val="en-US"/>
        </w:rPr>
        <w:t>and on what grounds such</w:t>
      </w:r>
      <w:r w:rsidRPr="00DF685B">
        <w:rPr>
          <w:lang w:val="en-US"/>
        </w:rPr>
        <w:t xml:space="preserve"> practices </w:t>
      </w:r>
      <w:r>
        <w:rPr>
          <w:lang w:val="en-US"/>
        </w:rPr>
        <w:t>are facilitated and justified</w:t>
      </w:r>
      <w:r w:rsidRPr="00DF685B">
        <w:rPr>
          <w:lang w:val="en-US"/>
        </w:rPr>
        <w:t>.</w:t>
      </w:r>
      <w:r>
        <w:rPr>
          <w:lang w:val="en-US"/>
        </w:rPr>
        <w:t xml:space="preserve"> </w:t>
      </w:r>
    </w:p>
    <w:p w14:paraId="1E4F3201" w14:textId="77777777" w:rsidR="009847E8" w:rsidRDefault="009847E8" w:rsidP="003B1117">
      <w:pPr>
        <w:pStyle w:val="Maxhoofdtekst"/>
        <w:spacing w:line="276" w:lineRule="auto"/>
        <w:ind w:firstLine="284"/>
        <w:rPr>
          <w:lang w:val="en-US"/>
        </w:rPr>
      </w:pPr>
      <w:r>
        <w:rPr>
          <w:lang w:val="en-US"/>
        </w:rPr>
        <w:t xml:space="preserve">One such instance is the separation of multiracialized children from their kin and community in the former Dutch East Indies. </w:t>
      </w:r>
      <w:r w:rsidRPr="001D6CB4">
        <w:rPr>
          <w:lang w:val="en-US"/>
        </w:rPr>
        <w:t xml:space="preserve">On </w:t>
      </w:r>
      <w:r w:rsidRPr="002F27B5">
        <w:rPr>
          <w:lang w:val="en-US"/>
        </w:rPr>
        <w:t>March 12, 1831</w:t>
      </w:r>
      <w:r w:rsidRPr="001D6CB4">
        <w:rPr>
          <w:lang w:val="en-US"/>
        </w:rPr>
        <w:t xml:space="preserve">, a </w:t>
      </w:r>
      <w:r>
        <w:rPr>
          <w:lang w:val="en-US"/>
        </w:rPr>
        <w:t xml:space="preserve">Government </w:t>
      </w:r>
      <w:r w:rsidRPr="001D6CB4">
        <w:rPr>
          <w:lang w:val="en-US"/>
        </w:rPr>
        <w:t>Resolution under Dutch East Indies law</w:t>
      </w:r>
      <w:r>
        <w:rPr>
          <w:lang w:val="en-US"/>
        </w:rPr>
        <w:t xml:space="preserve"> formalized the </w:t>
      </w:r>
      <w:r w:rsidRPr="001D6CB4">
        <w:rPr>
          <w:lang w:val="en-US"/>
        </w:rPr>
        <w:t>separation of children ‘begotten by European</w:t>
      </w:r>
      <w:r>
        <w:rPr>
          <w:lang w:val="en-US"/>
        </w:rPr>
        <w:t xml:space="preserve"> men</w:t>
      </w:r>
      <w:r w:rsidRPr="001D6CB4">
        <w:rPr>
          <w:lang w:val="en-US"/>
        </w:rPr>
        <w:t xml:space="preserve"> </w:t>
      </w:r>
      <w:r>
        <w:rPr>
          <w:lang w:val="en-US"/>
        </w:rPr>
        <w:t>and Indonesian</w:t>
      </w:r>
      <w:r w:rsidRPr="001D6CB4">
        <w:rPr>
          <w:lang w:val="en-US"/>
        </w:rPr>
        <w:t xml:space="preserve"> women</w:t>
      </w:r>
      <w:r>
        <w:rPr>
          <w:lang w:val="en-US"/>
        </w:rPr>
        <w:t>’</w:t>
      </w:r>
      <w:r w:rsidRPr="001D6CB4">
        <w:rPr>
          <w:lang w:val="en-US"/>
        </w:rPr>
        <w:t xml:space="preserve"> </w:t>
      </w:r>
      <w:r>
        <w:rPr>
          <w:lang w:val="en-US"/>
        </w:rPr>
        <w:t>who, ‘</w:t>
      </w:r>
      <w:r w:rsidRPr="001D6CB4">
        <w:rPr>
          <w:lang w:val="en-US"/>
        </w:rPr>
        <w:t>because of the death of their fathers and sometimes of their mothers too</w:t>
      </w:r>
      <w:r>
        <w:rPr>
          <w:lang w:val="en-US"/>
        </w:rPr>
        <w:t>’</w:t>
      </w:r>
      <w:r w:rsidRPr="001D6CB4">
        <w:rPr>
          <w:lang w:val="en-US"/>
        </w:rPr>
        <w:t xml:space="preserve">, </w:t>
      </w:r>
      <w:r>
        <w:rPr>
          <w:lang w:val="en-US"/>
        </w:rPr>
        <w:t>were left to ‘</w:t>
      </w:r>
      <w:r w:rsidRPr="001D6CB4">
        <w:rPr>
          <w:i/>
          <w:iCs/>
          <w:lang w:val="en-US"/>
        </w:rPr>
        <w:t>wander around in the kampongs</w:t>
      </w:r>
      <w:r w:rsidRPr="001D6CB4">
        <w:rPr>
          <w:lang w:val="en-US"/>
        </w:rPr>
        <w:t xml:space="preserve"> or elsewhere as a dependant of the native population’</w:t>
      </w:r>
      <w:r>
        <w:rPr>
          <w:lang w:val="en-US"/>
        </w:rPr>
        <w:t>.</w:t>
      </w:r>
      <w:r>
        <w:rPr>
          <w:rStyle w:val="FootnoteReference"/>
          <w:rFonts w:cs="Calibri"/>
          <w:lang w:val="en-US"/>
        </w:rPr>
        <w:footnoteReference w:id="3"/>
      </w:r>
      <w:r w:rsidRPr="001D6CB4">
        <w:rPr>
          <w:lang w:val="en-US"/>
        </w:rPr>
        <w:t xml:space="preserve"> </w:t>
      </w:r>
      <w:r>
        <w:rPr>
          <w:lang w:val="en-US"/>
        </w:rPr>
        <w:t>The Dutch colonial government did not consider unmarried Indonesian mothers to be fit to raise their multiracialized children, who were mainly born out of concubinage.</w:t>
      </w:r>
      <w:r>
        <w:rPr>
          <w:rStyle w:val="FootnoteReference"/>
          <w:lang w:val="en-US"/>
        </w:rPr>
        <w:footnoteReference w:id="4"/>
      </w:r>
      <w:r>
        <w:rPr>
          <w:lang w:val="en-US"/>
        </w:rPr>
        <w:t xml:space="preserve"> Indonesian mothers were accused of teaching their Indo-European children too much of ‘native’ culture and too little of Dutch and European culture. If their children became too </w:t>
      </w:r>
      <w:r w:rsidRPr="00721CF8">
        <w:rPr>
          <w:i/>
          <w:iCs/>
          <w:lang w:val="en-US"/>
        </w:rPr>
        <w:t>senang</w:t>
      </w:r>
      <w:r>
        <w:rPr>
          <w:lang w:val="en-US"/>
        </w:rPr>
        <w:t xml:space="preserve"> (content) with life in the Indonesian kampongs, this could undermine their loyalty to the colonial state and they could become a danger to the state. To prevent such risks, the government promoted the separation of Indo-European children from their Indonesian mothers. </w:t>
      </w:r>
    </w:p>
    <w:p w14:paraId="5F3E15AC" w14:textId="77777777" w:rsidR="009847E8" w:rsidRDefault="009847E8" w:rsidP="001765B8">
      <w:pPr>
        <w:pStyle w:val="Maxhoofdtekst"/>
        <w:spacing w:line="276" w:lineRule="auto"/>
        <w:ind w:firstLine="284"/>
        <w:rPr>
          <w:lang w:val="en-US"/>
        </w:rPr>
      </w:pPr>
      <w:r>
        <w:rPr>
          <w:lang w:val="en-US"/>
        </w:rPr>
        <w:t xml:space="preserve">In </w:t>
      </w:r>
      <w:proofErr w:type="spellStart"/>
      <w:r w:rsidRPr="009847E8">
        <w:rPr>
          <w:i/>
          <w:iCs/>
          <w:lang w:val="en-GB"/>
        </w:rPr>
        <w:t>Vergeten</w:t>
      </w:r>
      <w:proofErr w:type="spellEnd"/>
      <w:r w:rsidRPr="009847E8">
        <w:rPr>
          <w:i/>
          <w:iCs/>
          <w:lang w:val="en-GB"/>
        </w:rPr>
        <w:t xml:space="preserve"> door het </w:t>
      </w:r>
      <w:proofErr w:type="spellStart"/>
      <w:r w:rsidRPr="009847E8">
        <w:rPr>
          <w:i/>
          <w:iCs/>
          <w:lang w:val="en-GB"/>
        </w:rPr>
        <w:t>Vaderland</w:t>
      </w:r>
      <w:proofErr w:type="spellEnd"/>
      <w:r>
        <w:rPr>
          <w:lang w:val="en-US"/>
        </w:rPr>
        <w:t xml:space="preserve"> (forgotten by the motherland), writer Wilma van der Maten </w:t>
      </w:r>
      <w:r w:rsidRPr="00721CF8">
        <w:rPr>
          <w:lang w:val="en-US"/>
        </w:rPr>
        <w:t xml:space="preserve">recounts the experiences of multiracialized Indo-European children </w:t>
      </w:r>
      <w:r>
        <w:rPr>
          <w:lang w:val="en-US"/>
        </w:rPr>
        <w:t>who were separated</w:t>
      </w:r>
      <w:r w:rsidRPr="00721CF8">
        <w:rPr>
          <w:lang w:val="en-US"/>
        </w:rPr>
        <w:t xml:space="preserve"> from their Indonesian kin and communities</w:t>
      </w:r>
      <w:r>
        <w:rPr>
          <w:lang w:val="en-US"/>
        </w:rPr>
        <w:t>.</w:t>
      </w:r>
      <w:r>
        <w:rPr>
          <w:rStyle w:val="FootnoteReference"/>
          <w:lang w:val="en-US"/>
        </w:rPr>
        <w:footnoteReference w:id="5"/>
      </w:r>
      <w:r>
        <w:rPr>
          <w:lang w:val="en-US"/>
        </w:rPr>
        <w:t xml:space="preserve"> One such case is that of Elly de Beus, </w:t>
      </w:r>
      <w:r w:rsidRPr="00721CF8">
        <w:rPr>
          <w:lang w:val="en-US"/>
        </w:rPr>
        <w:t xml:space="preserve">who describes how </w:t>
      </w:r>
      <w:r>
        <w:rPr>
          <w:lang w:val="en-US"/>
        </w:rPr>
        <w:t>‘s</w:t>
      </w:r>
      <w:r w:rsidRPr="00721CF8">
        <w:rPr>
          <w:lang w:val="en-US"/>
        </w:rPr>
        <w:t>ister Betteke</w:t>
      </w:r>
      <w:r>
        <w:rPr>
          <w:lang w:val="en-US"/>
        </w:rPr>
        <w:t xml:space="preserve">’ </w:t>
      </w:r>
      <w:r w:rsidRPr="00721CF8">
        <w:rPr>
          <w:lang w:val="en-US"/>
        </w:rPr>
        <w:t>would search the kampongs of Batavia for blonde children to take from their Indonesian mothers</w:t>
      </w:r>
      <w:r>
        <w:rPr>
          <w:lang w:val="en-US"/>
        </w:rPr>
        <w:t>.</w:t>
      </w:r>
      <w:r>
        <w:rPr>
          <w:rStyle w:val="FootnoteReference"/>
          <w:lang w:val="en-US"/>
        </w:rPr>
        <w:footnoteReference w:id="6"/>
      </w:r>
      <w:r>
        <w:rPr>
          <w:lang w:val="en-US"/>
        </w:rPr>
        <w:t xml:space="preserve"> </w:t>
      </w:r>
      <w:r w:rsidRPr="00721CF8">
        <w:rPr>
          <w:lang w:val="en-US"/>
        </w:rPr>
        <w:t>Likely convinced she was performing a charitable act, Betteke brought these children to an orphanage, where they would be re-educated</w:t>
      </w:r>
      <w:r>
        <w:rPr>
          <w:lang w:val="en-US"/>
        </w:rPr>
        <w:t>. Through varying degrees of separation from their parents, communities and cultures, the Dutch colonial project sought to impose European morals and habits on children.</w:t>
      </w:r>
      <w:r>
        <w:rPr>
          <w:rStyle w:val="FootnoteReference"/>
          <w:lang w:val="en-US"/>
        </w:rPr>
        <w:footnoteReference w:id="7"/>
      </w:r>
      <w:r>
        <w:rPr>
          <w:lang w:val="en-US"/>
        </w:rPr>
        <w:t xml:space="preserve"> </w:t>
      </w:r>
    </w:p>
    <w:p w14:paraId="6BD241FF" w14:textId="77777777" w:rsidR="009847E8" w:rsidRDefault="009847E8" w:rsidP="001765B8">
      <w:pPr>
        <w:pStyle w:val="Maxhoofdtekst"/>
        <w:spacing w:line="276" w:lineRule="auto"/>
        <w:ind w:firstLine="284"/>
        <w:rPr>
          <w:lang w:val="en-US"/>
        </w:rPr>
      </w:pPr>
    </w:p>
    <w:p w14:paraId="7C3ABDA8" w14:textId="77777777" w:rsidR="009847E8" w:rsidRDefault="009847E8" w:rsidP="001765B8">
      <w:pPr>
        <w:pStyle w:val="Maxhoofdtekst"/>
        <w:spacing w:line="276" w:lineRule="auto"/>
        <w:ind w:firstLine="284"/>
        <w:rPr>
          <w:lang w:val="en-US"/>
        </w:rPr>
      </w:pPr>
    </w:p>
    <w:p w14:paraId="748AD721" w14:textId="77777777" w:rsidR="009847E8" w:rsidRPr="00721CF8" w:rsidRDefault="009847E8" w:rsidP="00E30012">
      <w:pPr>
        <w:pStyle w:val="Maxhoofdteks"/>
        <w:spacing w:before="0" w:line="276" w:lineRule="auto"/>
        <w:ind w:left="0" w:firstLine="284"/>
        <w:rPr>
          <w:lang w:val="en-US"/>
        </w:rPr>
      </w:pPr>
      <w:r w:rsidRPr="001D6CB4">
        <w:rPr>
          <w:lang w:val="en-US"/>
        </w:rPr>
        <w:t>In this thesis, I examine the discourse</w:t>
      </w:r>
      <w:r>
        <w:rPr>
          <w:lang w:val="en-US"/>
        </w:rPr>
        <w:t>s surrounding</w:t>
      </w:r>
      <w:r w:rsidRPr="001D6CB4">
        <w:rPr>
          <w:lang w:val="en-US"/>
        </w:rPr>
        <w:t xml:space="preserve"> and legal practices permitt</w:t>
      </w:r>
      <w:r>
        <w:rPr>
          <w:lang w:val="en-US"/>
        </w:rPr>
        <w:t>ing</w:t>
      </w:r>
      <w:r w:rsidRPr="001D6CB4">
        <w:rPr>
          <w:lang w:val="en-US"/>
        </w:rPr>
        <w:t xml:space="preserve"> colonial agents to remove </w:t>
      </w:r>
      <w:r>
        <w:rPr>
          <w:lang w:val="en-US"/>
        </w:rPr>
        <w:t>Indo-European</w:t>
      </w:r>
      <w:r w:rsidRPr="001D6CB4">
        <w:rPr>
          <w:lang w:val="en-US"/>
        </w:rPr>
        <w:t xml:space="preserve"> children from their </w:t>
      </w:r>
      <w:r>
        <w:rPr>
          <w:lang w:val="en-US"/>
        </w:rPr>
        <w:t>Indonesian mothers. The central research question in this masterthesis is:</w:t>
      </w:r>
    </w:p>
    <w:p w14:paraId="0D6C0BFF" w14:textId="77777777" w:rsidR="009847E8" w:rsidRDefault="009847E8" w:rsidP="00E30012">
      <w:pPr>
        <w:pStyle w:val="Maxhoofdtekst"/>
        <w:spacing w:line="276" w:lineRule="auto"/>
        <w:ind w:left="708"/>
        <w:rPr>
          <w:lang w:val="en-US"/>
        </w:rPr>
      </w:pPr>
      <w:r w:rsidRPr="00721CF8">
        <w:rPr>
          <w:lang w:val="en-US"/>
        </w:rPr>
        <w:t>How did practices of racially grounded child separation in the nineteenth- and early twentieth-century Dutch East Indies operate as biopolitical techniques for producing and policing colonial distinctions between Europeans and ‘natives’?</w:t>
      </w:r>
    </w:p>
    <w:p w14:paraId="0514E49F" w14:textId="77777777" w:rsidR="009847E8" w:rsidRDefault="009847E8" w:rsidP="00034B13">
      <w:pPr>
        <w:pStyle w:val="Maxhoofdtekst"/>
        <w:spacing w:line="276" w:lineRule="auto"/>
        <w:rPr>
          <w:lang w:val="en-US"/>
        </w:rPr>
      </w:pPr>
      <w:r>
        <w:rPr>
          <w:lang w:val="en-US"/>
        </w:rPr>
        <w:t>To answer this question, I will combine</w:t>
      </w:r>
      <w:r w:rsidRPr="001D6CB4">
        <w:rPr>
          <w:lang w:val="en-US"/>
        </w:rPr>
        <w:t xml:space="preserve"> </w:t>
      </w:r>
      <w:r>
        <w:rPr>
          <w:lang w:val="en-US"/>
        </w:rPr>
        <w:t xml:space="preserve">Michel </w:t>
      </w:r>
      <w:r w:rsidRPr="001D6CB4">
        <w:rPr>
          <w:lang w:val="en-US"/>
        </w:rPr>
        <w:t xml:space="preserve">Foucault’s </w:t>
      </w:r>
      <w:r>
        <w:rPr>
          <w:lang w:val="en-US"/>
        </w:rPr>
        <w:t xml:space="preserve">theory </w:t>
      </w:r>
      <w:r w:rsidRPr="001D6CB4">
        <w:rPr>
          <w:lang w:val="en-US"/>
        </w:rPr>
        <w:t>on sexual</w:t>
      </w:r>
      <w:r>
        <w:rPr>
          <w:lang w:val="en-US"/>
        </w:rPr>
        <w:t xml:space="preserve">ity </w:t>
      </w:r>
      <w:r w:rsidRPr="001D6CB4">
        <w:rPr>
          <w:lang w:val="en-US"/>
        </w:rPr>
        <w:t xml:space="preserve">and </w:t>
      </w:r>
      <w:r>
        <w:rPr>
          <w:lang w:val="en-US"/>
        </w:rPr>
        <w:t>internal racism in the biopolitical state</w:t>
      </w:r>
      <w:r w:rsidRPr="001D6CB4">
        <w:rPr>
          <w:lang w:val="en-US"/>
        </w:rPr>
        <w:t>,</w:t>
      </w:r>
      <w:r>
        <w:rPr>
          <w:lang w:val="en-US"/>
        </w:rPr>
        <w:t xml:space="preserve"> and Ann Stoler’s decolonial rereading of his theory, to argue that t</w:t>
      </w:r>
      <w:r w:rsidRPr="00721CF8">
        <w:rPr>
          <w:lang w:val="en-US"/>
        </w:rPr>
        <w:t>he separation of Indo-European children was</w:t>
      </w:r>
      <w:r>
        <w:rPr>
          <w:lang w:val="en-US"/>
        </w:rPr>
        <w:t xml:space="preserve"> a biopolitical technique,</w:t>
      </w:r>
      <w:r w:rsidRPr="00721CF8">
        <w:rPr>
          <w:lang w:val="en-US"/>
        </w:rPr>
        <w:t xml:space="preserve"> intended to maintain </w:t>
      </w:r>
      <w:r>
        <w:rPr>
          <w:lang w:val="en-US"/>
        </w:rPr>
        <w:t>a</w:t>
      </w:r>
      <w:r w:rsidRPr="00721CF8">
        <w:rPr>
          <w:lang w:val="en-US"/>
        </w:rPr>
        <w:t xml:space="preserve"> </w:t>
      </w:r>
      <w:r>
        <w:rPr>
          <w:lang w:val="en-US"/>
        </w:rPr>
        <w:t>racial hierarchy</w:t>
      </w:r>
      <w:r w:rsidRPr="00721CF8">
        <w:rPr>
          <w:lang w:val="en-US"/>
        </w:rPr>
        <w:t xml:space="preserve"> </w:t>
      </w:r>
      <w:r>
        <w:rPr>
          <w:lang w:val="en-US"/>
        </w:rPr>
        <w:t>within</w:t>
      </w:r>
      <w:r w:rsidRPr="00721CF8">
        <w:rPr>
          <w:lang w:val="en-US"/>
        </w:rPr>
        <w:t xml:space="preserve"> the colony</w:t>
      </w:r>
      <w:r>
        <w:rPr>
          <w:lang w:val="en-US"/>
        </w:rPr>
        <w:t>. Biopolitical techniques, as methods of biopower, constitute a form of power that takes control over life and is present at every level of society. Foucault defines biopower as a political technique that brings ‘life and its mechanisms into the realm of explicit calculations’ and makes ‘knowledge-power an agent of transformation of human life’.</w:t>
      </w:r>
      <w:r>
        <w:rPr>
          <w:rStyle w:val="FootnoteReference"/>
          <w:lang w:val="en-US"/>
        </w:rPr>
        <w:footnoteReference w:id="8"/>
      </w:r>
      <w:r>
        <w:rPr>
          <w:lang w:val="en-US"/>
        </w:rPr>
        <w:t xml:space="preserve"> Its techniques are utilized by various institutions, including the family, the army, schools, the church and the government.</w:t>
      </w:r>
      <w:r>
        <w:rPr>
          <w:rStyle w:val="FootnoteReference"/>
          <w:lang w:val="en-US"/>
        </w:rPr>
        <w:footnoteReference w:id="9"/>
      </w:r>
      <w:r>
        <w:rPr>
          <w:lang w:val="en-US"/>
        </w:rPr>
        <w:t xml:space="preserve"> The exercise of biopower seeks to create social hierarchies and distribute life in terms of value and utility.</w:t>
      </w:r>
      <w:r>
        <w:rPr>
          <w:rStyle w:val="FootnoteReference"/>
          <w:lang w:val="en-US"/>
        </w:rPr>
        <w:footnoteReference w:id="10"/>
      </w:r>
      <w:r>
        <w:rPr>
          <w:lang w:val="en-US"/>
        </w:rPr>
        <w:t xml:space="preserve"> </w:t>
      </w:r>
    </w:p>
    <w:p w14:paraId="0D9356F8" w14:textId="77777777" w:rsidR="009847E8" w:rsidRPr="001765B8" w:rsidRDefault="009847E8" w:rsidP="00034B13">
      <w:pPr>
        <w:pStyle w:val="Maxhoofdtekst"/>
        <w:spacing w:line="276" w:lineRule="auto"/>
        <w:ind w:firstLine="284"/>
        <w:rPr>
          <w:lang w:val="en-US"/>
        </w:rPr>
      </w:pPr>
      <w:r>
        <w:rPr>
          <w:lang w:val="en-US"/>
        </w:rPr>
        <w:t>In this thesis, I connect the concept of biopower to an imperial context, demonstrating how the separation of multiracialized children from their Indonesian mothers was a biopolitical technique aimed at producing and maintaining racialized identities within the colony. Foucault and Stoler use varying definitions for biopower and biopolitical techniques.</w:t>
      </w:r>
      <w:r w:rsidRPr="00E30012">
        <w:rPr>
          <w:lang w:val="en-US"/>
        </w:rPr>
        <w:t xml:space="preserve"> Ultimately, I define biopolitical techniques in the colony as a racial and gendered</w:t>
      </w:r>
      <w:r>
        <w:rPr>
          <w:lang w:val="en-US"/>
        </w:rPr>
        <w:t xml:space="preserve"> </w:t>
      </w:r>
      <w:r w:rsidRPr="00E30012">
        <w:rPr>
          <w:lang w:val="en-US"/>
        </w:rPr>
        <w:t>normalizing intervention, aimed at creating and preserving a European bourgeois identity.</w:t>
      </w:r>
      <w:r>
        <w:rPr>
          <w:rStyle w:val="FootnoteReference"/>
          <w:lang w:val="en-US"/>
        </w:rPr>
        <w:footnoteReference w:id="11"/>
      </w:r>
      <w:r w:rsidRPr="00E30012">
        <w:rPr>
          <w:lang w:val="en-US"/>
        </w:rPr>
        <w:t xml:space="preserve"> These interventions can happen through various institutions, including the army, schools, the church and the government. These interventions seek to maintain a healthy, regulated sexuality and protect the population’s health by identifying and normalizing or eliminating internal enemies.</w:t>
      </w:r>
      <w:r w:rsidRPr="006A0F82">
        <w:rPr>
          <w:lang w:val="en-US"/>
        </w:rPr>
        <w:t xml:space="preserve"> </w:t>
      </w:r>
    </w:p>
    <w:p w14:paraId="687C2C34" w14:textId="77777777" w:rsidR="009847E8" w:rsidRDefault="009847E8" w:rsidP="00E30012">
      <w:pPr>
        <w:pStyle w:val="Maxhoofdteks"/>
        <w:spacing w:before="0" w:line="276" w:lineRule="auto"/>
        <w:ind w:left="0" w:firstLine="284"/>
        <w:rPr>
          <w:lang w:val="en-US"/>
        </w:rPr>
      </w:pPr>
      <w:r>
        <w:rPr>
          <w:lang w:val="en-US"/>
        </w:rPr>
        <w:t xml:space="preserve">I will answer the main research question along the following sub-questions, each discussed in a separate chapter: </w:t>
      </w:r>
    </w:p>
    <w:p w14:paraId="7EB8A4FF" w14:textId="77777777" w:rsidR="009847E8" w:rsidRDefault="009847E8">
      <w:pPr>
        <w:pStyle w:val="Maxhoofdtekst"/>
        <w:numPr>
          <w:ilvl w:val="0"/>
          <w:numId w:val="6"/>
        </w:numPr>
        <w:spacing w:line="276" w:lineRule="auto"/>
        <w:rPr>
          <w:lang w:val="en-US"/>
        </w:rPr>
      </w:pPr>
      <w:r w:rsidRPr="00F875F1">
        <w:rPr>
          <w:lang w:val="en-US"/>
        </w:rPr>
        <w:t xml:space="preserve">How do Foucault's concepts of biopower and the deployment of sexuality, as reread through Stoler's decolonial critique, provide a framework for analyzing racially grounded child separation as a technique of </w:t>
      </w:r>
      <w:r>
        <w:rPr>
          <w:lang w:val="en-US"/>
        </w:rPr>
        <w:t>bio</w:t>
      </w:r>
      <w:r w:rsidRPr="00F875F1">
        <w:rPr>
          <w:lang w:val="en-US"/>
        </w:rPr>
        <w:t>power</w:t>
      </w:r>
      <w:r>
        <w:rPr>
          <w:lang w:val="en-US"/>
        </w:rPr>
        <w:t>?</w:t>
      </w:r>
    </w:p>
    <w:p w14:paraId="0C9ED03D" w14:textId="77777777" w:rsidR="009847E8" w:rsidRPr="00F875F1" w:rsidRDefault="009847E8">
      <w:pPr>
        <w:pStyle w:val="Maxhoofdtekst"/>
        <w:numPr>
          <w:ilvl w:val="0"/>
          <w:numId w:val="6"/>
        </w:numPr>
        <w:spacing w:line="276" w:lineRule="auto"/>
        <w:rPr>
          <w:lang w:val="en-US"/>
        </w:rPr>
      </w:pPr>
      <w:r>
        <w:rPr>
          <w:lang w:val="en-US"/>
        </w:rPr>
        <w:t>How did concubinage emerge in the Dutch East Indies, and i</w:t>
      </w:r>
      <w:r w:rsidRPr="00F875F1">
        <w:rPr>
          <w:lang w:val="en-US"/>
        </w:rPr>
        <w:t xml:space="preserve">n what ways did </w:t>
      </w:r>
      <w:r>
        <w:rPr>
          <w:lang w:val="en-US"/>
        </w:rPr>
        <w:t>concubinary</w:t>
      </w:r>
      <w:r w:rsidRPr="00F875F1">
        <w:rPr>
          <w:lang w:val="en-US"/>
        </w:rPr>
        <w:t xml:space="preserve"> arrangements between European men and Indonesian women destabilize the racial hierarchies of the Dutch East Indies?</w:t>
      </w:r>
    </w:p>
    <w:p w14:paraId="43A7628A" w14:textId="77777777" w:rsidR="009847E8" w:rsidRPr="00884BC9" w:rsidRDefault="009847E8">
      <w:pPr>
        <w:pStyle w:val="Maxhoofdtekst"/>
        <w:numPr>
          <w:ilvl w:val="0"/>
          <w:numId w:val="6"/>
        </w:numPr>
        <w:spacing w:line="276" w:lineRule="auto"/>
        <w:rPr>
          <w:lang w:val="en-US"/>
        </w:rPr>
      </w:pPr>
      <w:r w:rsidRPr="00F875F1">
        <w:rPr>
          <w:lang w:val="en-US"/>
        </w:rPr>
        <w:lastRenderedPageBreak/>
        <w:t xml:space="preserve">How did discourses on pauperism, motherhood, and </w:t>
      </w:r>
      <w:r>
        <w:rPr>
          <w:lang w:val="en-US"/>
        </w:rPr>
        <w:t>childrearing</w:t>
      </w:r>
      <w:r w:rsidRPr="00F875F1">
        <w:rPr>
          <w:lang w:val="en-US"/>
        </w:rPr>
        <w:t xml:space="preserve"> in the Dutch East Indies construct child separation as a racializing, gendered, and normalizing biopolitical intervention aimed at producing and preserving</w:t>
      </w:r>
      <w:r>
        <w:rPr>
          <w:lang w:val="en-US"/>
        </w:rPr>
        <w:t xml:space="preserve"> a</w:t>
      </w:r>
      <w:r w:rsidRPr="00F875F1">
        <w:rPr>
          <w:lang w:val="en-US"/>
        </w:rPr>
        <w:t xml:space="preserve"> European identity?</w:t>
      </w:r>
    </w:p>
    <w:p w14:paraId="077C32AF" w14:textId="77777777" w:rsidR="009847E8" w:rsidRPr="00721CF8" w:rsidRDefault="009847E8" w:rsidP="000D6B84">
      <w:pPr>
        <w:pStyle w:val="Maxhoofdtekst"/>
        <w:spacing w:line="276" w:lineRule="auto"/>
        <w:outlineLvl w:val="1"/>
        <w:rPr>
          <w:lang w:val="en-US"/>
        </w:rPr>
      </w:pPr>
      <w:bookmarkStart w:id="2" w:name="_Toc234183593"/>
      <w:r>
        <w:rPr>
          <w:b/>
          <w:bCs/>
          <w:lang w:val="en-US"/>
        </w:rPr>
        <w:t>Chapter outline</w:t>
      </w:r>
      <w:bookmarkEnd w:id="2"/>
    </w:p>
    <w:p w14:paraId="42B1224A" w14:textId="77777777" w:rsidR="009847E8" w:rsidRDefault="009847E8" w:rsidP="00CC0576">
      <w:pPr>
        <w:pStyle w:val="Maxhoofdtekst"/>
        <w:spacing w:line="276" w:lineRule="auto"/>
        <w:ind w:firstLine="284"/>
        <w:rPr>
          <w:lang w:val="en-US"/>
        </w:rPr>
      </w:pPr>
      <w:r>
        <w:rPr>
          <w:lang w:val="en-US"/>
        </w:rPr>
        <w:t xml:space="preserve">Chapter 1 outlines Michel Foucault’s theory of the history of sexuality and the emergence of racism in the biopolitical state, as well as Ann Laura Stoler’s critique of and decolonial approach to this theory. </w:t>
      </w:r>
      <w:r w:rsidRPr="00E30012">
        <w:rPr>
          <w:lang w:val="en-US"/>
        </w:rPr>
        <w:t>In this chapter, I argue that Stoler’s reinterpretation of Foucault’s work is useful for analyzing the practice of separating children from their mother</w:t>
      </w:r>
      <w:r>
        <w:rPr>
          <w:lang w:val="en-US"/>
        </w:rPr>
        <w:t>s. Although Foucault’s theory is valuable for analyzing how sexuality and racism are discursively produced, Stoler’s critique of his blind spots regarding gender and the empire is necessary if we are to use his theory to analyze biopower in the colonial state. The Dutch colonial authority was based on the colonizers’ modernity and their ‘higher degree of civilization.’</w:t>
      </w:r>
      <w:r>
        <w:rPr>
          <w:rStyle w:val="FootnoteReference"/>
          <w:rFonts w:cs="Calibri"/>
          <w:lang w:val="en-US"/>
        </w:rPr>
        <w:footnoteReference w:id="12"/>
      </w:r>
      <w:r>
        <w:rPr>
          <w:lang w:val="en-US"/>
        </w:rPr>
        <w:t xml:space="preserve"> Practices of child separation are based on the same premise: multiracialized Indo-European children had to be taken away from their Indonesian mother, in order to morally uplift them and prevent their degeneration in the </w:t>
      </w:r>
      <w:r w:rsidRPr="00CF3827">
        <w:rPr>
          <w:i/>
          <w:iCs/>
          <w:lang w:val="en-US"/>
        </w:rPr>
        <w:t>kampongs</w:t>
      </w:r>
      <w:r>
        <w:rPr>
          <w:lang w:val="en-US"/>
        </w:rPr>
        <w:t>.</w:t>
      </w:r>
    </w:p>
    <w:p w14:paraId="207D4BFF" w14:textId="77777777" w:rsidR="009847E8" w:rsidRDefault="009847E8" w:rsidP="00FB731E">
      <w:pPr>
        <w:pStyle w:val="Maxhoofdtekst"/>
        <w:spacing w:line="276" w:lineRule="auto"/>
        <w:ind w:firstLine="284"/>
        <w:rPr>
          <w:lang w:val="en-US"/>
        </w:rPr>
      </w:pPr>
      <w:r>
        <w:rPr>
          <w:lang w:val="en-US"/>
        </w:rPr>
        <w:t xml:space="preserve">Chapter 2 provides a historical overview of </w:t>
      </w:r>
      <w:r w:rsidRPr="00CC0576">
        <w:rPr>
          <w:lang w:val="en-US"/>
        </w:rPr>
        <w:t>Dutch colonial rule in the Dutch East Indies</w:t>
      </w:r>
      <w:r>
        <w:rPr>
          <w:lang w:val="en-US"/>
        </w:rPr>
        <w:t xml:space="preserve"> and applies the theoretical framework developed in chapter 1 to this historical record. I discuss the colonial </w:t>
      </w:r>
      <w:r w:rsidRPr="00E30012">
        <w:rPr>
          <w:lang w:val="en-US"/>
        </w:rPr>
        <w:t>practice of concubinage</w:t>
      </w:r>
      <w:r>
        <w:rPr>
          <w:lang w:val="en-US"/>
        </w:rPr>
        <w:t xml:space="preserve">, which mainly </w:t>
      </w:r>
      <w:r w:rsidRPr="001D6CB4">
        <w:rPr>
          <w:rFonts w:cs="Calibri"/>
          <w:lang w:val="en-US"/>
        </w:rPr>
        <w:t xml:space="preserve">refers to cohabitation outside marriage between European men and </w:t>
      </w:r>
      <w:r>
        <w:rPr>
          <w:rFonts w:cs="Calibri"/>
          <w:lang w:val="en-US"/>
        </w:rPr>
        <w:t xml:space="preserve">Indonesian </w:t>
      </w:r>
      <w:r w:rsidRPr="001D6CB4">
        <w:rPr>
          <w:rFonts w:cs="Calibri"/>
          <w:lang w:val="en-US"/>
        </w:rPr>
        <w:t xml:space="preserve"> women</w:t>
      </w:r>
      <w:r>
        <w:rPr>
          <w:rFonts w:cs="Calibri"/>
          <w:lang w:val="en-US"/>
        </w:rPr>
        <w:t>, where women were forced to provide both household and sexual services</w:t>
      </w:r>
      <w:r w:rsidRPr="001D6CB4">
        <w:rPr>
          <w:rFonts w:cs="Calibri"/>
          <w:lang w:val="en-US"/>
        </w:rPr>
        <w:t>.</w:t>
      </w:r>
      <w:r>
        <w:rPr>
          <w:lang w:val="en-US"/>
        </w:rPr>
        <w:t xml:space="preserve"> Most multiracialized children in the colony were born out of such relationships. In this chapter, I argue that racial and social hierarchies in the Dutch East Indies were legally and discursively produced, rather than natural or biological. Interracialized concubinary relationships and the multiracialized children that were born out of concubinage both reinforced </w:t>
      </w:r>
      <w:r w:rsidRPr="00D96D3A">
        <w:rPr>
          <w:i/>
          <w:iCs/>
          <w:lang w:val="en-US"/>
        </w:rPr>
        <w:t>and</w:t>
      </w:r>
      <w:r>
        <w:rPr>
          <w:lang w:val="en-US"/>
        </w:rPr>
        <w:t xml:space="preserve"> blurred such racial and social hierarchies. To eliminate the ambiguity which multiracialized children brought forth, they were separated from their Indonesian mother and provided with a morally sound, European and Christian upbringing in church and state institutions. It is this practice that I analyze in the following chapter. </w:t>
      </w:r>
    </w:p>
    <w:p w14:paraId="01D94AAF" w14:textId="77777777" w:rsidR="009847E8" w:rsidRPr="001D6CB4" w:rsidRDefault="009847E8" w:rsidP="005C3389">
      <w:pPr>
        <w:pStyle w:val="Maxhoofdteks"/>
        <w:spacing w:after="80" w:line="276" w:lineRule="auto"/>
        <w:ind w:left="0" w:firstLine="284"/>
        <w:rPr>
          <w:rFonts w:cs="Calibri"/>
          <w:lang w:val="en-US"/>
        </w:rPr>
      </w:pPr>
      <w:r>
        <w:rPr>
          <w:rFonts w:cs="Calibri"/>
          <w:lang w:val="en-US"/>
        </w:rPr>
        <w:t>Chapter 3 analyzes</w:t>
      </w:r>
      <w:r w:rsidRPr="003117FF">
        <w:rPr>
          <w:rFonts w:cs="Calibri"/>
          <w:lang w:val="en-US"/>
        </w:rPr>
        <w:t xml:space="preserve"> legal, political and public discourses </w:t>
      </w:r>
      <w:r>
        <w:rPr>
          <w:rFonts w:cs="Calibri"/>
          <w:lang w:val="en-US"/>
        </w:rPr>
        <w:t xml:space="preserve">on child separation through the theoretical framework developed in chapter 1, arguing that practices of child separation in the Dutch East Indies were a biopolitical technique employed by the Dutch colonial state. Children were </w:t>
      </w:r>
      <w:r w:rsidRPr="006B3033">
        <w:rPr>
          <w:rFonts w:cs="Calibri"/>
          <w:lang w:val="en-US"/>
        </w:rPr>
        <w:t xml:space="preserve">objects of </w:t>
      </w:r>
      <w:r>
        <w:rPr>
          <w:rFonts w:cs="Calibri"/>
          <w:lang w:val="en-US"/>
        </w:rPr>
        <w:t xml:space="preserve">colonial biopolitical </w:t>
      </w:r>
      <w:r w:rsidRPr="006B3033">
        <w:rPr>
          <w:rFonts w:cs="Calibri"/>
          <w:lang w:val="en-US"/>
        </w:rPr>
        <w:t>intervention</w:t>
      </w:r>
      <w:r>
        <w:rPr>
          <w:rFonts w:cs="Calibri"/>
          <w:lang w:val="en-US"/>
        </w:rPr>
        <w:t>s</w:t>
      </w:r>
      <w:r w:rsidRPr="006B3033">
        <w:rPr>
          <w:rFonts w:cs="Calibri"/>
          <w:lang w:val="en-US"/>
        </w:rPr>
        <w:t xml:space="preserve"> because</w:t>
      </w:r>
      <w:r>
        <w:rPr>
          <w:rFonts w:cs="Calibri"/>
          <w:lang w:val="en-US"/>
        </w:rPr>
        <w:t xml:space="preserve"> the</w:t>
      </w:r>
      <w:r w:rsidRPr="006B3033">
        <w:rPr>
          <w:rFonts w:cs="Calibri"/>
          <w:lang w:val="en-US"/>
        </w:rPr>
        <w:t xml:space="preserve"> colonial</w:t>
      </w:r>
      <w:r>
        <w:rPr>
          <w:rFonts w:cs="Calibri"/>
          <w:lang w:val="en-US"/>
        </w:rPr>
        <w:t xml:space="preserve"> state</w:t>
      </w:r>
      <w:r w:rsidRPr="006B3033">
        <w:rPr>
          <w:rFonts w:cs="Calibri"/>
          <w:lang w:val="en-US"/>
        </w:rPr>
        <w:t xml:space="preserve"> believed </w:t>
      </w:r>
      <w:r>
        <w:rPr>
          <w:rFonts w:cs="Calibri"/>
          <w:lang w:val="en-US"/>
        </w:rPr>
        <w:t xml:space="preserve">that </w:t>
      </w:r>
      <w:r w:rsidRPr="006B3033">
        <w:rPr>
          <w:rFonts w:cs="Calibri"/>
          <w:lang w:val="en-US"/>
        </w:rPr>
        <w:t xml:space="preserve">they could </w:t>
      </w:r>
      <w:r>
        <w:rPr>
          <w:rFonts w:cs="Calibri"/>
          <w:lang w:val="en-US"/>
        </w:rPr>
        <w:t>improve</w:t>
      </w:r>
      <w:r w:rsidRPr="006B3033">
        <w:rPr>
          <w:rFonts w:cs="Calibri"/>
          <w:lang w:val="en-US"/>
        </w:rPr>
        <w:t xml:space="preserve"> </w:t>
      </w:r>
      <w:r>
        <w:rPr>
          <w:rFonts w:cs="Calibri"/>
          <w:lang w:val="en-US"/>
        </w:rPr>
        <w:t xml:space="preserve">and protect </w:t>
      </w:r>
      <w:r w:rsidRPr="006B3033">
        <w:rPr>
          <w:rFonts w:cs="Calibri"/>
          <w:lang w:val="en-US"/>
        </w:rPr>
        <w:t xml:space="preserve">society by </w:t>
      </w:r>
      <w:r>
        <w:rPr>
          <w:rFonts w:cs="Calibri"/>
          <w:lang w:val="en-US"/>
        </w:rPr>
        <w:t>removing</w:t>
      </w:r>
      <w:r w:rsidRPr="006B3033">
        <w:rPr>
          <w:rFonts w:cs="Calibri"/>
          <w:lang w:val="en-US"/>
        </w:rPr>
        <w:t xml:space="preserve"> child</w:t>
      </w:r>
      <w:r>
        <w:rPr>
          <w:rFonts w:cs="Calibri"/>
          <w:lang w:val="en-US"/>
        </w:rPr>
        <w:t>ren from their ‘native’ environment</w:t>
      </w:r>
      <w:r w:rsidRPr="006B3033">
        <w:rPr>
          <w:rFonts w:cs="Calibri"/>
          <w:lang w:val="en-US"/>
        </w:rPr>
        <w:t>.</w:t>
      </w:r>
      <w:r>
        <w:rPr>
          <w:rFonts w:cs="Calibri"/>
          <w:lang w:val="en-US"/>
        </w:rPr>
        <w:t xml:space="preserve"> This was done in the name of preserving the health of the European race and the colonial state from degeneration. </w:t>
      </w:r>
    </w:p>
    <w:p w14:paraId="0812D546" w14:textId="77777777" w:rsidR="009847E8" w:rsidRDefault="009847E8" w:rsidP="000D6B84">
      <w:pPr>
        <w:pStyle w:val="Maxhoofdtekst"/>
        <w:spacing w:line="276" w:lineRule="auto"/>
        <w:outlineLvl w:val="1"/>
        <w:rPr>
          <w:b/>
          <w:bCs/>
          <w:lang w:val="en-US"/>
        </w:rPr>
      </w:pPr>
      <w:bookmarkStart w:id="3" w:name="_Toc234183594"/>
      <w:r>
        <w:rPr>
          <w:b/>
          <w:bCs/>
          <w:lang w:val="en-US"/>
        </w:rPr>
        <w:t>Societal relevance</w:t>
      </w:r>
      <w:bookmarkEnd w:id="3"/>
      <w:r>
        <w:rPr>
          <w:b/>
          <w:bCs/>
          <w:lang w:val="en-US"/>
        </w:rPr>
        <w:t xml:space="preserve"> </w:t>
      </w:r>
    </w:p>
    <w:p w14:paraId="558C8CA9" w14:textId="77777777" w:rsidR="009847E8" w:rsidRPr="00C2670B" w:rsidRDefault="009847E8" w:rsidP="005C3389">
      <w:pPr>
        <w:pStyle w:val="Maxhoofdtekst"/>
        <w:spacing w:line="276" w:lineRule="auto"/>
        <w:ind w:firstLine="284"/>
        <w:rPr>
          <w:lang w:val="en-US"/>
        </w:rPr>
      </w:pPr>
      <w:r>
        <w:rPr>
          <w:lang w:val="en-US"/>
        </w:rPr>
        <w:t>The harms of child separation practices in the Indies continued into the twentieth and twenty-first century, decades after Indonesia’s declaration of independence in 1945.</w:t>
      </w:r>
      <w:r>
        <w:rPr>
          <w:rStyle w:val="FootnoteReference"/>
          <w:lang w:val="en-US"/>
        </w:rPr>
        <w:footnoteReference w:id="13"/>
      </w:r>
      <w:r>
        <w:rPr>
          <w:lang w:val="en-US"/>
        </w:rPr>
        <w:t xml:space="preserve"> After independence, most children in European orphanages were abandoned, as many Dutch citizens returned to the Netherlands. The abandoned children were left without passport, without parents or caregivers, despised by Indonesian society. Without identification documents, they were unable to travel to the Netherlands. Consequently, many of them lived in poverty and statelessness for the rest of their lives in Indonesia. Orphans or youth who were separated from their family and who tried to escape </w:t>
      </w:r>
      <w:r>
        <w:rPr>
          <w:lang w:val="en-US"/>
        </w:rPr>
        <w:lastRenderedPageBreak/>
        <w:t xml:space="preserve">Indonesia and requested a visa to travel to the Netherlands, were </w:t>
      </w:r>
      <w:r w:rsidRPr="007328B6">
        <w:rPr>
          <w:lang w:val="en-US"/>
        </w:rPr>
        <w:t>racially discriminated</w:t>
      </w:r>
      <w:r>
        <w:rPr>
          <w:lang w:val="en-US"/>
        </w:rPr>
        <w:t xml:space="preserve"> against: ‘Brown Indo-Europeans come from a tropical country, </w:t>
      </w:r>
      <w:r w:rsidRPr="00721CF8">
        <w:rPr>
          <w:lang w:val="en-US"/>
        </w:rPr>
        <w:t>which is associated with a slower work pace and specific Eastern characteristics and behaviors. The risk that they might sink to the lowest strata of Dutch society is too great</w:t>
      </w:r>
      <w:r>
        <w:rPr>
          <w:lang w:val="en-US"/>
        </w:rPr>
        <w:t>.’</w:t>
      </w:r>
      <w:r>
        <w:rPr>
          <w:rStyle w:val="FootnoteReference"/>
          <w:lang w:val="en-US"/>
        </w:rPr>
        <w:footnoteReference w:id="14"/>
      </w:r>
      <w:r>
        <w:rPr>
          <w:lang w:val="en-US"/>
        </w:rPr>
        <w:t xml:space="preserve"> White European children, however, were welcome to return to the metropole. </w:t>
      </w:r>
    </w:p>
    <w:p w14:paraId="0BFD2301" w14:textId="77777777" w:rsidR="009847E8" w:rsidRPr="002E530F" w:rsidRDefault="009847E8" w:rsidP="000D6B84">
      <w:pPr>
        <w:pStyle w:val="Maxhoofdtekst"/>
        <w:spacing w:line="276" w:lineRule="auto"/>
        <w:outlineLvl w:val="1"/>
        <w:rPr>
          <w:b/>
          <w:bCs/>
          <w:lang w:val="en-US"/>
        </w:rPr>
      </w:pPr>
      <w:bookmarkStart w:id="4" w:name="_Toc234183595"/>
      <w:r>
        <w:rPr>
          <w:b/>
          <w:bCs/>
          <w:lang w:val="en-US"/>
        </w:rPr>
        <w:t>Academic r</w:t>
      </w:r>
      <w:r w:rsidRPr="002E530F">
        <w:rPr>
          <w:b/>
          <w:bCs/>
          <w:lang w:val="en-US"/>
        </w:rPr>
        <w:t>elevance</w:t>
      </w:r>
      <w:bookmarkEnd w:id="4"/>
    </w:p>
    <w:p w14:paraId="09348BF9" w14:textId="77777777" w:rsidR="009847E8" w:rsidRDefault="009847E8" w:rsidP="000D6B84">
      <w:pPr>
        <w:pStyle w:val="Maxhoofdtekst"/>
        <w:spacing w:line="276" w:lineRule="auto"/>
        <w:ind w:firstLine="284"/>
        <w:rPr>
          <w:lang w:val="en-US"/>
        </w:rPr>
      </w:pPr>
      <w:r>
        <w:rPr>
          <w:lang w:val="en-US"/>
        </w:rPr>
        <w:t xml:space="preserve"> </w:t>
      </w:r>
      <w:r w:rsidRPr="001D6CB4">
        <w:rPr>
          <w:lang w:val="en-US"/>
        </w:rPr>
        <w:t>Extensive historical research has been conducted on interracial</w:t>
      </w:r>
      <w:r>
        <w:rPr>
          <w:lang w:val="en-US"/>
        </w:rPr>
        <w:t>ized</w:t>
      </w:r>
      <w:r w:rsidRPr="001D6CB4">
        <w:rPr>
          <w:lang w:val="en-US"/>
        </w:rPr>
        <w:t xml:space="preserve"> intimacies, sexual morality and discourses on child-rearing in the Dutch East Indies.</w:t>
      </w:r>
      <w:r>
        <w:rPr>
          <w:rStyle w:val="FootnoteReference"/>
          <w:lang w:val="en-US"/>
        </w:rPr>
        <w:footnoteReference w:id="15"/>
      </w:r>
      <w:r w:rsidRPr="001D6CB4">
        <w:rPr>
          <w:lang w:val="en-US"/>
        </w:rPr>
        <w:t xml:space="preserve"> </w:t>
      </w:r>
      <w:r w:rsidRPr="000538E9">
        <w:rPr>
          <w:lang w:val="en-US"/>
        </w:rPr>
        <w:t>Nonetheless, extensive legal-historical and legal philosophical research on the practice of taking children away from their parents on racial grounds has yet to be conducted.</w:t>
      </w:r>
      <w:r w:rsidRPr="000538E9">
        <w:rPr>
          <w:rStyle w:val="FootnoteReference"/>
          <w:lang w:val="en-US"/>
        </w:rPr>
        <w:footnoteReference w:id="16"/>
      </w:r>
      <w:r w:rsidRPr="001D6CB4">
        <w:rPr>
          <w:lang w:val="en-US"/>
        </w:rPr>
        <w:t xml:space="preserve"> </w:t>
      </w:r>
    </w:p>
    <w:p w14:paraId="3FEA822F" w14:textId="77777777" w:rsidR="009847E8" w:rsidRDefault="009847E8" w:rsidP="000D6B84">
      <w:pPr>
        <w:pStyle w:val="Maxhoofdtekst"/>
        <w:spacing w:line="276" w:lineRule="auto"/>
        <w:ind w:firstLine="284"/>
        <w:rPr>
          <w:rFonts w:cs="Calibri"/>
          <w:lang w:val="en-US"/>
        </w:rPr>
      </w:pPr>
      <w:r>
        <w:rPr>
          <w:rFonts w:cs="Calibri"/>
          <w:lang w:val="en-US"/>
        </w:rPr>
        <w:t>This thesis argues that child separation on racial grounds was a biopolitical technique exercised by different colonial actors – most importantly, the colonial state, the Protestant church and the Catholic church.</w:t>
      </w:r>
      <w:r>
        <w:rPr>
          <w:rStyle w:val="FootnoteReference"/>
          <w:rFonts w:cs="Calibri"/>
          <w:lang w:val="en-US"/>
        </w:rPr>
        <w:footnoteReference w:id="17"/>
      </w:r>
      <w:r>
        <w:rPr>
          <w:rFonts w:cs="Calibri"/>
          <w:lang w:val="en-US"/>
        </w:rPr>
        <w:t xml:space="preserve"> Viewing child separation as a biopolitical technique, as theorized by Foucault, helps us consider how legal and discursive interventions in colonial family life produced categories of race in the modern Dutch colonial empire. </w:t>
      </w:r>
      <w:r w:rsidRPr="001D6CB4">
        <w:rPr>
          <w:rFonts w:cs="Calibri"/>
          <w:lang w:val="en-US"/>
        </w:rPr>
        <w:t>As Betty de Hart pointed out in her inaugural lecture</w:t>
      </w:r>
      <w:r>
        <w:rPr>
          <w:rFonts w:cs="Calibri"/>
          <w:lang w:val="en-US"/>
        </w:rPr>
        <w:t xml:space="preserve"> in 2019</w:t>
      </w:r>
      <w:r w:rsidRPr="001D6CB4">
        <w:rPr>
          <w:rFonts w:cs="Calibri"/>
          <w:lang w:val="en-US"/>
        </w:rPr>
        <w:t xml:space="preserve">: ‘If we as legal scholars want to contribute to social justice and effectively combat racism, we need to take a close look at race thinking in our own legal past and how it has influenced the laws, regulations and legal scholarship with which we work today.’ The theoretical framework of Foucault and Stoler helps </w:t>
      </w:r>
      <w:r w:rsidRPr="001D6CB4">
        <w:rPr>
          <w:rFonts w:cs="Calibri"/>
          <w:lang w:val="en-US"/>
        </w:rPr>
        <w:lastRenderedPageBreak/>
        <w:t xml:space="preserve">to analyze </w:t>
      </w:r>
      <w:r>
        <w:rPr>
          <w:rFonts w:cs="Calibri"/>
          <w:lang w:val="en-US"/>
        </w:rPr>
        <w:t>the production of</w:t>
      </w:r>
      <w:r w:rsidRPr="001D6CB4">
        <w:rPr>
          <w:rFonts w:cs="Calibri"/>
          <w:lang w:val="en-US"/>
        </w:rPr>
        <w:t xml:space="preserve"> race </w:t>
      </w:r>
      <w:r>
        <w:rPr>
          <w:rFonts w:cs="Calibri"/>
          <w:lang w:val="en-US"/>
        </w:rPr>
        <w:t xml:space="preserve">and racialized </w:t>
      </w:r>
      <w:r w:rsidRPr="001D6CB4">
        <w:rPr>
          <w:rFonts w:cs="Calibri"/>
          <w:lang w:val="en-US"/>
        </w:rPr>
        <w:t>thinking in the Dutch colonial past, in l</w:t>
      </w:r>
      <w:r>
        <w:rPr>
          <w:rFonts w:cs="Calibri"/>
          <w:lang w:val="en-US"/>
        </w:rPr>
        <w:t xml:space="preserve">egal, political, academic and public </w:t>
      </w:r>
      <w:r w:rsidRPr="001D6CB4">
        <w:rPr>
          <w:rFonts w:cs="Calibri"/>
          <w:lang w:val="en-US"/>
        </w:rPr>
        <w:t>discourse</w:t>
      </w:r>
      <w:r>
        <w:rPr>
          <w:rFonts w:cs="Calibri"/>
          <w:lang w:val="en-US"/>
        </w:rPr>
        <w:t>s</w:t>
      </w:r>
      <w:r w:rsidRPr="001D6CB4">
        <w:rPr>
          <w:rFonts w:cs="Calibri"/>
          <w:lang w:val="en-US"/>
        </w:rPr>
        <w:t>.</w:t>
      </w:r>
      <w:r>
        <w:rPr>
          <w:rFonts w:cs="Calibri"/>
          <w:lang w:val="en-US"/>
        </w:rPr>
        <w:t xml:space="preserve"> Stoler stated her aim in </w:t>
      </w:r>
      <w:r w:rsidRPr="003117FF">
        <w:rPr>
          <w:rFonts w:cs="Calibri"/>
          <w:i/>
          <w:iCs/>
          <w:lang w:val="en-US"/>
        </w:rPr>
        <w:t>Race and The Education of Desire</w:t>
      </w:r>
      <w:r>
        <w:rPr>
          <w:rFonts w:cs="Calibri"/>
          <w:lang w:val="en-US"/>
        </w:rPr>
        <w:t xml:space="preserve"> was to ‘appreciate the ways in which Foucault’s understanding of biopower shaped how he saw the relationship between sexuality and race and thus between bourgeois Europe and its imperial order’.</w:t>
      </w:r>
      <w:r>
        <w:rPr>
          <w:rStyle w:val="FootnoteReference"/>
          <w:rFonts w:cs="Calibri"/>
          <w:lang w:val="en-US"/>
        </w:rPr>
        <w:footnoteReference w:id="18"/>
      </w:r>
      <w:r>
        <w:rPr>
          <w:rFonts w:cs="Calibri"/>
          <w:lang w:val="en-US"/>
        </w:rPr>
        <w:t xml:space="preserve"> And while Foucault had blind spots regarding gender and race thinking in the colony, his theory of biopower, sexuality and the production of race </w:t>
      </w:r>
      <w:r w:rsidRPr="001D6CB4">
        <w:rPr>
          <w:rFonts w:cs="Calibri"/>
          <w:lang w:val="en-US"/>
        </w:rPr>
        <w:t>–</w:t>
      </w:r>
      <w:r>
        <w:rPr>
          <w:rFonts w:cs="Calibri"/>
          <w:lang w:val="en-US"/>
        </w:rPr>
        <w:t xml:space="preserve"> complemented with Stoler’s rereading of it </w:t>
      </w:r>
      <w:r w:rsidRPr="001D6CB4">
        <w:rPr>
          <w:rFonts w:cs="Calibri"/>
          <w:lang w:val="en-US"/>
        </w:rPr>
        <w:t>–</w:t>
      </w:r>
      <w:r>
        <w:rPr>
          <w:rFonts w:cs="Calibri"/>
          <w:lang w:val="en-US"/>
        </w:rPr>
        <w:t xml:space="preserve"> helps us better understand how separating Indo-European children from their Indonesian mother was justified on racial grounds. </w:t>
      </w:r>
    </w:p>
    <w:p w14:paraId="22911DCB" w14:textId="77777777" w:rsidR="009847E8" w:rsidRPr="0038710D" w:rsidRDefault="009847E8" w:rsidP="000D6B84">
      <w:pPr>
        <w:pStyle w:val="Maxhoofdtekst"/>
        <w:spacing w:line="276" w:lineRule="auto"/>
        <w:ind w:firstLine="284"/>
        <w:rPr>
          <w:rFonts w:cs="Calibri"/>
          <w:lang w:val="en-US"/>
        </w:rPr>
      </w:pPr>
      <w:r>
        <w:rPr>
          <w:rFonts w:cs="Calibri"/>
          <w:lang w:val="en-US"/>
        </w:rPr>
        <w:t>Furthermore, by focusing on practices of child separation, this t</w:t>
      </w:r>
      <w:r w:rsidRPr="002F27B5">
        <w:rPr>
          <w:rFonts w:cs="Calibri"/>
          <w:lang w:val="en-US"/>
        </w:rPr>
        <w:t>hesis extends Stoler’s framework on the biopolitical techniques of power as used in the Dutch</w:t>
      </w:r>
      <w:r>
        <w:rPr>
          <w:rFonts w:cs="Calibri"/>
          <w:lang w:val="en-US"/>
        </w:rPr>
        <w:t xml:space="preserve"> colonial</w:t>
      </w:r>
      <w:r w:rsidRPr="002F27B5">
        <w:rPr>
          <w:rFonts w:cs="Calibri"/>
          <w:lang w:val="en-US"/>
        </w:rPr>
        <w:t xml:space="preserve"> </w:t>
      </w:r>
      <w:r>
        <w:rPr>
          <w:rFonts w:cs="Calibri"/>
          <w:lang w:val="en-US"/>
        </w:rPr>
        <w:t>e</w:t>
      </w:r>
      <w:r w:rsidRPr="002F27B5">
        <w:rPr>
          <w:rFonts w:cs="Calibri"/>
          <w:lang w:val="en-US"/>
        </w:rPr>
        <w:t>mpire</w:t>
      </w:r>
      <w:r>
        <w:rPr>
          <w:rFonts w:cs="Calibri"/>
          <w:lang w:val="en-US"/>
        </w:rPr>
        <w:t>. Although she discusses discursive practices concerning Indonesian women in the colony, their sexuality and their childrearing abilities, as well as the child as a center of power-knowledge, she does not address the biopolitical technique of child separation.</w:t>
      </w:r>
      <w:r>
        <w:rPr>
          <w:rStyle w:val="FootnoteReference"/>
          <w:rFonts w:cs="Calibri"/>
          <w:lang w:val="en-US"/>
        </w:rPr>
        <w:footnoteReference w:id="19"/>
      </w:r>
      <w:r>
        <w:rPr>
          <w:rFonts w:cs="Calibri"/>
          <w:lang w:val="en-US"/>
        </w:rPr>
        <w:t xml:space="preserve"> The aim of this thesis is to complement her work. </w:t>
      </w:r>
      <w:r>
        <w:rPr>
          <w:lang w:val="en-US"/>
        </w:rPr>
        <w:t>Stoler describes F</w:t>
      </w:r>
      <w:r w:rsidRPr="001D6CB4">
        <w:rPr>
          <w:lang w:val="en-US"/>
        </w:rPr>
        <w:t>oucault’s lectures as ‘an appreciation of historiography as a political force, of history writing as a political act, of historical narrative as a tool of the state and as a subversive weapon against it’.</w:t>
      </w:r>
      <w:r w:rsidRPr="001D6CB4">
        <w:rPr>
          <w:rStyle w:val="FootnoteReference"/>
          <w:rFonts w:cs="Calibri"/>
          <w:lang w:val="en-US"/>
        </w:rPr>
        <w:footnoteReference w:id="20"/>
      </w:r>
      <w:r w:rsidRPr="001D6CB4">
        <w:rPr>
          <w:lang w:val="en-US"/>
        </w:rPr>
        <w:t xml:space="preserve"> </w:t>
      </w:r>
      <w:r>
        <w:rPr>
          <w:lang w:val="en-US"/>
        </w:rPr>
        <w:t xml:space="preserve">The historiography presented in this thesis is therefore a subversive weapon against the unjust practices of child separation that occurred in the Dutch Empire, and the discourses surrounding these practices. </w:t>
      </w:r>
    </w:p>
    <w:p w14:paraId="3430AA9F" w14:textId="77777777" w:rsidR="009847E8" w:rsidRPr="002E530F" w:rsidRDefault="009847E8" w:rsidP="000D6B84">
      <w:pPr>
        <w:pStyle w:val="Maxhoofdtekst"/>
        <w:spacing w:line="276" w:lineRule="auto"/>
        <w:outlineLvl w:val="1"/>
        <w:rPr>
          <w:b/>
          <w:bCs/>
          <w:lang w:val="en-US"/>
        </w:rPr>
      </w:pPr>
      <w:bookmarkStart w:id="5" w:name="_Toc234183596"/>
      <w:r w:rsidRPr="002E530F">
        <w:rPr>
          <w:b/>
          <w:bCs/>
          <w:lang w:val="en-US"/>
        </w:rPr>
        <w:t>Language</w:t>
      </w:r>
      <w:r>
        <w:rPr>
          <w:b/>
          <w:bCs/>
          <w:lang w:val="en-US"/>
        </w:rPr>
        <w:t xml:space="preserve"> and the concept of race</w:t>
      </w:r>
      <w:bookmarkEnd w:id="5"/>
    </w:p>
    <w:p w14:paraId="4A0E603D" w14:textId="77777777" w:rsidR="009847E8" w:rsidRDefault="009847E8" w:rsidP="000D6B84">
      <w:pPr>
        <w:pStyle w:val="Maxhoofdtekst"/>
        <w:spacing w:line="276" w:lineRule="auto"/>
        <w:ind w:firstLine="284"/>
        <w:rPr>
          <w:lang w:val="en-US"/>
        </w:rPr>
      </w:pPr>
      <w:r>
        <w:rPr>
          <w:lang w:val="en-US"/>
        </w:rPr>
        <w:t>This thesis analyzes colonial discourses and a colonial legal system. As a consequence of using colonial archives, case law and literature, the language is permeated with colonial, and therefore often, racialized languages.</w:t>
      </w:r>
      <w:r w:rsidRPr="001D6CB4">
        <w:rPr>
          <w:rStyle w:val="FootnoteReference"/>
          <w:rFonts w:cs="Calibri"/>
          <w:szCs w:val="22"/>
          <w:lang w:val="en-US"/>
        </w:rPr>
        <w:footnoteReference w:id="21"/>
      </w:r>
      <w:r>
        <w:rPr>
          <w:lang w:val="en-US"/>
        </w:rPr>
        <w:t xml:space="preserve"> Terminology concerning race and colonized people is often deeply pejorative. I will only reproduce this terminology where necessary – when quoting primary sources,</w:t>
      </w:r>
      <w:r w:rsidRPr="00705C3B">
        <w:rPr>
          <w:lang w:val="en-US"/>
        </w:rPr>
        <w:t xml:space="preserve"> </w:t>
      </w:r>
      <w:r>
        <w:rPr>
          <w:lang w:val="en-US"/>
        </w:rPr>
        <w:t xml:space="preserve">for instance. </w:t>
      </w:r>
    </w:p>
    <w:p w14:paraId="248EF322" w14:textId="77777777" w:rsidR="009847E8" w:rsidRDefault="009847E8" w:rsidP="000D6B84">
      <w:pPr>
        <w:pStyle w:val="Maxhoofdtekst"/>
        <w:spacing w:line="276" w:lineRule="auto"/>
        <w:ind w:firstLine="284"/>
        <w:rPr>
          <w:lang w:val="en-US"/>
        </w:rPr>
      </w:pPr>
      <w:r w:rsidRPr="001D6CB4">
        <w:rPr>
          <w:lang w:val="en-US"/>
        </w:rPr>
        <w:t>Since ‘race’ is a social</w:t>
      </w:r>
      <w:r>
        <w:rPr>
          <w:lang w:val="en-US"/>
        </w:rPr>
        <w:t>ly</w:t>
      </w:r>
      <w:r w:rsidRPr="001D6CB4">
        <w:rPr>
          <w:lang w:val="en-US"/>
        </w:rPr>
        <w:t xml:space="preserve"> construc</w:t>
      </w:r>
      <w:r>
        <w:rPr>
          <w:lang w:val="en-US"/>
        </w:rPr>
        <w:t>ted concept</w:t>
      </w:r>
      <w:r w:rsidRPr="001D6CB4">
        <w:rPr>
          <w:lang w:val="en-US"/>
        </w:rPr>
        <w:t xml:space="preserve"> rather than a </w:t>
      </w:r>
      <w:r>
        <w:rPr>
          <w:lang w:val="en-US"/>
        </w:rPr>
        <w:t>biological fact,</w:t>
      </w:r>
      <w:r w:rsidRPr="001D6CB4">
        <w:rPr>
          <w:lang w:val="en-US"/>
        </w:rPr>
        <w:t xml:space="preserve"> </w:t>
      </w:r>
      <w:r>
        <w:rPr>
          <w:lang w:val="en-US"/>
        </w:rPr>
        <w:t>I will</w:t>
      </w:r>
      <w:r w:rsidRPr="001D6CB4">
        <w:rPr>
          <w:lang w:val="en-US"/>
        </w:rPr>
        <w:t xml:space="preserve"> use the </w:t>
      </w:r>
      <w:r>
        <w:rPr>
          <w:lang w:val="en-US"/>
        </w:rPr>
        <w:t>terminology of</w:t>
      </w:r>
      <w:r w:rsidRPr="001D6CB4">
        <w:rPr>
          <w:lang w:val="en-US"/>
        </w:rPr>
        <w:t xml:space="preserve"> ‘interracialized relationships</w:t>
      </w:r>
      <w:r>
        <w:rPr>
          <w:lang w:val="en-US"/>
        </w:rPr>
        <w:t>’</w:t>
      </w:r>
      <w:r w:rsidRPr="001D6CB4">
        <w:rPr>
          <w:lang w:val="en-US"/>
        </w:rPr>
        <w:t xml:space="preserve"> and ‘mul</w:t>
      </w:r>
      <w:r>
        <w:rPr>
          <w:lang w:val="en-US"/>
        </w:rPr>
        <w:t>tir</w:t>
      </w:r>
      <w:r w:rsidRPr="001D6CB4">
        <w:rPr>
          <w:lang w:val="en-US"/>
        </w:rPr>
        <w:t>acialized individuals</w:t>
      </w:r>
      <w:r>
        <w:rPr>
          <w:lang w:val="en-US"/>
        </w:rPr>
        <w:t xml:space="preserve">’, following Jin Haritaworn’s scholarship. They use the term ‘interracialization’ </w:t>
      </w:r>
      <w:r w:rsidRPr="001D6CB4">
        <w:rPr>
          <w:lang w:val="en-US"/>
        </w:rPr>
        <w:t>to</w:t>
      </w:r>
      <w:r>
        <w:rPr>
          <w:lang w:val="en-US"/>
        </w:rPr>
        <w:t xml:space="preserve"> refer to</w:t>
      </w:r>
      <w:r w:rsidRPr="001D6CB4">
        <w:rPr>
          <w:lang w:val="en-US"/>
        </w:rPr>
        <w:t xml:space="preserve"> relationships between differentially racialized individuals and</w:t>
      </w:r>
      <w:r>
        <w:rPr>
          <w:lang w:val="en-US"/>
        </w:rPr>
        <w:t xml:space="preserve"> the term ‘multiracialization’ to </w:t>
      </w:r>
      <w:r w:rsidRPr="001D6CB4">
        <w:rPr>
          <w:lang w:val="en-US"/>
        </w:rPr>
        <w:t>their offspring</w:t>
      </w:r>
      <w:r>
        <w:rPr>
          <w:lang w:val="en-US"/>
        </w:rPr>
        <w:t>.</w:t>
      </w:r>
      <w:r>
        <w:rPr>
          <w:rStyle w:val="FootnoteReference"/>
          <w:rFonts w:cs="Calibri"/>
          <w:lang w:val="en-US"/>
        </w:rPr>
        <w:footnoteReference w:id="22"/>
      </w:r>
      <w:r>
        <w:rPr>
          <w:lang w:val="en-US"/>
        </w:rPr>
        <w:t xml:space="preserve"> Indeed, the aim of this thesis is to demonstrate how race is constructed, and how colonial discourses and government policies were aimed at producing racialized distinctions, and maintaining a social hierarchy based on racialization. </w:t>
      </w:r>
    </w:p>
    <w:p w14:paraId="1B121334" w14:textId="77777777" w:rsidR="009847E8" w:rsidRPr="00721CF8" w:rsidRDefault="009847E8" w:rsidP="005C3389">
      <w:pPr>
        <w:pStyle w:val="Maxhoofdtekst"/>
        <w:spacing w:line="276" w:lineRule="auto"/>
        <w:ind w:firstLine="284"/>
        <w:rPr>
          <w:lang w:val="en-US"/>
        </w:rPr>
      </w:pPr>
      <w:r>
        <w:rPr>
          <w:lang w:val="en-US"/>
        </w:rPr>
        <w:lastRenderedPageBreak/>
        <w:t xml:space="preserve">Furthermore, this thesis uses the word ‘Indonesian women/mothers/concubines’ to refer to women living in concubinage in the former Dutch East Indies. The majority of the archival sources refer to them as native, mainly in a pejorative sense. Therefore, I refrain from reproducing this terminology and choose to refer to them as ‘Indonesian’. </w:t>
      </w:r>
      <w:r w:rsidRPr="002E38B9">
        <w:rPr>
          <w:lang w:val="en-US"/>
        </w:rPr>
        <w:t>Nonetheless, the Indonesian archipelago was a diverse country with people from various heritages. Many citizens were immigrants from surrounding Asian countries, such as China</w:t>
      </w:r>
      <w:r>
        <w:rPr>
          <w:lang w:val="en-US"/>
        </w:rPr>
        <w:t xml:space="preserve"> and</w:t>
      </w:r>
      <w:r w:rsidRPr="002E38B9">
        <w:rPr>
          <w:lang w:val="en-US"/>
        </w:rPr>
        <w:t xml:space="preserve"> India, communities that had been present in the archipelago for centuries due to trade and migration</w:t>
      </w:r>
      <w:r>
        <w:rPr>
          <w:lang w:val="en-US"/>
        </w:rPr>
        <w:t>,</w:t>
      </w:r>
      <w:r w:rsidRPr="002E38B9">
        <w:rPr>
          <w:lang w:val="en-US"/>
        </w:rPr>
        <w:t xml:space="preserve"> </w:t>
      </w:r>
      <w:r>
        <w:rPr>
          <w:lang w:val="en-US"/>
        </w:rPr>
        <w:t>which</w:t>
      </w:r>
      <w:r w:rsidRPr="002E38B9">
        <w:rPr>
          <w:lang w:val="en-US"/>
        </w:rPr>
        <w:t xml:space="preserve"> long preceded Dutch colonial rule</w:t>
      </w:r>
      <w:r w:rsidRPr="000538E9">
        <w:rPr>
          <w:lang w:val="en-US"/>
        </w:rPr>
        <w:t>. The term 'Indonesian' is therefore used here as a geographical and political indicator but does not claim any ethnic or cultural homogeneity. It is chosen for its neutrality relative to the colonial terminology</w:t>
      </w:r>
      <w:r w:rsidRPr="002E38B9">
        <w:rPr>
          <w:lang w:val="en-US"/>
        </w:rPr>
        <w:t xml:space="preserve"> of the sources, while acknowledging that the women referred to in this thesis came from a heterogeneous society that cannot be reduced to a single </w:t>
      </w:r>
      <w:r>
        <w:rPr>
          <w:lang w:val="en-US"/>
        </w:rPr>
        <w:t>heritage</w:t>
      </w:r>
      <w:r w:rsidRPr="002E38B9">
        <w:rPr>
          <w:lang w:val="en-US"/>
        </w:rPr>
        <w:t>.</w:t>
      </w:r>
      <w:r>
        <w:rPr>
          <w:lang w:val="en-US"/>
        </w:rPr>
        <w:t xml:space="preserve"> Moreover, I acknowledge that ‘Indonesian’ was not a nationality until 1945-49, but I think the reasons I present here for using this term outweigh historical anachronism.</w:t>
      </w:r>
    </w:p>
    <w:p w14:paraId="1F77800B" w14:textId="77777777" w:rsidR="009847E8" w:rsidRPr="001D6CB4" w:rsidRDefault="009847E8" w:rsidP="000D6B84">
      <w:pPr>
        <w:pStyle w:val="Maxhoofdteks"/>
        <w:spacing w:after="80" w:line="276" w:lineRule="auto"/>
        <w:ind w:left="0"/>
        <w:outlineLvl w:val="1"/>
        <w:rPr>
          <w:rFonts w:cs="Calibri"/>
          <w:b/>
          <w:bCs/>
          <w:lang w:val="en-US"/>
        </w:rPr>
      </w:pPr>
      <w:bookmarkStart w:id="6" w:name="_Toc234183597"/>
      <w:r>
        <w:rPr>
          <w:rFonts w:cs="Calibri"/>
          <w:b/>
          <w:bCs/>
          <w:lang w:val="en-US"/>
        </w:rPr>
        <w:t>Remarks regarding methodology</w:t>
      </w:r>
      <w:bookmarkEnd w:id="6"/>
    </w:p>
    <w:p w14:paraId="4677EAC8" w14:textId="77777777" w:rsidR="009847E8" w:rsidRDefault="009847E8" w:rsidP="00B23996">
      <w:pPr>
        <w:pStyle w:val="Maxhoofdtekst"/>
        <w:spacing w:line="276" w:lineRule="auto"/>
        <w:ind w:firstLine="284"/>
        <w:rPr>
          <w:lang w:val="en-US"/>
        </w:rPr>
      </w:pPr>
      <w:r w:rsidRPr="009C66BF">
        <w:rPr>
          <w:lang w:val="en-US"/>
        </w:rPr>
        <w:t>This thesis takes an interdisciplinary approach, combining a legal-historical method with a legal-philosophical analysis.</w:t>
      </w:r>
      <w:r>
        <w:rPr>
          <w:lang w:val="en-US"/>
        </w:rPr>
        <w:t xml:space="preserve"> </w:t>
      </w:r>
      <w:r w:rsidRPr="001D6CB4">
        <w:rPr>
          <w:lang w:val="en-US"/>
        </w:rPr>
        <w:t xml:space="preserve">One of the major pitfalls in postcolonial research is epistemic limits in using archives drafted by the </w:t>
      </w:r>
      <w:r>
        <w:rPr>
          <w:lang w:val="en-US"/>
        </w:rPr>
        <w:t xml:space="preserve">former </w:t>
      </w:r>
      <w:r w:rsidRPr="001D6CB4">
        <w:rPr>
          <w:lang w:val="en-US"/>
        </w:rPr>
        <w:t>ruling colonizer</w:t>
      </w:r>
      <w:r>
        <w:rPr>
          <w:lang w:val="en-US"/>
        </w:rPr>
        <w:t xml:space="preserve"> and its institutions</w:t>
      </w:r>
      <w:r w:rsidRPr="001D6CB4">
        <w:rPr>
          <w:lang w:val="en-US"/>
        </w:rPr>
        <w:t>.</w:t>
      </w:r>
      <w:r>
        <w:rPr>
          <w:rStyle w:val="FootnoteReference"/>
          <w:rFonts w:cs="Calibri"/>
          <w:lang w:val="en-US"/>
        </w:rPr>
        <w:footnoteReference w:id="23"/>
      </w:r>
      <w:r>
        <w:rPr>
          <w:lang w:val="en-US"/>
        </w:rPr>
        <w:t xml:space="preserve"> Historical narratives are produced by those in power, and their production involves ‘the uneven contribution of competing groups and individuals who have unequal access to the means for such production’, as Michel-Rolph Trouillot puts it.</w:t>
      </w:r>
      <w:r>
        <w:rPr>
          <w:rStyle w:val="FootnoteReference"/>
          <w:lang w:val="en-US"/>
        </w:rPr>
        <w:footnoteReference w:id="24"/>
      </w:r>
      <w:r>
        <w:rPr>
          <w:lang w:val="en-US"/>
        </w:rPr>
        <w:t xml:space="preserve"> Trouillot reminds us that the process of historical production – wherein sources are created and assembled in the archives, and narratives and retrospective significance are produced – is permeated with silences.</w:t>
      </w:r>
      <w:r>
        <w:rPr>
          <w:rStyle w:val="FootnoteReference"/>
          <w:lang w:val="en-US"/>
        </w:rPr>
        <w:footnoteReference w:id="25"/>
      </w:r>
      <w:r>
        <w:rPr>
          <w:lang w:val="en-US"/>
        </w:rPr>
        <w:t xml:space="preserve"> This is especially true when it comes to archives assembled by colonial agents. Therefore, i</w:t>
      </w:r>
      <w:r w:rsidRPr="001D6CB4">
        <w:rPr>
          <w:lang w:val="en-US"/>
        </w:rPr>
        <w:t>t is necessary to read colonial archival sources ‘</w:t>
      </w:r>
      <w:r>
        <w:rPr>
          <w:lang w:val="en-US"/>
        </w:rPr>
        <w:t>along</w:t>
      </w:r>
      <w:r w:rsidRPr="001D6CB4">
        <w:rPr>
          <w:lang w:val="en-US"/>
        </w:rPr>
        <w:t xml:space="preserve"> the archival grain’, as</w:t>
      </w:r>
      <w:r>
        <w:rPr>
          <w:lang w:val="en-US"/>
        </w:rPr>
        <w:t xml:space="preserve"> Ann</w:t>
      </w:r>
      <w:r w:rsidRPr="001D6CB4">
        <w:rPr>
          <w:lang w:val="en-US"/>
        </w:rPr>
        <w:t xml:space="preserve"> Stoler argues.</w:t>
      </w:r>
      <w:r>
        <w:rPr>
          <w:rStyle w:val="FootnoteReference"/>
          <w:lang w:val="en-US"/>
        </w:rPr>
        <w:footnoteReference w:id="26"/>
      </w:r>
      <w:r w:rsidRPr="001D6CB4">
        <w:rPr>
          <w:lang w:val="en-US"/>
        </w:rPr>
        <w:t xml:space="preserve"> </w:t>
      </w:r>
      <w:r>
        <w:rPr>
          <w:lang w:val="en-US"/>
        </w:rPr>
        <w:t>She encourages students of the colonial to focus on archiving-as-process rather than archives-as-things: one should not merely look at the content of archives, the facts they record, but rather at the principles of governance embedded in their archival form.</w:t>
      </w:r>
      <w:r>
        <w:rPr>
          <w:rStyle w:val="FootnoteReference"/>
          <w:lang w:val="en-US"/>
        </w:rPr>
        <w:footnoteReference w:id="27"/>
      </w:r>
      <w:r w:rsidRPr="009847E8">
        <w:rPr>
          <w:lang w:val="en-GB"/>
        </w:rPr>
        <w:t xml:space="preserve"> </w:t>
      </w:r>
      <w:r w:rsidRPr="00B23996">
        <w:rPr>
          <w:lang w:val="en-US"/>
        </w:rPr>
        <w:t>Rather than treating archives as ‘skewed and biased sources’ to be corrected for, Stoler reads them as ‘condensed sites of epistemological and political anxiety’, in which the instabilities and repetitions of colonial documents reveal the fragility of the racial and moral order they sought to enforce.</w:t>
      </w:r>
      <w:r>
        <w:rPr>
          <w:lang w:val="en-US"/>
        </w:rPr>
        <w:t xml:space="preserve"> Moreover, she encourages students to focus on the ‘affective dimensions of colonial governance’</w:t>
      </w:r>
      <w:r>
        <w:rPr>
          <w:rStyle w:val="FootnoteReference"/>
          <w:lang w:val="en-US"/>
        </w:rPr>
        <w:footnoteReference w:id="28"/>
      </w:r>
      <w:r>
        <w:rPr>
          <w:lang w:val="en-US"/>
        </w:rPr>
        <w:t>: the affective attachments colonial agents had for family, their culture, their homes, and the extent to which these attachments were put under the colonial state’s control.</w:t>
      </w:r>
    </w:p>
    <w:p w14:paraId="0176CAC2" w14:textId="77777777" w:rsidR="009847E8" w:rsidRPr="009847E8" w:rsidRDefault="009847E8" w:rsidP="00B23996">
      <w:pPr>
        <w:pStyle w:val="Maxhoofdtekst"/>
        <w:spacing w:line="276" w:lineRule="auto"/>
        <w:ind w:firstLine="284"/>
        <w:rPr>
          <w:lang w:val="en-GB"/>
        </w:rPr>
      </w:pPr>
      <w:r w:rsidRPr="00B23996">
        <w:rPr>
          <w:lang w:val="en-US"/>
        </w:rPr>
        <w:lastRenderedPageBreak/>
        <w:t xml:space="preserve">Following this approach, I </w:t>
      </w:r>
      <w:r>
        <w:rPr>
          <w:lang w:val="en-US"/>
        </w:rPr>
        <w:t>analyze</w:t>
      </w:r>
      <w:r w:rsidRPr="00B23996">
        <w:rPr>
          <w:lang w:val="en-US"/>
        </w:rPr>
        <w:t xml:space="preserve"> </w:t>
      </w:r>
      <w:r>
        <w:rPr>
          <w:lang w:val="en-US"/>
        </w:rPr>
        <w:t>colonial</w:t>
      </w:r>
      <w:r w:rsidRPr="00B23996">
        <w:rPr>
          <w:lang w:val="en-US"/>
        </w:rPr>
        <w:t xml:space="preserve"> sources</w:t>
      </w:r>
      <w:r>
        <w:rPr>
          <w:lang w:val="en-US"/>
        </w:rPr>
        <w:t xml:space="preserve"> – Dutch </w:t>
      </w:r>
      <w:r w:rsidRPr="00B23996">
        <w:rPr>
          <w:lang w:val="en-US"/>
        </w:rPr>
        <w:t>East Indies Council</w:t>
      </w:r>
      <w:r>
        <w:rPr>
          <w:lang w:val="en-US"/>
        </w:rPr>
        <w:t xml:space="preserve"> of Justice</w:t>
      </w:r>
      <w:r w:rsidRPr="00B23996">
        <w:rPr>
          <w:lang w:val="en-US"/>
        </w:rPr>
        <w:t xml:space="preserve"> </w:t>
      </w:r>
      <w:r>
        <w:rPr>
          <w:lang w:val="en-US"/>
        </w:rPr>
        <w:t>rulings</w:t>
      </w:r>
      <w:r w:rsidRPr="00B23996">
        <w:rPr>
          <w:lang w:val="en-US"/>
        </w:rPr>
        <w:t>, pauperism commission findings</w:t>
      </w:r>
      <w:r>
        <w:rPr>
          <w:lang w:val="en-US"/>
        </w:rPr>
        <w:t>, journal articles and books on colonial society</w:t>
      </w:r>
      <w:r w:rsidRPr="00B23996">
        <w:rPr>
          <w:lang w:val="en-US"/>
        </w:rPr>
        <w:t xml:space="preserve"> — not only </w:t>
      </w:r>
      <w:r>
        <w:rPr>
          <w:lang w:val="en-US"/>
        </w:rPr>
        <w:t>based on</w:t>
      </w:r>
      <w:r w:rsidRPr="00B23996">
        <w:rPr>
          <w:lang w:val="en-US"/>
        </w:rPr>
        <w:t xml:space="preserve"> what they </w:t>
      </w:r>
      <w:r>
        <w:rPr>
          <w:lang w:val="en-US"/>
        </w:rPr>
        <w:t>write</w:t>
      </w:r>
      <w:r w:rsidRPr="00B23996">
        <w:rPr>
          <w:lang w:val="en-US"/>
        </w:rPr>
        <w:t xml:space="preserve"> about Indo-European children and their Indonesian mothers, but for </w:t>
      </w:r>
      <w:r>
        <w:rPr>
          <w:lang w:val="en-US"/>
        </w:rPr>
        <w:t>their ‘arts of persuasion’</w:t>
      </w:r>
      <w:r w:rsidRPr="00B23996">
        <w:rPr>
          <w:lang w:val="en-US"/>
        </w:rPr>
        <w:t xml:space="preserve">: the recurrent language of danger and degeneration, the anxious justification of state intervention into the </w:t>
      </w:r>
      <w:r>
        <w:rPr>
          <w:lang w:val="en-US"/>
        </w:rPr>
        <w:t>domestic sphere</w:t>
      </w:r>
      <w:r w:rsidRPr="00B23996">
        <w:rPr>
          <w:lang w:val="en-US"/>
        </w:rPr>
        <w:t>, and the rhetoric</w:t>
      </w:r>
      <w:r>
        <w:rPr>
          <w:lang w:val="en-US"/>
        </w:rPr>
        <w:t xml:space="preserve"> used</w:t>
      </w:r>
      <w:r w:rsidRPr="00B23996">
        <w:rPr>
          <w:lang w:val="en-US"/>
        </w:rPr>
        <w:t xml:space="preserve"> to legitimize the removal of children from their mothers. These </w:t>
      </w:r>
      <w:r>
        <w:rPr>
          <w:lang w:val="en-US"/>
        </w:rPr>
        <w:t>characteristics and patterns</w:t>
      </w:r>
      <w:r w:rsidRPr="00B23996">
        <w:rPr>
          <w:lang w:val="en-US"/>
        </w:rPr>
        <w:t xml:space="preserve"> are evidence of the uncertainty underlying the racial</w:t>
      </w:r>
      <w:r>
        <w:rPr>
          <w:lang w:val="en-US"/>
        </w:rPr>
        <w:t xml:space="preserve"> and social</w:t>
      </w:r>
      <w:r w:rsidRPr="00B23996">
        <w:rPr>
          <w:lang w:val="en-US"/>
        </w:rPr>
        <w:t xml:space="preserve"> </w:t>
      </w:r>
      <w:r>
        <w:rPr>
          <w:lang w:val="en-US"/>
        </w:rPr>
        <w:t>hierarchies I examine in</w:t>
      </w:r>
      <w:r w:rsidRPr="00B23996">
        <w:rPr>
          <w:lang w:val="en-US"/>
        </w:rPr>
        <w:t xml:space="preserve"> this thesis</w:t>
      </w:r>
      <w:r>
        <w:rPr>
          <w:lang w:val="en-US"/>
        </w:rPr>
        <w:t>.</w:t>
      </w:r>
    </w:p>
    <w:p w14:paraId="454D2E9F" w14:textId="77777777" w:rsidR="009847E8" w:rsidRDefault="009847E8" w:rsidP="000D6B84">
      <w:pPr>
        <w:pStyle w:val="Maxhoofdtekst"/>
        <w:spacing w:line="276" w:lineRule="auto"/>
        <w:ind w:firstLine="284"/>
        <w:rPr>
          <w:lang w:val="en-US"/>
        </w:rPr>
      </w:pPr>
      <w:r>
        <w:rPr>
          <w:lang w:val="en-US"/>
        </w:rPr>
        <w:t xml:space="preserve">Furthermore, in chapter 3, I analyze case law on guardianship rights. This analysis is limited to rulings by the two highest government courts, namely the </w:t>
      </w:r>
      <w:r w:rsidRPr="00473BEF">
        <w:rPr>
          <w:i/>
          <w:iCs/>
          <w:lang w:val="en-US"/>
        </w:rPr>
        <w:t>Hooggerechtshof</w:t>
      </w:r>
      <w:r>
        <w:rPr>
          <w:lang w:val="en-US"/>
        </w:rPr>
        <w:t xml:space="preserve"> (Supreme Court) and the </w:t>
      </w:r>
      <w:r w:rsidRPr="00473BEF">
        <w:rPr>
          <w:i/>
          <w:iCs/>
          <w:lang w:val="en-US"/>
        </w:rPr>
        <w:t>Raden van Justitie</w:t>
      </w:r>
      <w:r>
        <w:rPr>
          <w:lang w:val="en-US"/>
        </w:rPr>
        <w:t xml:space="preserve"> (Councils of Justice).</w:t>
      </w:r>
      <w:r>
        <w:rPr>
          <w:rStyle w:val="FootnoteReference"/>
          <w:lang w:val="en-US"/>
        </w:rPr>
        <w:footnoteReference w:id="29"/>
      </w:r>
      <w:r>
        <w:rPr>
          <w:lang w:val="en-US"/>
        </w:rPr>
        <w:t xml:space="preserve"> M</w:t>
      </w:r>
      <w:r w:rsidRPr="001D6CB4">
        <w:rPr>
          <w:lang w:val="en-US"/>
        </w:rPr>
        <w:t xml:space="preserve">any </w:t>
      </w:r>
      <w:r>
        <w:rPr>
          <w:lang w:val="en-US"/>
        </w:rPr>
        <w:t>Indonesian</w:t>
      </w:r>
      <w:r w:rsidRPr="001D6CB4">
        <w:rPr>
          <w:lang w:val="en-US"/>
        </w:rPr>
        <w:t xml:space="preserve"> women lacked access to legal redress for practices of child separation</w:t>
      </w:r>
      <w:r>
        <w:rPr>
          <w:lang w:val="en-US"/>
        </w:rPr>
        <w:t>, especially due to their ‘native’ citizenship</w:t>
      </w:r>
      <w:r w:rsidRPr="001D6CB4">
        <w:rPr>
          <w:lang w:val="en-US"/>
        </w:rPr>
        <w:t xml:space="preserve">. For this reason, the number of court rulings on this subject is </w:t>
      </w:r>
      <w:r>
        <w:rPr>
          <w:lang w:val="en-US"/>
        </w:rPr>
        <w:t>quite</w:t>
      </w:r>
      <w:r w:rsidRPr="001D6CB4">
        <w:rPr>
          <w:lang w:val="en-US"/>
        </w:rPr>
        <w:t xml:space="preserve"> limited. Nevertheless, I aim to contribute to a ‘total collage of recalling the Indies’ using the selected case law, as individual accounts can still provide useful insights about legal discourses on child separation practices in the Dutch East Indies. </w:t>
      </w:r>
    </w:p>
    <w:p w14:paraId="3D0261CE" w14:textId="77777777" w:rsidR="009847E8" w:rsidRPr="001151A4" w:rsidRDefault="009847E8" w:rsidP="000D6B84">
      <w:pPr>
        <w:pStyle w:val="Maxhoofdtekst"/>
        <w:spacing w:line="276" w:lineRule="auto"/>
        <w:rPr>
          <w:lang w:val="en-US"/>
        </w:rPr>
      </w:pPr>
      <w:r w:rsidRPr="001151A4">
        <w:rPr>
          <w:lang w:val="en-US"/>
        </w:rPr>
        <w:br w:type="page"/>
      </w:r>
    </w:p>
    <w:p w14:paraId="1F6EEB30" w14:textId="77777777" w:rsidR="009847E8" w:rsidRPr="002D6DB8" w:rsidRDefault="009847E8">
      <w:pPr>
        <w:pStyle w:val="ListParagraph"/>
        <w:numPr>
          <w:ilvl w:val="0"/>
          <w:numId w:val="5"/>
        </w:numPr>
        <w:spacing w:after="0" w:line="276" w:lineRule="auto"/>
        <w:jc w:val="both"/>
        <w:outlineLvl w:val="0"/>
        <w:rPr>
          <w:rFonts w:cs="Calibri"/>
          <w:b/>
          <w:bCs/>
          <w:sz w:val="22"/>
          <w:szCs w:val="22"/>
          <w:lang w:val="en-US"/>
        </w:rPr>
      </w:pPr>
      <w:bookmarkStart w:id="7" w:name="_Toc234183598"/>
      <w:r w:rsidRPr="002D6DB8">
        <w:rPr>
          <w:rFonts w:cs="Calibri"/>
          <w:b/>
          <w:bCs/>
          <w:sz w:val="22"/>
          <w:szCs w:val="22"/>
          <w:lang w:val="en-US"/>
        </w:rPr>
        <w:lastRenderedPageBreak/>
        <w:t>Biopolitics, Sexuality and Race in the Colony</w:t>
      </w:r>
      <w:bookmarkEnd w:id="7"/>
    </w:p>
    <w:p w14:paraId="7D41519F" w14:textId="77777777" w:rsidR="009847E8" w:rsidRDefault="009847E8" w:rsidP="002D6DB8">
      <w:pPr>
        <w:pStyle w:val="Maxhoofdtekst"/>
        <w:spacing w:line="276" w:lineRule="auto"/>
        <w:ind w:firstLine="284"/>
        <w:rPr>
          <w:rFonts w:cs="Calibri"/>
          <w:lang w:val="en-US"/>
        </w:rPr>
      </w:pPr>
      <w:r w:rsidRPr="001D6CB4">
        <w:rPr>
          <w:rFonts w:cs="Calibri"/>
          <w:lang w:val="en-US"/>
        </w:rPr>
        <w:t xml:space="preserve">In this chapter, I will </w:t>
      </w:r>
      <w:r>
        <w:rPr>
          <w:rFonts w:cs="Calibri"/>
          <w:lang w:val="en-US"/>
        </w:rPr>
        <w:t xml:space="preserve">outline </w:t>
      </w:r>
      <w:r w:rsidRPr="002F27B5">
        <w:rPr>
          <w:rFonts w:cs="Calibri"/>
          <w:lang w:val="en-US"/>
        </w:rPr>
        <w:t>a theoretical framework grounded in the work of Michel Foucault and Ann Laura Stoler, focusing on discourses of sexuality and race in the</w:t>
      </w:r>
      <w:r>
        <w:rPr>
          <w:rFonts w:cs="Calibri"/>
          <w:lang w:val="en-US"/>
        </w:rPr>
        <w:t xml:space="preserve"> context of Dutch colonialism. I will argue that their theories provide a valuable framework for analyzing practices of child separation and discourses on Indonesian women’s sexuality and their childrearing abilities. </w:t>
      </w:r>
    </w:p>
    <w:p w14:paraId="4DE54203" w14:textId="77777777" w:rsidR="009847E8" w:rsidRDefault="009847E8" w:rsidP="002D6DB8">
      <w:pPr>
        <w:pStyle w:val="Maxhoofdtekst"/>
        <w:spacing w:line="276" w:lineRule="auto"/>
        <w:ind w:firstLine="284"/>
        <w:rPr>
          <w:rFonts w:cs="Calibri"/>
          <w:lang w:val="en-US"/>
        </w:rPr>
      </w:pPr>
      <w:r w:rsidRPr="001D6CB4">
        <w:rPr>
          <w:rFonts w:cs="Calibri"/>
          <w:lang w:val="en-US"/>
        </w:rPr>
        <w:t xml:space="preserve">In 1976, Foucault published the first part of his multi-volumed work </w:t>
      </w:r>
      <w:r w:rsidRPr="001D6CB4">
        <w:rPr>
          <w:rFonts w:cs="Calibri"/>
          <w:i/>
          <w:iCs/>
          <w:lang w:val="en-US"/>
        </w:rPr>
        <w:t xml:space="preserve">The History of Sexuality, </w:t>
      </w:r>
      <w:r w:rsidRPr="001D6CB4">
        <w:rPr>
          <w:rFonts w:cs="Calibri"/>
          <w:lang w:val="en-US"/>
        </w:rPr>
        <w:t>named</w:t>
      </w:r>
      <w:r w:rsidRPr="001D6CB4">
        <w:rPr>
          <w:rFonts w:cs="Calibri"/>
          <w:i/>
          <w:iCs/>
          <w:lang w:val="en-US"/>
        </w:rPr>
        <w:t xml:space="preserve"> The Will to Knowledge</w:t>
      </w:r>
      <w:r w:rsidRPr="001D6CB4">
        <w:rPr>
          <w:rFonts w:cs="Calibri"/>
          <w:lang w:val="en-US"/>
        </w:rPr>
        <w:t>.</w:t>
      </w:r>
      <w:r w:rsidRPr="001D6CB4">
        <w:rPr>
          <w:rStyle w:val="FootnoteReference"/>
          <w:rFonts w:cs="Calibri"/>
          <w:lang w:val="en-US"/>
        </w:rPr>
        <w:footnoteReference w:id="30"/>
      </w:r>
      <w:r w:rsidRPr="001D6CB4">
        <w:rPr>
          <w:rFonts w:cs="Calibri"/>
          <w:lang w:val="en-US"/>
        </w:rPr>
        <w:t xml:space="preserve"> In this volume, he develops an arch</w:t>
      </w:r>
      <w:r>
        <w:rPr>
          <w:rFonts w:cs="Calibri"/>
          <w:lang w:val="en-US"/>
        </w:rPr>
        <w:t>a</w:t>
      </w:r>
      <w:r w:rsidRPr="001D6CB4">
        <w:rPr>
          <w:rFonts w:cs="Calibri"/>
          <w:lang w:val="en-US"/>
        </w:rPr>
        <w:t>eology of sexuality and his method of analysis for discourse production on sexuality.</w:t>
      </w:r>
      <w:r>
        <w:rPr>
          <w:rStyle w:val="FootnoteReference"/>
          <w:rFonts w:cs="Calibri"/>
          <w:lang w:val="en-US"/>
        </w:rPr>
        <w:footnoteReference w:id="31"/>
      </w:r>
      <w:r w:rsidRPr="001D6CB4">
        <w:rPr>
          <w:rFonts w:cs="Calibri"/>
          <w:lang w:val="en-US"/>
        </w:rPr>
        <w:t xml:space="preserve"> During the same period of time, Foucault delivered his lectures at the Collège de France, later published under the title </w:t>
      </w:r>
      <w:r w:rsidRPr="001D6CB4">
        <w:rPr>
          <w:rFonts w:cs="Calibri"/>
          <w:i/>
          <w:iCs/>
          <w:lang w:val="en-US"/>
        </w:rPr>
        <w:t>Society Must be Defended</w:t>
      </w:r>
      <w:r w:rsidRPr="001D6CB4">
        <w:rPr>
          <w:rFonts w:cs="Calibri"/>
          <w:lang w:val="en-US"/>
        </w:rPr>
        <w:t>, in which he discusses a society’s fear of degeneration and the internal racism that this fear brings forth.</w:t>
      </w:r>
      <w:r>
        <w:rPr>
          <w:rFonts w:cs="Calibri"/>
          <w:lang w:val="en-US"/>
        </w:rPr>
        <w:t xml:space="preserve"> </w:t>
      </w:r>
    </w:p>
    <w:p w14:paraId="6F2253AA" w14:textId="77777777" w:rsidR="009847E8" w:rsidRPr="001D6CB4" w:rsidRDefault="009847E8" w:rsidP="002D6DB8">
      <w:pPr>
        <w:pStyle w:val="Maxhoofdtekst"/>
        <w:spacing w:line="276" w:lineRule="auto"/>
        <w:ind w:firstLine="284"/>
        <w:rPr>
          <w:rFonts w:cs="Calibri"/>
          <w:lang w:val="en-US"/>
        </w:rPr>
      </w:pPr>
      <w:r>
        <w:rPr>
          <w:rFonts w:cs="Calibri"/>
          <w:lang w:val="en-US"/>
        </w:rPr>
        <w:t xml:space="preserve">Two decades later, </w:t>
      </w:r>
      <w:r w:rsidRPr="001D6CB4">
        <w:rPr>
          <w:rFonts w:cs="Calibri"/>
          <w:lang w:val="en-US"/>
        </w:rPr>
        <w:t>Ann Laura Stoler scrutinize</w:t>
      </w:r>
      <w:r>
        <w:rPr>
          <w:rFonts w:cs="Calibri"/>
          <w:lang w:val="en-US"/>
        </w:rPr>
        <w:t>d</w:t>
      </w:r>
      <w:r w:rsidRPr="001D6CB4">
        <w:rPr>
          <w:rFonts w:cs="Calibri"/>
          <w:lang w:val="en-US"/>
        </w:rPr>
        <w:t>, criticize</w:t>
      </w:r>
      <w:r>
        <w:rPr>
          <w:rFonts w:cs="Calibri"/>
          <w:lang w:val="en-US"/>
        </w:rPr>
        <w:t>d</w:t>
      </w:r>
      <w:r w:rsidRPr="001D6CB4">
        <w:rPr>
          <w:rFonts w:cs="Calibri"/>
          <w:lang w:val="en-US"/>
        </w:rPr>
        <w:t>, and exten</w:t>
      </w:r>
      <w:r>
        <w:rPr>
          <w:rFonts w:cs="Calibri"/>
          <w:lang w:val="en-US"/>
        </w:rPr>
        <w:t>ded</w:t>
      </w:r>
      <w:r w:rsidRPr="001D6CB4">
        <w:rPr>
          <w:rFonts w:cs="Calibri"/>
          <w:lang w:val="en-US"/>
        </w:rPr>
        <w:t xml:space="preserve"> these</w:t>
      </w:r>
      <w:r>
        <w:rPr>
          <w:rFonts w:cs="Calibri"/>
          <w:lang w:val="en-US"/>
        </w:rPr>
        <w:t xml:space="preserve"> two</w:t>
      </w:r>
      <w:r w:rsidRPr="001D6CB4">
        <w:rPr>
          <w:rFonts w:cs="Calibri"/>
          <w:lang w:val="en-US"/>
        </w:rPr>
        <w:t xml:space="preserve"> works in </w:t>
      </w:r>
      <w:r w:rsidRPr="001D6CB4">
        <w:rPr>
          <w:rFonts w:cs="Calibri"/>
          <w:i/>
          <w:iCs/>
          <w:lang w:val="en-US"/>
        </w:rPr>
        <w:t>Race and the Education of Desire</w:t>
      </w:r>
      <w:r w:rsidRPr="001D6CB4">
        <w:rPr>
          <w:rFonts w:cs="Calibri"/>
          <w:lang w:val="en-US"/>
        </w:rPr>
        <w:t>.</w:t>
      </w:r>
      <w:r w:rsidRPr="001D6CB4">
        <w:rPr>
          <w:rStyle w:val="FootnoteReference"/>
          <w:rFonts w:cs="Calibri"/>
          <w:lang w:val="en-US"/>
        </w:rPr>
        <w:footnoteReference w:id="32"/>
      </w:r>
      <w:r w:rsidRPr="001D6CB4">
        <w:rPr>
          <w:rFonts w:cs="Calibri"/>
          <w:lang w:val="en-US"/>
        </w:rPr>
        <w:t xml:space="preserve"> Stoler criticizes Foucault’s blind spots regarding gender and empire, leaving out the European colonies as a location where modern technologies of sexuality are deployed and where racism can be located earlier than the European metropole. Nevertheless, Foucault’s work remains fruitful for analyzing colonial issues. Indeed, his account of racism and sexuality is enriched by placing it in the colonial context, ‘for rethinking how European bourgeois culture recounted the distinctions of its sexuality.’</w:t>
      </w:r>
      <w:r w:rsidRPr="001D6CB4">
        <w:rPr>
          <w:rStyle w:val="FootnoteReference"/>
          <w:rFonts w:cs="Calibri"/>
          <w:lang w:val="en-US"/>
        </w:rPr>
        <w:footnoteReference w:id="33"/>
      </w:r>
      <w:r w:rsidRPr="001D6CB4">
        <w:rPr>
          <w:rFonts w:cs="Calibri"/>
          <w:lang w:val="en-US"/>
        </w:rPr>
        <w:t xml:space="preserve"> </w:t>
      </w:r>
    </w:p>
    <w:p w14:paraId="12F09427" w14:textId="77777777" w:rsidR="009847E8" w:rsidRPr="001D7C82" w:rsidRDefault="009847E8" w:rsidP="002D6DB8">
      <w:pPr>
        <w:pStyle w:val="Maxhoofdtekst"/>
        <w:spacing w:line="276" w:lineRule="auto"/>
        <w:ind w:firstLine="284"/>
        <w:rPr>
          <w:rFonts w:cs="Calibri"/>
          <w:lang w:val="en-US"/>
        </w:rPr>
      </w:pPr>
      <w:r w:rsidRPr="001D7C82">
        <w:rPr>
          <w:rFonts w:cs="Calibri"/>
          <w:lang w:val="en-US"/>
        </w:rPr>
        <w:t xml:space="preserve">Section </w:t>
      </w:r>
      <w:r>
        <w:rPr>
          <w:rFonts w:cs="Calibri"/>
          <w:lang w:val="en-US"/>
        </w:rPr>
        <w:t>1</w:t>
      </w:r>
      <w:r w:rsidRPr="001D7C82">
        <w:rPr>
          <w:rFonts w:cs="Calibri"/>
          <w:lang w:val="en-US"/>
        </w:rPr>
        <w:t>.1 discusses Foucault’s theory</w:t>
      </w:r>
      <w:r>
        <w:rPr>
          <w:rFonts w:cs="Calibri"/>
          <w:lang w:val="en-US"/>
        </w:rPr>
        <w:t xml:space="preserve"> of sexuality</w:t>
      </w:r>
      <w:r w:rsidRPr="001D7C82">
        <w:rPr>
          <w:rFonts w:cs="Calibri"/>
          <w:lang w:val="en-US"/>
        </w:rPr>
        <w:t xml:space="preserve"> as developed in </w:t>
      </w:r>
      <w:r w:rsidRPr="001D7C82">
        <w:rPr>
          <w:rFonts w:cs="Calibri"/>
          <w:i/>
          <w:iCs/>
          <w:lang w:val="en-US"/>
        </w:rPr>
        <w:t>The Will to Knowledge</w:t>
      </w:r>
      <w:r w:rsidRPr="001D7C82">
        <w:rPr>
          <w:rFonts w:cs="Calibri"/>
          <w:lang w:val="en-US"/>
        </w:rPr>
        <w:t xml:space="preserve">; section </w:t>
      </w:r>
      <w:r>
        <w:rPr>
          <w:rFonts w:cs="Calibri"/>
          <w:lang w:val="en-US"/>
        </w:rPr>
        <w:t>1</w:t>
      </w:r>
      <w:r w:rsidRPr="001D7C82">
        <w:rPr>
          <w:rFonts w:cs="Calibri"/>
          <w:lang w:val="en-US"/>
        </w:rPr>
        <w:t>.2 discusses his lectures at the Collège de France</w:t>
      </w:r>
      <w:r>
        <w:rPr>
          <w:rFonts w:cs="Calibri"/>
          <w:lang w:val="en-US"/>
        </w:rPr>
        <w:t xml:space="preserve"> on</w:t>
      </w:r>
      <w:r w:rsidRPr="001D7C82">
        <w:rPr>
          <w:rFonts w:cs="Calibri"/>
          <w:lang w:val="en-US"/>
        </w:rPr>
        <w:t xml:space="preserve"> </w:t>
      </w:r>
      <w:r>
        <w:rPr>
          <w:rFonts w:cs="Calibri"/>
          <w:lang w:val="en-US"/>
        </w:rPr>
        <w:t>biological racism in the modern state</w:t>
      </w:r>
      <w:r w:rsidRPr="001D7C82">
        <w:rPr>
          <w:rFonts w:cs="Calibri"/>
          <w:lang w:val="en-US"/>
        </w:rPr>
        <w:t>. These two works together provide an extensive account of</w:t>
      </w:r>
      <w:r>
        <w:rPr>
          <w:rFonts w:cs="Calibri"/>
          <w:lang w:val="en-US"/>
        </w:rPr>
        <w:t xml:space="preserve"> </w:t>
      </w:r>
      <w:r w:rsidRPr="001D7C82">
        <w:rPr>
          <w:rFonts w:cs="Calibri"/>
          <w:lang w:val="en-US"/>
        </w:rPr>
        <w:t xml:space="preserve">racism </w:t>
      </w:r>
      <w:r>
        <w:rPr>
          <w:rFonts w:cs="Calibri"/>
          <w:lang w:val="en-US"/>
        </w:rPr>
        <w:t xml:space="preserve">in the biopolitical state </w:t>
      </w:r>
      <w:r w:rsidRPr="001D7C82">
        <w:rPr>
          <w:rFonts w:cs="Calibri"/>
          <w:lang w:val="en-US"/>
        </w:rPr>
        <w:t xml:space="preserve">and how modern </w:t>
      </w:r>
      <w:r>
        <w:rPr>
          <w:rFonts w:cs="Calibri"/>
          <w:lang w:val="en-US"/>
        </w:rPr>
        <w:t>racism</w:t>
      </w:r>
      <w:r w:rsidRPr="001D7C82">
        <w:rPr>
          <w:rFonts w:cs="Calibri"/>
          <w:lang w:val="en-US"/>
        </w:rPr>
        <w:t xml:space="preserve"> is connected to the </w:t>
      </w:r>
      <w:r>
        <w:rPr>
          <w:rFonts w:cs="Calibri"/>
          <w:lang w:val="en-US"/>
        </w:rPr>
        <w:t>construction</w:t>
      </w:r>
      <w:r w:rsidRPr="001D7C82">
        <w:rPr>
          <w:rFonts w:cs="Calibri"/>
          <w:lang w:val="en-US"/>
        </w:rPr>
        <w:t xml:space="preserve"> of sexuality as a tool for normalizing colonial subjects.</w:t>
      </w:r>
      <w:r w:rsidRPr="001D7C82">
        <w:rPr>
          <w:rStyle w:val="FootnoteReference"/>
          <w:rFonts w:cs="Calibri"/>
          <w:lang w:val="en-US"/>
        </w:rPr>
        <w:footnoteReference w:id="34"/>
      </w:r>
      <w:r w:rsidRPr="001D7C82">
        <w:rPr>
          <w:rFonts w:cs="Calibri"/>
          <w:lang w:val="en-US"/>
        </w:rPr>
        <w:t xml:space="preserve"> Throughout </w:t>
      </w:r>
      <w:r>
        <w:rPr>
          <w:rFonts w:cs="Calibri"/>
          <w:lang w:val="en-US"/>
        </w:rPr>
        <w:t>my</w:t>
      </w:r>
      <w:r w:rsidRPr="001D7C82">
        <w:rPr>
          <w:rFonts w:cs="Calibri"/>
          <w:lang w:val="en-US"/>
        </w:rPr>
        <w:t xml:space="preserve"> discussion of these works, I demonstrate Stoler’s postcolonial criticisms and her rereading as formulated in both </w:t>
      </w:r>
      <w:r w:rsidRPr="001D7C82">
        <w:rPr>
          <w:rFonts w:cs="Calibri"/>
          <w:i/>
          <w:iCs/>
          <w:lang w:val="en-US"/>
        </w:rPr>
        <w:t>Race and the Education of Desire</w:t>
      </w:r>
      <w:r w:rsidRPr="001D7C82">
        <w:rPr>
          <w:rFonts w:cs="Calibri"/>
          <w:lang w:val="en-US"/>
        </w:rPr>
        <w:t xml:space="preserve"> and her later work </w:t>
      </w:r>
      <w:r w:rsidRPr="001D7C82">
        <w:rPr>
          <w:rFonts w:cs="Calibri"/>
          <w:i/>
          <w:iCs/>
          <w:lang w:val="en-US"/>
        </w:rPr>
        <w:t>Carnal Knowledge and Imperial Power</w:t>
      </w:r>
      <w:r w:rsidRPr="001D7C82">
        <w:rPr>
          <w:rFonts w:cs="Calibri"/>
          <w:lang w:val="en-US"/>
        </w:rPr>
        <w:t>.</w:t>
      </w:r>
      <w:r>
        <w:rPr>
          <w:rFonts w:cs="Calibri"/>
          <w:lang w:val="en-US"/>
        </w:rPr>
        <w:t xml:space="preserve"> Finally, in section 1.3, I will provide a clear framework which I will apply to my sources in chapter 3. </w:t>
      </w:r>
    </w:p>
    <w:p w14:paraId="32704528" w14:textId="77777777" w:rsidR="009847E8" w:rsidRPr="005B1EEC" w:rsidRDefault="009847E8">
      <w:pPr>
        <w:pStyle w:val="Maxhoofdtekst"/>
        <w:numPr>
          <w:ilvl w:val="1"/>
          <w:numId w:val="5"/>
        </w:numPr>
        <w:spacing w:line="276" w:lineRule="auto"/>
        <w:outlineLvl w:val="1"/>
        <w:rPr>
          <w:rFonts w:cs="Calibri"/>
          <w:b/>
          <w:bCs/>
          <w:lang w:val="en-US"/>
        </w:rPr>
      </w:pPr>
      <w:bookmarkStart w:id="8" w:name="_Toc234183599"/>
      <w:r w:rsidRPr="005B1EEC">
        <w:rPr>
          <w:rFonts w:cs="Calibri"/>
          <w:b/>
          <w:bCs/>
          <w:lang w:val="en-US"/>
        </w:rPr>
        <w:t xml:space="preserve">Sexuality and </w:t>
      </w:r>
      <w:r>
        <w:rPr>
          <w:rFonts w:cs="Calibri"/>
          <w:b/>
          <w:bCs/>
          <w:lang w:val="en-US"/>
        </w:rPr>
        <w:t>racism</w:t>
      </w:r>
      <w:bookmarkEnd w:id="8"/>
    </w:p>
    <w:p w14:paraId="1819D0B9" w14:textId="77777777" w:rsidR="009847E8" w:rsidRPr="001D6CB4" w:rsidRDefault="009847E8">
      <w:pPr>
        <w:pStyle w:val="Maxhoofdtekst"/>
        <w:numPr>
          <w:ilvl w:val="2"/>
          <w:numId w:val="5"/>
        </w:numPr>
        <w:spacing w:line="276" w:lineRule="auto"/>
        <w:outlineLvl w:val="2"/>
        <w:rPr>
          <w:rFonts w:cs="Calibri"/>
          <w:lang w:val="en-US"/>
        </w:rPr>
      </w:pPr>
      <w:bookmarkStart w:id="9" w:name="_Toc234183600"/>
      <w:r>
        <w:rPr>
          <w:rFonts w:cs="Calibri"/>
          <w:lang w:val="en-US"/>
        </w:rPr>
        <w:t>Discursive explosion and the production of abnormal sexualities</w:t>
      </w:r>
      <w:bookmarkEnd w:id="9"/>
    </w:p>
    <w:p w14:paraId="3168FDBC" w14:textId="77777777" w:rsidR="009847E8" w:rsidRPr="001D6CB4" w:rsidRDefault="009847E8" w:rsidP="002D6DB8">
      <w:pPr>
        <w:pStyle w:val="Maxhoofdtekst"/>
        <w:spacing w:line="276" w:lineRule="auto"/>
        <w:ind w:firstLine="284"/>
        <w:rPr>
          <w:rFonts w:cs="Calibri"/>
          <w:lang w:val="en-US"/>
        </w:rPr>
      </w:pPr>
      <w:r w:rsidRPr="001D6CB4">
        <w:rPr>
          <w:rFonts w:cs="Calibri"/>
          <w:lang w:val="en-US"/>
        </w:rPr>
        <w:t xml:space="preserve">In </w:t>
      </w:r>
      <w:r w:rsidRPr="00C90C79">
        <w:rPr>
          <w:rFonts w:cs="Calibri"/>
          <w:i/>
          <w:iCs/>
          <w:lang w:val="en-US"/>
        </w:rPr>
        <w:t>The Will to Knowledge</w:t>
      </w:r>
      <w:r w:rsidRPr="001D6CB4">
        <w:rPr>
          <w:rFonts w:cs="Calibri"/>
          <w:lang w:val="en-US"/>
        </w:rPr>
        <w:t xml:space="preserve">, Foucault </w:t>
      </w:r>
      <w:r>
        <w:rPr>
          <w:rFonts w:cs="Calibri"/>
          <w:lang w:val="en-US"/>
        </w:rPr>
        <w:t>writes</w:t>
      </w:r>
      <w:r w:rsidRPr="001D6CB4">
        <w:rPr>
          <w:rFonts w:cs="Calibri"/>
          <w:lang w:val="en-US"/>
        </w:rPr>
        <w:t xml:space="preserve"> a history of the production of discourses on sex from the Victorian period onward.</w:t>
      </w:r>
      <w:r w:rsidRPr="001D6CB4">
        <w:rPr>
          <w:rStyle w:val="FootnoteReference"/>
          <w:rFonts w:cs="Calibri"/>
          <w:lang w:val="en-US"/>
        </w:rPr>
        <w:footnoteReference w:id="35"/>
      </w:r>
      <w:r w:rsidRPr="001D6CB4">
        <w:rPr>
          <w:rFonts w:cs="Calibri"/>
          <w:lang w:val="en-US"/>
        </w:rPr>
        <w:t xml:space="preserve"> Furthermore, he wants to develop a method of analysis for the genealogy of sexuality, to find out ‘who does the speaking, the positions and viewpoints from which they speak, </w:t>
      </w:r>
      <w:r w:rsidRPr="001D6CB4">
        <w:rPr>
          <w:rFonts w:cs="Calibri"/>
          <w:lang w:val="en-US"/>
        </w:rPr>
        <w:lastRenderedPageBreak/>
        <w:t>the institutions which prompt people to speak about it, and which story and distribute the things that are said’.</w:t>
      </w:r>
      <w:r w:rsidRPr="001D6CB4">
        <w:rPr>
          <w:rStyle w:val="FootnoteReference"/>
          <w:rFonts w:cs="Calibri"/>
          <w:lang w:val="en-US"/>
        </w:rPr>
        <w:footnoteReference w:id="36"/>
      </w:r>
      <w:r w:rsidRPr="001D6CB4">
        <w:rPr>
          <w:rFonts w:cs="Calibri"/>
          <w:lang w:val="en-US"/>
        </w:rPr>
        <w:t xml:space="preserve"> </w:t>
      </w:r>
    </w:p>
    <w:p w14:paraId="23DAD570" w14:textId="77777777" w:rsidR="009847E8" w:rsidRDefault="009847E8" w:rsidP="002D6DB8">
      <w:pPr>
        <w:pStyle w:val="Maxhoofdtekst"/>
        <w:spacing w:line="276" w:lineRule="auto"/>
        <w:ind w:firstLine="284"/>
        <w:rPr>
          <w:rFonts w:cs="Calibri"/>
          <w:lang w:val="en-US"/>
        </w:rPr>
      </w:pPr>
      <w:r w:rsidRPr="002951D1">
        <w:rPr>
          <w:rFonts w:cs="Calibri"/>
          <w:lang w:val="en-US"/>
        </w:rPr>
        <w:t>Foucault's analysis of modern sexuality begins with a counter-intuitive claim</w:t>
      </w:r>
      <w:r>
        <w:rPr>
          <w:rFonts w:cs="Calibri"/>
          <w:lang w:val="en-US"/>
        </w:rPr>
        <w:t>, namely</w:t>
      </w:r>
      <w:r w:rsidRPr="002951D1">
        <w:rPr>
          <w:rFonts w:cs="Calibri"/>
          <w:lang w:val="en-US"/>
        </w:rPr>
        <w:t xml:space="preserve"> that the Victorian period did not repress sexuality but</w:t>
      </w:r>
      <w:r>
        <w:rPr>
          <w:rFonts w:cs="Calibri"/>
          <w:lang w:val="en-US"/>
        </w:rPr>
        <w:t xml:space="preserve"> rather</w:t>
      </w:r>
      <w:r w:rsidRPr="002951D1">
        <w:rPr>
          <w:rFonts w:cs="Calibri"/>
          <w:lang w:val="en-US"/>
        </w:rPr>
        <w:t xml:space="preserve"> proliferated discourses about it, and that this proliferation was itself a mechanism of power</w:t>
      </w:r>
      <w:r w:rsidRPr="009847E8">
        <w:rPr>
          <w:rFonts w:cs="Calibri"/>
          <w:lang w:val="en-GB"/>
        </w:rPr>
        <w:t xml:space="preserve">. </w:t>
      </w:r>
      <w:r>
        <w:rPr>
          <w:rFonts w:cs="Calibri"/>
          <w:lang w:val="en-US"/>
        </w:rPr>
        <w:t>He criticizes what he calls</w:t>
      </w:r>
      <w:r w:rsidRPr="009458E2">
        <w:rPr>
          <w:rFonts w:cs="Calibri"/>
          <w:lang w:val="en-US"/>
        </w:rPr>
        <w:t xml:space="preserve"> the ‘repressive hypothesis’</w:t>
      </w:r>
      <w:r>
        <w:rPr>
          <w:rFonts w:cs="Calibri"/>
          <w:lang w:val="en-US"/>
        </w:rPr>
        <w:t xml:space="preserve"> -</w:t>
      </w:r>
      <w:r w:rsidRPr="001D6CB4">
        <w:rPr>
          <w:rFonts w:cs="Calibri"/>
          <w:lang w:val="en-US"/>
        </w:rPr>
        <w:t xml:space="preserve"> </w:t>
      </w:r>
      <w:r w:rsidRPr="002951D1">
        <w:rPr>
          <w:rFonts w:cs="Calibri"/>
          <w:lang w:val="en-US"/>
        </w:rPr>
        <w:t>the widespread assumption that Victorian society silenced and prohibited sex</w:t>
      </w:r>
      <w:r>
        <w:rPr>
          <w:rFonts w:cs="Calibri"/>
          <w:lang w:val="en-US"/>
        </w:rPr>
        <w:t xml:space="preserve">, arguing </w:t>
      </w:r>
      <w:r w:rsidRPr="002951D1">
        <w:rPr>
          <w:rFonts w:cs="Calibri"/>
          <w:lang w:val="en-US"/>
        </w:rPr>
        <w:t>instead that the opposite occurred</w:t>
      </w:r>
      <w:r>
        <w:rPr>
          <w:rFonts w:cs="Calibri"/>
          <w:lang w:val="en-US"/>
        </w:rPr>
        <w:t>:</w:t>
      </w:r>
      <w:r w:rsidRPr="001D6CB4">
        <w:rPr>
          <w:rFonts w:cs="Calibri"/>
          <w:lang w:val="en-US"/>
        </w:rPr>
        <w:t xml:space="preserve"> ‘A censorship of sex? There was installed rather an apparatus for producing an ever-greater quantity of discourse about sex, capable of functioning and taking effect in its very economy’.</w:t>
      </w:r>
      <w:r w:rsidRPr="001D6CB4">
        <w:rPr>
          <w:rStyle w:val="FootnoteReference"/>
          <w:rFonts w:cs="Calibri"/>
          <w:lang w:val="en-US"/>
        </w:rPr>
        <w:footnoteReference w:id="37"/>
      </w:r>
      <w:r w:rsidRPr="001D6CB4">
        <w:rPr>
          <w:rFonts w:cs="Calibri"/>
          <w:lang w:val="en-US"/>
        </w:rPr>
        <w:t xml:space="preserve"> </w:t>
      </w:r>
      <w:r>
        <w:rPr>
          <w:rFonts w:cs="Calibri"/>
          <w:lang w:val="en-US"/>
        </w:rPr>
        <w:t xml:space="preserve">Foucault employs the term ‘apparatus’ here to demonstrate that the discursive explosion on sex was a systematic, organized project. </w:t>
      </w:r>
      <w:r w:rsidRPr="002951D1">
        <w:rPr>
          <w:rFonts w:cs="Calibri"/>
          <w:lang w:val="en-US"/>
        </w:rPr>
        <w:t xml:space="preserve">Equally, the phrase 'in its very economy' suggests that this discourse </w:t>
      </w:r>
      <w:r>
        <w:rPr>
          <w:rFonts w:cs="Calibri"/>
          <w:lang w:val="en-US"/>
        </w:rPr>
        <w:t>produced</w:t>
      </w:r>
      <w:r w:rsidRPr="002951D1">
        <w:rPr>
          <w:rFonts w:cs="Calibri"/>
          <w:lang w:val="en-US"/>
        </w:rPr>
        <w:t xml:space="preserve"> sex</w:t>
      </w:r>
      <w:r>
        <w:rPr>
          <w:rFonts w:cs="Calibri"/>
          <w:lang w:val="en-US"/>
        </w:rPr>
        <w:t xml:space="preserve">uality; </w:t>
      </w:r>
      <w:r w:rsidRPr="002951D1">
        <w:rPr>
          <w:rFonts w:cs="Calibri"/>
          <w:lang w:val="en-US"/>
        </w:rPr>
        <w:t>it generated sexual norms</w:t>
      </w:r>
      <w:r>
        <w:rPr>
          <w:rFonts w:cs="Calibri"/>
          <w:lang w:val="en-US"/>
        </w:rPr>
        <w:t xml:space="preserve"> and identities.</w:t>
      </w:r>
      <w:r w:rsidRPr="002951D1">
        <w:rPr>
          <w:rFonts w:cs="Calibri"/>
          <w:lang w:val="en-US"/>
        </w:rPr>
        <w:t xml:space="preserve"> </w:t>
      </w:r>
      <w:r>
        <w:rPr>
          <w:rFonts w:cs="Calibri"/>
          <w:lang w:val="en-US"/>
        </w:rPr>
        <w:t>‘</w:t>
      </w:r>
      <w:r w:rsidRPr="009458E2">
        <w:rPr>
          <w:rFonts w:cs="Calibri"/>
          <w:lang w:val="en-US"/>
        </w:rPr>
        <w:t>Discourse</w:t>
      </w:r>
      <w:r>
        <w:rPr>
          <w:rFonts w:cs="Calibri"/>
          <w:lang w:val="en-US"/>
        </w:rPr>
        <w:t>’</w:t>
      </w:r>
      <w:r w:rsidRPr="001D6CB4">
        <w:rPr>
          <w:rFonts w:cs="Calibri"/>
          <w:lang w:val="en-US"/>
        </w:rPr>
        <w:t xml:space="preserve"> in this context does not only entail a general discussion or theory of sexuality – it encompasses detailed analys</w:t>
      </w:r>
      <w:r>
        <w:rPr>
          <w:rFonts w:cs="Calibri"/>
          <w:lang w:val="en-US"/>
        </w:rPr>
        <w:t>e</w:t>
      </w:r>
      <w:r w:rsidRPr="001D6CB4">
        <w:rPr>
          <w:rFonts w:cs="Calibri"/>
          <w:lang w:val="en-US"/>
        </w:rPr>
        <w:t>s, classifications and specifications of empirical data.</w:t>
      </w:r>
      <w:r w:rsidRPr="001D6CB4">
        <w:rPr>
          <w:rStyle w:val="FootnoteReference"/>
          <w:rFonts w:cs="Calibri"/>
          <w:lang w:val="en-US"/>
        </w:rPr>
        <w:footnoteReference w:id="38"/>
      </w:r>
      <w:r w:rsidRPr="001D6CB4">
        <w:rPr>
          <w:rFonts w:cs="Calibri"/>
          <w:lang w:val="en-US"/>
        </w:rPr>
        <w:t xml:space="preserve"> The discourse</w:t>
      </w:r>
      <w:r>
        <w:rPr>
          <w:rFonts w:cs="Calibri"/>
          <w:lang w:val="en-US"/>
        </w:rPr>
        <w:t>s</w:t>
      </w:r>
      <w:r w:rsidRPr="001D6CB4">
        <w:rPr>
          <w:rFonts w:cs="Calibri"/>
          <w:lang w:val="en-US"/>
        </w:rPr>
        <w:t xml:space="preserve"> of the population’s sexuality comprised analyses of birth and death rates, age of marriage, legitimate and illegitimate birth, fertility, the state of the population’s health, hygiene, diet and habitation</w:t>
      </w:r>
      <w:r>
        <w:rPr>
          <w:rFonts w:cs="Calibri"/>
          <w:lang w:val="en-US"/>
        </w:rPr>
        <w:t>.</w:t>
      </w:r>
      <w:r w:rsidRPr="002951D1">
        <w:rPr>
          <w:rFonts w:cs="Calibri"/>
          <w:lang w:val="en-US"/>
        </w:rPr>
        <w:t xml:space="preserve"> </w:t>
      </w:r>
      <w:r w:rsidRPr="001D6CB4">
        <w:rPr>
          <w:rFonts w:cs="Calibri"/>
          <w:lang w:val="en-US"/>
        </w:rPr>
        <w:t>The wealth and welfare of a state depended on the state of its citizens’ sexualities.</w:t>
      </w:r>
      <w:r w:rsidRPr="001D6CB4">
        <w:rPr>
          <w:rStyle w:val="FootnoteReference"/>
          <w:rFonts w:cs="Calibri"/>
          <w:lang w:val="en-US"/>
        </w:rPr>
        <w:footnoteReference w:id="39"/>
      </w:r>
      <w:r>
        <w:rPr>
          <w:rFonts w:cs="Calibri"/>
          <w:lang w:val="en-US"/>
        </w:rPr>
        <w:t xml:space="preserve"> Moreover, s</w:t>
      </w:r>
      <w:r w:rsidRPr="001D6CB4">
        <w:rPr>
          <w:rFonts w:cs="Calibri"/>
          <w:lang w:val="en-US"/>
        </w:rPr>
        <w:t xml:space="preserve">ex was not only something to be talked about or judged - it was also </w:t>
      </w:r>
      <w:r w:rsidRPr="00CB1D10">
        <w:rPr>
          <w:rFonts w:cs="Calibri"/>
          <w:lang w:val="en-US"/>
        </w:rPr>
        <w:t>administered</w:t>
      </w:r>
      <w:r w:rsidRPr="001D6CB4">
        <w:rPr>
          <w:rFonts w:cs="Calibri"/>
          <w:lang w:val="en-US"/>
        </w:rPr>
        <w:t xml:space="preserve"> through both state power and individual techniques of power</w:t>
      </w:r>
      <w:r>
        <w:rPr>
          <w:rFonts w:cs="Calibri"/>
          <w:lang w:val="en-US"/>
        </w:rPr>
        <w:t>, and t</w:t>
      </w:r>
      <w:r w:rsidRPr="001D6CB4">
        <w:rPr>
          <w:rFonts w:cs="Calibri"/>
          <w:lang w:val="en-US"/>
        </w:rPr>
        <w:t>hese techniques were focused on both the sex of individual subjects and the population’s sexuality as a whole.</w:t>
      </w:r>
      <w:r w:rsidRPr="001D6CB4">
        <w:rPr>
          <w:rStyle w:val="FootnoteReference"/>
          <w:rFonts w:cs="Calibri"/>
          <w:lang w:val="en-US"/>
        </w:rPr>
        <w:footnoteReference w:id="40"/>
      </w:r>
      <w:r w:rsidRPr="001D6CB4">
        <w:rPr>
          <w:rFonts w:cs="Calibri"/>
          <w:lang w:val="en-US"/>
        </w:rPr>
        <w:t xml:space="preserve"> </w:t>
      </w:r>
    </w:p>
    <w:p w14:paraId="1D3AEFBF" w14:textId="77777777" w:rsidR="009847E8" w:rsidRPr="001D6CB4" w:rsidRDefault="009847E8">
      <w:pPr>
        <w:pStyle w:val="Maxhoofdtekst"/>
        <w:numPr>
          <w:ilvl w:val="2"/>
          <w:numId w:val="5"/>
        </w:numPr>
        <w:spacing w:line="276" w:lineRule="auto"/>
        <w:outlineLvl w:val="2"/>
        <w:rPr>
          <w:rFonts w:cs="Calibri"/>
          <w:lang w:val="en-US"/>
        </w:rPr>
      </w:pPr>
      <w:bookmarkStart w:id="10" w:name="_Toc234183601"/>
      <w:r w:rsidRPr="001D6CB4">
        <w:rPr>
          <w:rFonts w:cs="Calibri"/>
          <w:lang w:val="en-US"/>
        </w:rPr>
        <w:t>Foucault’s notion of power</w:t>
      </w:r>
      <w:r>
        <w:rPr>
          <w:rFonts w:cs="Calibri"/>
          <w:lang w:val="en-US"/>
        </w:rPr>
        <w:t xml:space="preserve"> and the deployment of sexuality</w:t>
      </w:r>
      <w:bookmarkEnd w:id="10"/>
    </w:p>
    <w:p w14:paraId="790C45DB" w14:textId="77777777" w:rsidR="009847E8" w:rsidRDefault="009847E8" w:rsidP="002D6DB8">
      <w:pPr>
        <w:pStyle w:val="Maxhoofdtekst"/>
        <w:spacing w:line="276" w:lineRule="auto"/>
        <w:ind w:firstLine="284"/>
        <w:rPr>
          <w:rFonts w:cs="Calibri"/>
          <w:lang w:val="en-US"/>
        </w:rPr>
      </w:pPr>
      <w:r w:rsidRPr="00441D0C">
        <w:rPr>
          <w:rFonts w:cs="Calibri"/>
          <w:lang w:val="en-US"/>
        </w:rPr>
        <w:t>Before examining how power operates through discourse</w:t>
      </w:r>
      <w:r>
        <w:rPr>
          <w:rFonts w:cs="Calibri"/>
          <w:lang w:val="en-US"/>
        </w:rPr>
        <w:t>s of sexuality</w:t>
      </w:r>
      <w:r w:rsidRPr="00441D0C">
        <w:rPr>
          <w:rFonts w:cs="Calibri"/>
          <w:lang w:val="en-US"/>
        </w:rPr>
        <w:t>, it is necessary to outline Foucault's concept of power.</w:t>
      </w:r>
      <w:r>
        <w:rPr>
          <w:rFonts w:cs="Calibri"/>
          <w:lang w:val="en-US"/>
        </w:rPr>
        <w:t xml:space="preserve"> He</w:t>
      </w:r>
      <w:r w:rsidRPr="001D6CB4">
        <w:rPr>
          <w:rFonts w:cs="Calibri"/>
          <w:lang w:val="en-US"/>
        </w:rPr>
        <w:t xml:space="preserve"> rejects a repressive, juridico-discursive notion of power as a ‘general system of domination exerted by one group over another</w:t>
      </w:r>
      <w:r>
        <w:rPr>
          <w:rFonts w:cs="Calibri"/>
          <w:lang w:val="en-US"/>
        </w:rPr>
        <w:t>,’ and instead, sees it as ‘a multiplicity of force relations immanent in the sphere in which they operate</w:t>
      </w:r>
      <w:r w:rsidRPr="007328B6">
        <w:rPr>
          <w:rFonts w:cs="Calibri"/>
          <w:lang w:val="en-US"/>
        </w:rPr>
        <w:t>’.</w:t>
      </w:r>
      <w:r w:rsidRPr="007328B6">
        <w:rPr>
          <w:rStyle w:val="FootnoteReference"/>
          <w:rFonts w:cs="Calibri"/>
          <w:lang w:val="en-US"/>
        </w:rPr>
        <w:footnoteReference w:id="41"/>
      </w:r>
      <w:r w:rsidRPr="001D6CB4">
        <w:rPr>
          <w:rFonts w:cs="Calibri"/>
          <w:lang w:val="en-US"/>
        </w:rPr>
        <w:t xml:space="preserve"> Power does not originate from a single core of sovereign power; it is constantly produced between all points in a network, in every relationship that serves to control behavior.</w:t>
      </w:r>
      <w:r w:rsidRPr="001D6CB4">
        <w:rPr>
          <w:rStyle w:val="FootnoteReference"/>
          <w:rFonts w:cs="Calibri"/>
          <w:lang w:val="en-US"/>
        </w:rPr>
        <w:footnoteReference w:id="42"/>
      </w:r>
      <w:r w:rsidRPr="001D6CB4">
        <w:rPr>
          <w:rFonts w:cs="Calibri"/>
          <w:lang w:val="en-US"/>
        </w:rPr>
        <w:t xml:space="preserve"> Power is not something one can acquire and hold indefinitely – it is exercised through fluid, mobile relations.</w:t>
      </w:r>
      <w:r w:rsidRPr="001D6CB4">
        <w:rPr>
          <w:rStyle w:val="FootnoteReference"/>
          <w:rFonts w:cs="Calibri"/>
          <w:lang w:val="en-US"/>
        </w:rPr>
        <w:footnoteReference w:id="43"/>
      </w:r>
      <w:r w:rsidRPr="001D6CB4">
        <w:rPr>
          <w:rFonts w:cs="Calibri"/>
          <w:lang w:val="en-US"/>
        </w:rPr>
        <w:t xml:space="preserve"> Furthermore, Foucault notes that power is intentional, meaning it is always exercised with a certain motive or objective.</w:t>
      </w:r>
      <w:r w:rsidRPr="001D6CB4">
        <w:rPr>
          <w:rStyle w:val="FootnoteReference"/>
          <w:rFonts w:cs="Calibri"/>
          <w:lang w:val="en-US"/>
        </w:rPr>
        <w:footnoteReference w:id="44"/>
      </w:r>
      <w:r w:rsidRPr="001D6CB4">
        <w:rPr>
          <w:rFonts w:cs="Calibri"/>
          <w:lang w:val="en-US"/>
        </w:rPr>
        <w:t xml:space="preserve"> A view of power as an omnipresent network explains the idea of a multiplicity of discourses produced by different institutes: it is not one party, a state or government institution which produces a singular discourse on sex.</w:t>
      </w:r>
      <w:r w:rsidRPr="001D6CB4">
        <w:rPr>
          <w:rStyle w:val="FootnoteReference"/>
          <w:rFonts w:cs="Calibri"/>
          <w:lang w:val="en-US"/>
        </w:rPr>
        <w:footnoteReference w:id="45"/>
      </w:r>
      <w:r w:rsidRPr="001D6CB4">
        <w:rPr>
          <w:rFonts w:cs="Calibri"/>
          <w:lang w:val="en-US"/>
        </w:rPr>
        <w:t xml:space="preserve"> Rather, it is an </w:t>
      </w:r>
      <w:r w:rsidRPr="001D6CB4">
        <w:rPr>
          <w:rFonts w:cs="Calibri"/>
          <w:lang w:val="en-US"/>
        </w:rPr>
        <w:lastRenderedPageBreak/>
        <w:t xml:space="preserve">abundance of discourses that monitor, analyze and judge citizens’ </w:t>
      </w:r>
      <w:r>
        <w:rPr>
          <w:rFonts w:cs="Calibri"/>
          <w:lang w:val="en-US"/>
        </w:rPr>
        <w:t>conduct</w:t>
      </w:r>
      <w:r w:rsidRPr="001D6CB4">
        <w:rPr>
          <w:rFonts w:cs="Calibri"/>
          <w:lang w:val="en-US"/>
        </w:rPr>
        <w:t xml:space="preserve"> and take</w:t>
      </w:r>
      <w:r>
        <w:rPr>
          <w:rFonts w:cs="Calibri"/>
          <w:lang w:val="en-US"/>
        </w:rPr>
        <w:t xml:space="preserve"> </w:t>
      </w:r>
      <w:r w:rsidRPr="001D6CB4">
        <w:rPr>
          <w:rFonts w:cs="Calibri"/>
          <w:lang w:val="en-US"/>
        </w:rPr>
        <w:t>form in biology, medicine, pedagogy, ethics and political debate. In order to analyze discourses of truth around sex, one must ask ‘what were the most immediate, the most local power relations at work? How did they make possible these kinds of discourses, and conversely, how were these discourses used to support power relations?’</w:t>
      </w:r>
      <w:r w:rsidRPr="001D6CB4">
        <w:rPr>
          <w:rStyle w:val="FootnoteReference"/>
          <w:rFonts w:cs="Calibri"/>
          <w:lang w:val="en-US"/>
        </w:rPr>
        <w:footnoteReference w:id="46"/>
      </w:r>
      <w:r>
        <w:rPr>
          <w:rFonts w:cs="Calibri"/>
          <w:lang w:val="en-US"/>
        </w:rPr>
        <w:t xml:space="preserve"> </w:t>
      </w:r>
    </w:p>
    <w:p w14:paraId="66E0C9BC" w14:textId="77777777" w:rsidR="009847E8" w:rsidRDefault="009847E8" w:rsidP="002D6DB8">
      <w:pPr>
        <w:pStyle w:val="Maxhoofdtekst"/>
        <w:spacing w:line="276" w:lineRule="auto"/>
        <w:ind w:firstLine="284"/>
        <w:rPr>
          <w:rFonts w:cs="Calibri"/>
          <w:lang w:val="en-US"/>
        </w:rPr>
      </w:pPr>
      <w:r>
        <w:rPr>
          <w:rFonts w:cs="Calibri"/>
          <w:lang w:val="en-US"/>
        </w:rPr>
        <w:t>The</w:t>
      </w:r>
      <w:r w:rsidRPr="002951D1">
        <w:rPr>
          <w:rFonts w:cs="Calibri"/>
          <w:lang w:val="en-US"/>
        </w:rPr>
        <w:t xml:space="preserve"> discursive explosion </w:t>
      </w:r>
      <w:r>
        <w:rPr>
          <w:rFonts w:cs="Calibri"/>
          <w:lang w:val="en-US"/>
        </w:rPr>
        <w:t xml:space="preserve">on sex </w:t>
      </w:r>
      <w:r w:rsidRPr="002951D1">
        <w:rPr>
          <w:rFonts w:cs="Calibri"/>
          <w:lang w:val="en-US"/>
        </w:rPr>
        <w:t>produced sexual</w:t>
      </w:r>
      <w:r>
        <w:rPr>
          <w:rFonts w:cs="Calibri"/>
          <w:lang w:val="en-US"/>
        </w:rPr>
        <w:t xml:space="preserve"> identities</w:t>
      </w:r>
      <w:r w:rsidRPr="002951D1">
        <w:rPr>
          <w:rFonts w:cs="Calibri"/>
          <w:lang w:val="en-US"/>
        </w:rPr>
        <w:t xml:space="preserve"> as object</w:t>
      </w:r>
      <w:r>
        <w:rPr>
          <w:rFonts w:cs="Calibri"/>
          <w:lang w:val="en-US"/>
        </w:rPr>
        <w:t xml:space="preserve">s </w:t>
      </w:r>
      <w:r w:rsidRPr="002951D1">
        <w:rPr>
          <w:rFonts w:cs="Calibri"/>
          <w:lang w:val="en-US"/>
        </w:rPr>
        <w:t xml:space="preserve">of knowledge, </w:t>
      </w:r>
      <w:r>
        <w:rPr>
          <w:rFonts w:cs="Calibri"/>
          <w:lang w:val="en-US"/>
        </w:rPr>
        <w:t>while</w:t>
      </w:r>
      <w:r w:rsidRPr="002951D1">
        <w:rPr>
          <w:rFonts w:cs="Calibri"/>
          <w:lang w:val="en-US"/>
        </w:rPr>
        <w:t xml:space="preserve"> simultaneously produc</w:t>
      </w:r>
      <w:r>
        <w:rPr>
          <w:rFonts w:cs="Calibri"/>
          <w:lang w:val="en-US"/>
        </w:rPr>
        <w:t>ing</w:t>
      </w:r>
      <w:r w:rsidRPr="002951D1">
        <w:rPr>
          <w:rFonts w:cs="Calibri"/>
          <w:lang w:val="en-US"/>
        </w:rPr>
        <w:t xml:space="preserve"> a normative framework that divided sexualities into legitimate and illegitimate, natural and unnatural. </w:t>
      </w:r>
      <w:r w:rsidRPr="001D6CB4">
        <w:rPr>
          <w:rFonts w:cs="Calibri"/>
          <w:lang w:val="en-US"/>
        </w:rPr>
        <w:t>T</w:t>
      </w:r>
      <w:r>
        <w:rPr>
          <w:rFonts w:cs="Calibri"/>
          <w:lang w:val="en-US"/>
        </w:rPr>
        <w:t>wo major changes were brought about by the</w:t>
      </w:r>
      <w:r w:rsidRPr="001D6CB4">
        <w:rPr>
          <w:rFonts w:cs="Calibri"/>
          <w:lang w:val="en-US"/>
        </w:rPr>
        <w:t xml:space="preserve"> discursive explosion on sexuality</w:t>
      </w:r>
      <w:r>
        <w:rPr>
          <w:rFonts w:cs="Calibri"/>
          <w:lang w:val="en-US"/>
        </w:rPr>
        <w:t xml:space="preserve">: </w:t>
      </w:r>
      <w:r w:rsidRPr="001D6CB4">
        <w:rPr>
          <w:rFonts w:cs="Calibri"/>
          <w:lang w:val="en-US"/>
        </w:rPr>
        <w:t>(1) the heterosexual monogam</w:t>
      </w:r>
      <w:r>
        <w:rPr>
          <w:rFonts w:cs="Calibri"/>
          <w:lang w:val="en-US"/>
        </w:rPr>
        <w:t>ous</w:t>
      </w:r>
      <w:r w:rsidRPr="001D6CB4">
        <w:rPr>
          <w:rFonts w:cs="Calibri"/>
          <w:lang w:val="en-US"/>
        </w:rPr>
        <w:t xml:space="preserve"> relationship </w:t>
      </w:r>
      <w:r>
        <w:rPr>
          <w:rFonts w:cs="Calibri"/>
          <w:lang w:val="en-US"/>
        </w:rPr>
        <w:t>functioned as</w:t>
      </w:r>
      <w:r w:rsidRPr="001D6CB4">
        <w:rPr>
          <w:rFonts w:cs="Calibri"/>
          <w:lang w:val="en-US"/>
        </w:rPr>
        <w:t xml:space="preserve"> the norm in western society; and (2) the sexuality of children, mad men and women was scrutinized.</w:t>
      </w:r>
      <w:r w:rsidRPr="001D6CB4">
        <w:rPr>
          <w:rStyle w:val="FootnoteReference"/>
          <w:rFonts w:cs="Calibri"/>
          <w:lang w:val="en-US"/>
        </w:rPr>
        <w:footnoteReference w:id="47"/>
      </w:r>
      <w:r>
        <w:rPr>
          <w:rFonts w:cs="Calibri"/>
          <w:lang w:val="en-US"/>
        </w:rPr>
        <w:t xml:space="preserve"> The classification</w:t>
      </w:r>
      <w:r w:rsidRPr="001D6CB4">
        <w:rPr>
          <w:rFonts w:cs="Calibri"/>
          <w:lang w:val="en-US"/>
        </w:rPr>
        <w:t xml:space="preserve"> between a </w:t>
      </w:r>
      <w:r>
        <w:rPr>
          <w:rFonts w:cs="Calibri"/>
          <w:lang w:val="en-US"/>
        </w:rPr>
        <w:t>normal</w:t>
      </w:r>
      <w:r w:rsidRPr="009458E2">
        <w:rPr>
          <w:rFonts w:cs="Calibri"/>
          <w:lang w:val="en-US"/>
        </w:rPr>
        <w:t xml:space="preserve"> and an </w:t>
      </w:r>
      <w:r>
        <w:rPr>
          <w:rFonts w:cs="Calibri"/>
          <w:lang w:val="en-US"/>
        </w:rPr>
        <w:t>abnormal</w:t>
      </w:r>
      <w:r w:rsidRPr="001D6CB4">
        <w:rPr>
          <w:rFonts w:cs="Calibri"/>
          <w:lang w:val="en-US"/>
        </w:rPr>
        <w:t xml:space="preserve"> sexualit</w:t>
      </w:r>
      <w:r>
        <w:rPr>
          <w:rFonts w:cs="Calibri"/>
          <w:lang w:val="en-US"/>
        </w:rPr>
        <w:t>y was</w:t>
      </w:r>
      <w:r w:rsidRPr="001D6CB4">
        <w:rPr>
          <w:rFonts w:cs="Calibri"/>
          <w:lang w:val="en-US"/>
        </w:rPr>
        <w:t xml:space="preserve"> grounded in the idea of ‘truth’.</w:t>
      </w:r>
      <w:r w:rsidRPr="001D6CB4">
        <w:rPr>
          <w:rStyle w:val="FootnoteReference"/>
          <w:rFonts w:cs="Calibri"/>
          <w:lang w:val="en-US"/>
        </w:rPr>
        <w:footnoteReference w:id="48"/>
      </w:r>
      <w:r w:rsidRPr="002951D1">
        <w:rPr>
          <w:rFonts w:cs="Calibri"/>
          <w:lang w:val="en-US"/>
        </w:rPr>
        <w:t xml:space="preserve"> The mechanism through which this truth is produced is what Foucault calls</w:t>
      </w:r>
      <w:r>
        <w:rPr>
          <w:rFonts w:cs="Calibri"/>
          <w:lang w:val="en-US"/>
        </w:rPr>
        <w:t xml:space="preserve"> </w:t>
      </w:r>
      <w:r w:rsidRPr="001D6CB4">
        <w:rPr>
          <w:rFonts w:cs="Calibri"/>
          <w:lang w:val="en-US"/>
        </w:rPr>
        <w:t xml:space="preserve">the </w:t>
      </w:r>
      <w:r>
        <w:rPr>
          <w:rFonts w:cs="Calibri"/>
          <w:lang w:val="en-US"/>
        </w:rPr>
        <w:t>w</w:t>
      </w:r>
      <w:r w:rsidRPr="001D6CB4">
        <w:rPr>
          <w:rFonts w:cs="Calibri"/>
          <w:lang w:val="en-US"/>
        </w:rPr>
        <w:t xml:space="preserve">estern </w:t>
      </w:r>
      <w:r w:rsidRPr="001D6CB4">
        <w:rPr>
          <w:rFonts w:cs="Calibri"/>
          <w:i/>
          <w:iCs/>
          <w:lang w:val="en-US"/>
        </w:rPr>
        <w:t>scientia sexualis</w:t>
      </w:r>
      <w:r w:rsidRPr="001D6CB4">
        <w:rPr>
          <w:rFonts w:cs="Calibri"/>
          <w:lang w:val="en-US"/>
        </w:rPr>
        <w:t xml:space="preserve"> – a </w:t>
      </w:r>
      <w:r>
        <w:rPr>
          <w:rFonts w:cs="Calibri"/>
          <w:lang w:val="en-US"/>
        </w:rPr>
        <w:t>clinical scientific approach</w:t>
      </w:r>
      <w:r w:rsidRPr="001D6CB4">
        <w:rPr>
          <w:rFonts w:cs="Calibri"/>
          <w:lang w:val="en-US"/>
        </w:rPr>
        <w:t xml:space="preserve"> to the knowledge production of sexuality, which calls for therapeutic and normalizing interventions.</w:t>
      </w:r>
      <w:r w:rsidRPr="001D6CB4">
        <w:rPr>
          <w:rStyle w:val="FootnoteReference"/>
          <w:rFonts w:cs="Calibri"/>
          <w:lang w:val="en-US"/>
        </w:rPr>
        <w:footnoteReference w:id="49"/>
      </w:r>
      <w:r>
        <w:rPr>
          <w:rFonts w:cs="Calibri"/>
          <w:lang w:val="en-US"/>
        </w:rPr>
        <w:t xml:space="preserve"> </w:t>
      </w:r>
    </w:p>
    <w:p w14:paraId="58A80FC8" w14:textId="77777777" w:rsidR="009847E8" w:rsidRDefault="009847E8" w:rsidP="002D6DB8">
      <w:pPr>
        <w:pStyle w:val="Maxhoofdtekst"/>
        <w:spacing w:line="276" w:lineRule="auto"/>
        <w:ind w:firstLine="284"/>
        <w:rPr>
          <w:rFonts w:cs="Calibri"/>
          <w:lang w:val="en-US"/>
        </w:rPr>
      </w:pPr>
      <w:r>
        <w:rPr>
          <w:rFonts w:cs="Calibri"/>
          <w:lang w:val="en-US"/>
        </w:rPr>
        <w:t xml:space="preserve">The production of ‘truth’ of sexuality is used as a means to exercise power over individuals. </w:t>
      </w:r>
      <w:r w:rsidRPr="001D6CB4">
        <w:rPr>
          <w:rFonts w:cs="Calibri"/>
          <w:lang w:val="en-US"/>
        </w:rPr>
        <w:t>Foucault argues that the exercise of power is always intentional, imbued with calculation</w:t>
      </w:r>
      <w:r>
        <w:rPr>
          <w:rFonts w:cs="Calibri"/>
          <w:lang w:val="en-US"/>
        </w:rPr>
        <w:t>; the</w:t>
      </w:r>
      <w:r w:rsidRPr="001D6CB4">
        <w:rPr>
          <w:rFonts w:cs="Calibri"/>
          <w:lang w:val="en-US"/>
        </w:rPr>
        <w:t xml:space="preserve"> intention of </w:t>
      </w:r>
      <w:r>
        <w:rPr>
          <w:rFonts w:cs="Calibri"/>
          <w:lang w:val="en-US"/>
        </w:rPr>
        <w:t xml:space="preserve">the </w:t>
      </w:r>
      <w:r w:rsidRPr="001D6CB4">
        <w:rPr>
          <w:rFonts w:cs="Calibri"/>
          <w:lang w:val="en-US"/>
        </w:rPr>
        <w:t>disc</w:t>
      </w:r>
      <w:r>
        <w:rPr>
          <w:rFonts w:cs="Calibri"/>
          <w:lang w:val="en-US"/>
        </w:rPr>
        <w:t xml:space="preserve">ursive explosion </w:t>
      </w:r>
      <w:r w:rsidRPr="001D6CB4">
        <w:rPr>
          <w:rFonts w:cs="Calibri"/>
          <w:lang w:val="en-US"/>
        </w:rPr>
        <w:t>on sex</w:t>
      </w:r>
      <w:r>
        <w:rPr>
          <w:rFonts w:cs="Calibri"/>
          <w:lang w:val="en-US"/>
        </w:rPr>
        <w:t xml:space="preserve"> </w:t>
      </w:r>
      <w:r w:rsidRPr="001D6CB4">
        <w:rPr>
          <w:rFonts w:cs="Calibri"/>
          <w:lang w:val="en-US"/>
        </w:rPr>
        <w:t>is the production of ‘sexuality’ as a construct itself.</w:t>
      </w:r>
      <w:r w:rsidRPr="001D6CB4">
        <w:rPr>
          <w:rStyle w:val="FootnoteReference"/>
          <w:rFonts w:cs="Calibri"/>
          <w:lang w:val="en-US"/>
        </w:rPr>
        <w:footnoteReference w:id="50"/>
      </w:r>
      <w:r w:rsidRPr="001D6CB4">
        <w:rPr>
          <w:rFonts w:cs="Calibri"/>
          <w:lang w:val="en-US"/>
        </w:rPr>
        <w:t xml:space="preserve"> Sexuality is a social construct, which encompasses all knowledge relating to sex. </w:t>
      </w:r>
      <w:r w:rsidRPr="00441D0C">
        <w:rPr>
          <w:rFonts w:cs="Calibri"/>
          <w:lang w:val="en-US"/>
        </w:rPr>
        <w:t xml:space="preserve">This is what Foucault </w:t>
      </w:r>
      <w:r>
        <w:rPr>
          <w:rFonts w:cs="Calibri"/>
          <w:lang w:val="en-US"/>
        </w:rPr>
        <w:t>refers to as</w:t>
      </w:r>
      <w:r w:rsidRPr="00441D0C">
        <w:rPr>
          <w:rFonts w:cs="Calibri"/>
          <w:lang w:val="en-US"/>
        </w:rPr>
        <w:t xml:space="preserve"> the </w:t>
      </w:r>
      <w:r w:rsidRPr="00441D0C">
        <w:rPr>
          <w:rFonts w:cs="Calibri"/>
          <w:i/>
          <w:iCs/>
          <w:lang w:val="en-US"/>
        </w:rPr>
        <w:t>deployment</w:t>
      </w:r>
      <w:r w:rsidRPr="00441D0C">
        <w:rPr>
          <w:rFonts w:cs="Calibri"/>
          <w:lang w:val="en-US"/>
        </w:rPr>
        <w:t xml:space="preserve"> of sexuality: </w:t>
      </w:r>
      <w:r>
        <w:rPr>
          <w:rFonts w:cs="Calibri"/>
          <w:lang w:val="en-US"/>
        </w:rPr>
        <w:t>it</w:t>
      </w:r>
      <w:r w:rsidRPr="00441D0C">
        <w:rPr>
          <w:rFonts w:cs="Calibri"/>
          <w:lang w:val="en-US"/>
        </w:rPr>
        <w:t xml:space="preserve"> does not merely produce discourse about sex but generates an apparatus of knowledge and power</w:t>
      </w:r>
      <w:r w:rsidRPr="001D6CB4">
        <w:rPr>
          <w:rFonts w:cs="Calibri"/>
          <w:lang w:val="en-US"/>
        </w:rPr>
        <w:t xml:space="preserve"> </w:t>
      </w:r>
      <w:r>
        <w:rPr>
          <w:rFonts w:cs="Calibri"/>
          <w:lang w:val="en-US"/>
        </w:rPr>
        <w:t xml:space="preserve">concerning </w:t>
      </w:r>
      <w:r w:rsidRPr="001D6CB4">
        <w:rPr>
          <w:rFonts w:cs="Calibri"/>
          <w:lang w:val="en-US"/>
        </w:rPr>
        <w:t>matters</w:t>
      </w:r>
      <w:r>
        <w:rPr>
          <w:rFonts w:cs="Calibri"/>
          <w:lang w:val="en-US"/>
        </w:rPr>
        <w:t xml:space="preserve"> such as health,</w:t>
      </w:r>
      <w:r w:rsidRPr="001D6CB4">
        <w:rPr>
          <w:rFonts w:cs="Calibri"/>
          <w:lang w:val="en-US"/>
        </w:rPr>
        <w:t xml:space="preserve"> pedagogy, medicine, and demography.</w:t>
      </w:r>
      <w:r w:rsidRPr="001D6CB4">
        <w:rPr>
          <w:rStyle w:val="FootnoteReference"/>
          <w:rFonts w:cs="Calibri"/>
          <w:lang w:val="en-US"/>
        </w:rPr>
        <w:footnoteReference w:id="51"/>
      </w:r>
      <w:r w:rsidRPr="001D6CB4">
        <w:rPr>
          <w:rFonts w:cs="Calibri"/>
          <w:lang w:val="en-US"/>
        </w:rPr>
        <w:t xml:space="preserve"> </w:t>
      </w:r>
    </w:p>
    <w:p w14:paraId="4272475E" w14:textId="77777777" w:rsidR="009847E8" w:rsidRDefault="009847E8" w:rsidP="002D6DB8">
      <w:pPr>
        <w:pStyle w:val="Maxhoofdtekst"/>
        <w:spacing w:line="276" w:lineRule="auto"/>
        <w:ind w:firstLine="284"/>
        <w:rPr>
          <w:rFonts w:cs="Calibri"/>
          <w:lang w:val="en-US"/>
        </w:rPr>
      </w:pPr>
      <w:r>
        <w:rPr>
          <w:rFonts w:cs="Calibri"/>
          <w:lang w:val="en-US"/>
        </w:rPr>
        <w:t>This</w:t>
      </w:r>
      <w:r w:rsidRPr="001D6CB4">
        <w:rPr>
          <w:rFonts w:cs="Calibri"/>
          <w:lang w:val="en-US"/>
        </w:rPr>
        <w:t xml:space="preserve"> deployment of </w:t>
      </w:r>
      <w:r w:rsidRPr="00C90C79">
        <w:rPr>
          <w:rFonts w:cs="Calibri"/>
          <w:lang w:val="en-US"/>
        </w:rPr>
        <w:t xml:space="preserve">sexuality </w:t>
      </w:r>
      <w:r>
        <w:rPr>
          <w:rFonts w:cs="Calibri"/>
          <w:lang w:val="en-US"/>
        </w:rPr>
        <w:t>is</w:t>
      </w:r>
      <w:r w:rsidRPr="00C90C79">
        <w:rPr>
          <w:rFonts w:cs="Calibri"/>
          <w:lang w:val="en-US"/>
        </w:rPr>
        <w:t xml:space="preserve"> a form of </w:t>
      </w:r>
      <w:r w:rsidRPr="00CB1D10">
        <w:rPr>
          <w:rFonts w:cs="Calibri"/>
          <w:i/>
          <w:iCs/>
          <w:lang w:val="en-US"/>
        </w:rPr>
        <w:t>biopower –</w:t>
      </w:r>
      <w:r>
        <w:rPr>
          <w:rFonts w:cs="Calibri"/>
          <w:lang w:val="en-US"/>
        </w:rPr>
        <w:t xml:space="preserve"> power </w:t>
      </w:r>
      <w:r w:rsidRPr="00C90C79">
        <w:rPr>
          <w:rFonts w:cs="Calibri"/>
          <w:lang w:val="en-US"/>
        </w:rPr>
        <w:t>that has</w:t>
      </w:r>
      <w:r>
        <w:rPr>
          <w:rFonts w:cs="Calibri"/>
          <w:lang w:val="en-US"/>
        </w:rPr>
        <w:t xml:space="preserve"> both</w:t>
      </w:r>
      <w:r w:rsidRPr="00C90C79">
        <w:rPr>
          <w:rFonts w:cs="Calibri"/>
          <w:lang w:val="en-US"/>
        </w:rPr>
        <w:t xml:space="preserve"> right o</w:t>
      </w:r>
      <w:r>
        <w:rPr>
          <w:rFonts w:cs="Calibri"/>
          <w:lang w:val="en-US"/>
        </w:rPr>
        <w:t>ver</w:t>
      </w:r>
      <w:r w:rsidRPr="00C90C79">
        <w:rPr>
          <w:rFonts w:cs="Calibri"/>
          <w:lang w:val="en-US"/>
        </w:rPr>
        <w:t xml:space="preserve"> death </w:t>
      </w:r>
      <w:r w:rsidRPr="00CB1D10">
        <w:rPr>
          <w:rFonts w:cs="Calibri"/>
          <w:lang w:val="en-US"/>
        </w:rPr>
        <w:t>and</w:t>
      </w:r>
      <w:r w:rsidRPr="00C90C79">
        <w:rPr>
          <w:rFonts w:cs="Calibri"/>
          <w:lang w:val="en-US"/>
        </w:rPr>
        <w:t xml:space="preserve"> o</w:t>
      </w:r>
      <w:r>
        <w:rPr>
          <w:rFonts w:cs="Calibri"/>
          <w:lang w:val="en-US"/>
        </w:rPr>
        <w:t xml:space="preserve">ver </w:t>
      </w:r>
      <w:r w:rsidRPr="00C90C79">
        <w:rPr>
          <w:rFonts w:cs="Calibri"/>
          <w:lang w:val="en-US"/>
        </w:rPr>
        <w:t>life</w:t>
      </w:r>
      <w:r>
        <w:rPr>
          <w:rFonts w:cs="Calibri"/>
          <w:lang w:val="en-US"/>
        </w:rPr>
        <w:t xml:space="preserve">, and is focused on </w:t>
      </w:r>
      <w:r w:rsidRPr="00441D0C">
        <w:rPr>
          <w:rFonts w:cs="Calibri"/>
          <w:lang w:val="en-US"/>
        </w:rPr>
        <w:t>monitoring, organizing, and optimizing the lives of individuals and populations</w:t>
      </w:r>
      <w:r w:rsidRPr="001D6CB4">
        <w:rPr>
          <w:rFonts w:cs="Calibri"/>
          <w:lang w:val="en-US"/>
        </w:rPr>
        <w:t>.</w:t>
      </w:r>
      <w:r w:rsidRPr="001D6CB4">
        <w:rPr>
          <w:rStyle w:val="FootnoteReference"/>
          <w:rFonts w:cs="Calibri"/>
          <w:lang w:val="en-US"/>
        </w:rPr>
        <w:footnoteReference w:id="52"/>
      </w:r>
      <w:r w:rsidRPr="001D6CB4">
        <w:rPr>
          <w:rFonts w:cs="Calibri"/>
          <w:lang w:val="en-US"/>
        </w:rPr>
        <w:t xml:space="preserve"> Power over life goes beyond power through death and destruct</w:t>
      </w:r>
      <w:r>
        <w:rPr>
          <w:rFonts w:cs="Calibri"/>
          <w:lang w:val="en-US"/>
        </w:rPr>
        <w:t>ion</w:t>
      </w:r>
      <w:r w:rsidRPr="001D6CB4">
        <w:rPr>
          <w:rFonts w:cs="Calibri"/>
          <w:lang w:val="en-US"/>
        </w:rPr>
        <w:t xml:space="preserve">; it employs techniques through which life is monitored and organized. </w:t>
      </w:r>
      <w:r>
        <w:rPr>
          <w:rFonts w:cs="Calibri"/>
          <w:lang w:val="en-US"/>
        </w:rPr>
        <w:t xml:space="preserve">The exercise of biopower over sexuality </w:t>
      </w:r>
      <w:r w:rsidRPr="001D6CB4">
        <w:rPr>
          <w:rFonts w:cs="Calibri"/>
          <w:lang w:val="en-US"/>
        </w:rPr>
        <w:t xml:space="preserve">is </w:t>
      </w:r>
      <w:r>
        <w:rPr>
          <w:rFonts w:cs="Calibri"/>
          <w:lang w:val="en-US"/>
        </w:rPr>
        <w:t>aimed at</w:t>
      </w:r>
      <w:r w:rsidRPr="001D6CB4">
        <w:rPr>
          <w:rFonts w:cs="Calibri"/>
          <w:lang w:val="en-US"/>
        </w:rPr>
        <w:t xml:space="preserve"> optimizing and multiplying life</w:t>
      </w:r>
      <w:r>
        <w:rPr>
          <w:rFonts w:cs="Calibri"/>
          <w:lang w:val="en-US"/>
        </w:rPr>
        <w:t xml:space="preserve"> in the modern state</w:t>
      </w:r>
      <w:r w:rsidRPr="001D6CB4">
        <w:rPr>
          <w:rFonts w:cs="Calibri"/>
          <w:lang w:val="en-US"/>
        </w:rPr>
        <w:t xml:space="preserve">. </w:t>
      </w:r>
      <w:r>
        <w:rPr>
          <w:rFonts w:cs="Calibri"/>
          <w:lang w:val="en-US"/>
        </w:rPr>
        <w:t>This power</w:t>
      </w:r>
      <w:r w:rsidRPr="001D6CB4">
        <w:rPr>
          <w:rFonts w:cs="Calibri"/>
          <w:lang w:val="en-US"/>
        </w:rPr>
        <w:t xml:space="preserve"> is constituted of two poles: power over the individual body and over the species body.</w:t>
      </w:r>
      <w:r w:rsidRPr="001D6CB4">
        <w:rPr>
          <w:rStyle w:val="FootnoteReference"/>
          <w:rFonts w:cs="Calibri"/>
          <w:lang w:val="en-US"/>
        </w:rPr>
        <w:footnoteReference w:id="53"/>
      </w:r>
      <w:r w:rsidRPr="001D6CB4">
        <w:rPr>
          <w:rFonts w:cs="Calibri"/>
          <w:lang w:val="en-US"/>
        </w:rPr>
        <w:t xml:space="preserve"> As regards the first pole, power is focused on optimizing and disciplining the body as a machine. The second pole entails the administering and normalizing biological processes of the population, including procreation, mortality, and health. Power over life was now controlled ‘by the administration of bodies and the calculated management of life’.</w:t>
      </w:r>
      <w:r w:rsidRPr="001D6CB4">
        <w:rPr>
          <w:rStyle w:val="FootnoteReference"/>
          <w:rFonts w:cs="Calibri"/>
          <w:lang w:val="en-US"/>
        </w:rPr>
        <w:footnoteReference w:id="54"/>
      </w:r>
      <w:r w:rsidRPr="001D6CB4">
        <w:rPr>
          <w:rFonts w:cs="Calibri"/>
          <w:lang w:val="en-US"/>
        </w:rPr>
        <w:t xml:space="preserve"> </w:t>
      </w:r>
      <w:r w:rsidRPr="00441D0C">
        <w:rPr>
          <w:rFonts w:cs="Calibri"/>
          <w:lang w:val="en-US"/>
        </w:rPr>
        <w:t xml:space="preserve">Unlike sovereign power, which asserts itself through death and destruction, biopower works by monitoring, organizing, and optimizing the lives of individuals and populations. </w:t>
      </w:r>
    </w:p>
    <w:p w14:paraId="3528C794" w14:textId="77777777" w:rsidR="009847E8" w:rsidRDefault="009847E8" w:rsidP="002D6DB8">
      <w:pPr>
        <w:pStyle w:val="Maxhoofdtekst"/>
        <w:spacing w:line="276" w:lineRule="auto"/>
        <w:ind w:firstLine="284"/>
        <w:rPr>
          <w:rFonts w:cs="Calibri"/>
          <w:lang w:val="en-US"/>
        </w:rPr>
      </w:pPr>
      <w:r w:rsidRPr="001D6CB4">
        <w:rPr>
          <w:rFonts w:cs="Calibri"/>
          <w:lang w:val="en-US"/>
        </w:rPr>
        <w:lastRenderedPageBreak/>
        <w:t xml:space="preserve">Foucault </w:t>
      </w:r>
      <w:r>
        <w:rPr>
          <w:rFonts w:cs="Calibri"/>
          <w:lang w:val="en-US"/>
        </w:rPr>
        <w:t>argues</w:t>
      </w:r>
      <w:r w:rsidRPr="001D6CB4">
        <w:rPr>
          <w:rFonts w:cs="Calibri"/>
          <w:lang w:val="en-US"/>
        </w:rPr>
        <w:t xml:space="preserve"> that this concept of biopower is necessary for understanding why sex is a political issue, as ‘sex was a means of access both to the life of the body and the life of the species’.</w:t>
      </w:r>
      <w:r w:rsidRPr="001D6CB4">
        <w:rPr>
          <w:rStyle w:val="FootnoteReference"/>
          <w:rFonts w:cs="Calibri"/>
          <w:lang w:val="en-US"/>
        </w:rPr>
        <w:footnoteReference w:id="55"/>
      </w:r>
      <w:r w:rsidRPr="001D6CB4">
        <w:rPr>
          <w:rFonts w:cs="Calibri"/>
          <w:lang w:val="en-US"/>
        </w:rPr>
        <w:t xml:space="preserve"> </w:t>
      </w:r>
      <w:r>
        <w:rPr>
          <w:rFonts w:cs="Calibri"/>
          <w:lang w:val="en-US"/>
        </w:rPr>
        <w:t>H</w:t>
      </w:r>
      <w:r w:rsidRPr="001D6CB4">
        <w:rPr>
          <w:rFonts w:cs="Calibri"/>
          <w:lang w:val="en-US"/>
        </w:rPr>
        <w:t>e elaborates: ‘through the themes of health, progeny, race, the future of the species, the vitality of the social body, power spoke of and to sexuality; the latter was not a mark or a symbol, it was an object and a target’.</w:t>
      </w:r>
      <w:r w:rsidRPr="001D6CB4">
        <w:rPr>
          <w:rStyle w:val="FootnoteReference"/>
          <w:rFonts w:cs="Calibri"/>
          <w:lang w:val="en-US"/>
        </w:rPr>
        <w:footnoteReference w:id="56"/>
      </w:r>
      <w:r w:rsidRPr="001D6CB4">
        <w:rPr>
          <w:rFonts w:cs="Calibri"/>
          <w:lang w:val="en-US"/>
        </w:rPr>
        <w:t xml:space="preserve"> </w:t>
      </w:r>
      <w:r>
        <w:rPr>
          <w:rFonts w:cs="Calibri"/>
          <w:lang w:val="en-US"/>
        </w:rPr>
        <w:t>Biopower therefore demonstrates that the governance of sexuality is never merely about regulating individual behavior. It is a strategy that</w:t>
      </w:r>
      <w:r w:rsidRPr="001D6CB4">
        <w:rPr>
          <w:rFonts w:cs="Calibri"/>
          <w:lang w:val="en-US"/>
        </w:rPr>
        <w:t xml:space="preserve"> involve</w:t>
      </w:r>
      <w:r>
        <w:rPr>
          <w:rFonts w:cs="Calibri"/>
          <w:lang w:val="en-US"/>
        </w:rPr>
        <w:t>s</w:t>
      </w:r>
      <w:r w:rsidRPr="001D6CB4">
        <w:rPr>
          <w:rFonts w:cs="Calibri"/>
          <w:lang w:val="en-US"/>
        </w:rPr>
        <w:t xml:space="preserve"> </w:t>
      </w:r>
      <w:r>
        <w:rPr>
          <w:rFonts w:cs="Calibri"/>
          <w:lang w:val="en-US"/>
        </w:rPr>
        <w:t>biopolitical techniques</w:t>
      </w:r>
      <w:r w:rsidRPr="001D6CB4">
        <w:rPr>
          <w:rFonts w:cs="Calibri"/>
          <w:lang w:val="en-US"/>
        </w:rPr>
        <w:t xml:space="preserve"> which </w:t>
      </w:r>
      <w:r>
        <w:rPr>
          <w:rFonts w:cs="Calibri"/>
          <w:lang w:val="en-US"/>
        </w:rPr>
        <w:t>are</w:t>
      </w:r>
      <w:r w:rsidRPr="001D6CB4">
        <w:rPr>
          <w:rFonts w:cs="Calibri"/>
          <w:lang w:val="en-US"/>
        </w:rPr>
        <w:t xml:space="preserve"> employed in the name of health, solidifying of the family institution and the protection of society.</w:t>
      </w:r>
    </w:p>
    <w:p w14:paraId="787D37DA" w14:textId="77777777" w:rsidR="009847E8" w:rsidRDefault="009847E8" w:rsidP="00910696">
      <w:pPr>
        <w:pStyle w:val="Maxhoofdtekst"/>
        <w:spacing w:line="276" w:lineRule="auto"/>
        <w:ind w:firstLine="284"/>
        <w:rPr>
          <w:rFonts w:cs="Calibri"/>
          <w:lang w:val="en-US"/>
        </w:rPr>
      </w:pPr>
      <w:r w:rsidRPr="001D6CB4">
        <w:rPr>
          <w:rFonts w:cs="Calibri"/>
          <w:lang w:val="en-US"/>
        </w:rPr>
        <w:t xml:space="preserve">Finally, </w:t>
      </w:r>
      <w:r w:rsidRPr="00F16490">
        <w:rPr>
          <w:rFonts w:cs="Calibri"/>
          <w:lang w:val="en-US"/>
        </w:rPr>
        <w:t>Foucault links biopower to racism through his account of the shift from a society organized around pure blood (sanguinity) to one organized around sexuality</w:t>
      </w:r>
      <w:r w:rsidRPr="00910696">
        <w:rPr>
          <w:rFonts w:cs="Calibri"/>
          <w:lang w:val="en-US"/>
        </w:rPr>
        <w:t>.</w:t>
      </w:r>
      <w:r w:rsidRPr="00910696">
        <w:rPr>
          <w:rStyle w:val="FootnoteReference"/>
          <w:rFonts w:cs="Calibri"/>
          <w:lang w:val="en-US"/>
        </w:rPr>
        <w:footnoteReference w:id="57"/>
      </w:r>
      <w:r w:rsidRPr="00910696">
        <w:rPr>
          <w:rFonts w:cs="Calibri"/>
          <w:lang w:val="en-US"/>
        </w:rPr>
        <w:t xml:space="preserve"> Sanguinity </w:t>
      </w:r>
      <w:r>
        <w:rPr>
          <w:rFonts w:cs="Calibri"/>
          <w:lang w:val="en-US"/>
        </w:rPr>
        <w:t>is</w:t>
      </w:r>
      <w:r w:rsidRPr="00910696">
        <w:rPr>
          <w:rFonts w:cs="Calibri"/>
          <w:lang w:val="en-US"/>
        </w:rPr>
        <w:t xml:space="preserve"> the ideal of a pure-blooded society, o</w:t>
      </w:r>
      <w:r>
        <w:rPr>
          <w:rFonts w:cs="Calibri"/>
          <w:lang w:val="en-US"/>
        </w:rPr>
        <w:t>r</w:t>
      </w:r>
      <w:r w:rsidRPr="00910696">
        <w:rPr>
          <w:rFonts w:cs="Calibri"/>
          <w:lang w:val="en-US"/>
        </w:rPr>
        <w:t xml:space="preserve"> racial purity, which prevents racial </w:t>
      </w:r>
      <w:r>
        <w:rPr>
          <w:rFonts w:cs="Calibri"/>
          <w:lang w:val="en-US"/>
        </w:rPr>
        <w:t>degeneration</w:t>
      </w:r>
      <w:r w:rsidRPr="00910696">
        <w:rPr>
          <w:rFonts w:cs="Calibri"/>
          <w:lang w:val="en-US"/>
        </w:rPr>
        <w:t xml:space="preserve">. </w:t>
      </w:r>
      <w:r>
        <w:rPr>
          <w:rFonts w:cs="Calibri"/>
          <w:lang w:val="en-US"/>
        </w:rPr>
        <w:t>However, this thematic of blood does not necessarily disappear as Stoler points out, ‘Foucault reveals the symbolics of blood as a living discourse that lent its weight to a power exercised through the deployment of sexuality’.</w:t>
      </w:r>
      <w:r>
        <w:rPr>
          <w:rStyle w:val="FootnoteReference"/>
          <w:rFonts w:cs="Calibri"/>
          <w:lang w:val="en-US"/>
        </w:rPr>
        <w:footnoteReference w:id="58"/>
      </w:r>
      <w:r>
        <w:rPr>
          <w:rFonts w:cs="Calibri"/>
          <w:lang w:val="en-US"/>
        </w:rPr>
        <w:t xml:space="preserve"> This theory of degeneracy secures the relationship between racism and sexuality, Stoler explains: ‘it conferred abnormality on individual bodies, casting certain deviations as both internal dangers to the body politic and as inheritable legacies that threatened the well-being of a race.’</w:t>
      </w:r>
      <w:r>
        <w:rPr>
          <w:rStyle w:val="FootnoteReference"/>
          <w:rFonts w:cs="Calibri"/>
          <w:lang w:val="en-US"/>
        </w:rPr>
        <w:footnoteReference w:id="59"/>
      </w:r>
      <w:r>
        <w:rPr>
          <w:rFonts w:cs="Calibri"/>
          <w:lang w:val="en-US"/>
        </w:rPr>
        <w:t xml:space="preserve"> The ideal of a pure</w:t>
      </w:r>
      <w:r w:rsidRPr="00F16490">
        <w:rPr>
          <w:rFonts w:cs="Calibri"/>
          <w:lang w:val="en-US"/>
        </w:rPr>
        <w:t xml:space="preserve"> blood and the ideal of a healthy, regulated sexuality converge, both demanding a eugenic ordering of society.</w:t>
      </w:r>
      <w:r w:rsidRPr="001D6CB4">
        <w:rPr>
          <w:rFonts w:cs="Calibri"/>
          <w:lang w:val="en-US"/>
        </w:rPr>
        <w:t xml:space="preserve"> Such a society</w:t>
      </w:r>
      <w:r>
        <w:rPr>
          <w:rFonts w:cs="Calibri"/>
          <w:lang w:val="en-US"/>
        </w:rPr>
        <w:t xml:space="preserve">, Foucault argues, depends on </w:t>
      </w:r>
      <w:r w:rsidRPr="001D6CB4">
        <w:rPr>
          <w:rFonts w:cs="Calibri"/>
          <w:lang w:val="en-US"/>
        </w:rPr>
        <w:t>‘permanent interventions at the level of the body, conduct, health and everyday life</w:t>
      </w:r>
      <w:r>
        <w:rPr>
          <w:rFonts w:cs="Calibri"/>
          <w:lang w:val="en-US"/>
        </w:rPr>
        <w:t>’, interventions that ‘</w:t>
      </w:r>
      <w:r w:rsidRPr="001D6CB4">
        <w:rPr>
          <w:rFonts w:cs="Calibri"/>
          <w:lang w:val="en-US"/>
        </w:rPr>
        <w:t xml:space="preserve">received their color and their justification from the mythical concern with protecting the purity of the blood and ensuring </w:t>
      </w:r>
      <w:r w:rsidRPr="00441D0C">
        <w:rPr>
          <w:rFonts w:cs="Calibri"/>
          <w:i/>
          <w:iCs/>
          <w:lang w:val="en-US"/>
        </w:rPr>
        <w:t>the triumph of the race</w:t>
      </w:r>
      <w:r w:rsidRPr="001D6CB4">
        <w:rPr>
          <w:rFonts w:cs="Calibri"/>
          <w:lang w:val="en-US"/>
        </w:rPr>
        <w:t>.’</w:t>
      </w:r>
      <w:r w:rsidRPr="001D6CB4">
        <w:rPr>
          <w:rStyle w:val="FootnoteReference"/>
          <w:rFonts w:cs="Calibri"/>
          <w:lang w:val="en-US"/>
        </w:rPr>
        <w:footnoteReference w:id="60"/>
      </w:r>
      <w:r>
        <w:rPr>
          <w:rFonts w:cs="Calibri"/>
          <w:lang w:val="en-US"/>
        </w:rPr>
        <w:t xml:space="preserve"> </w:t>
      </w:r>
    </w:p>
    <w:p w14:paraId="76D4A426" w14:textId="77777777" w:rsidR="009847E8" w:rsidRPr="002951D1" w:rsidRDefault="009847E8">
      <w:pPr>
        <w:pStyle w:val="Maxhoofdtekst"/>
        <w:numPr>
          <w:ilvl w:val="2"/>
          <w:numId w:val="5"/>
        </w:numPr>
        <w:spacing w:line="276" w:lineRule="auto"/>
        <w:rPr>
          <w:rFonts w:cs="Calibri"/>
          <w:lang w:val="en-US"/>
        </w:rPr>
      </w:pPr>
      <w:r>
        <w:rPr>
          <w:rFonts w:cs="Calibri"/>
          <w:lang w:val="en-US"/>
        </w:rPr>
        <w:t>Deployment of sexuality in the colony</w:t>
      </w:r>
    </w:p>
    <w:p w14:paraId="56AA2CAE" w14:textId="77777777" w:rsidR="009847E8" w:rsidRDefault="009847E8" w:rsidP="002D6DB8">
      <w:pPr>
        <w:pStyle w:val="Maxhoofdtekst"/>
        <w:spacing w:line="276" w:lineRule="auto"/>
        <w:ind w:firstLine="284"/>
        <w:rPr>
          <w:rFonts w:cs="Calibri"/>
          <w:lang w:val="en-US"/>
        </w:rPr>
      </w:pPr>
      <w:r>
        <w:rPr>
          <w:rFonts w:cs="Calibri"/>
          <w:lang w:val="en-US"/>
        </w:rPr>
        <w:t>Although Foucault locates his theory of biopower and sexuality in Europe, his theory is relevant and largely corresponds to power exercised over sexual identities in the colony. In the Dutch empire, c</w:t>
      </w:r>
      <w:r w:rsidRPr="00D85517">
        <w:rPr>
          <w:rFonts w:cs="Calibri"/>
          <w:lang w:val="en-US"/>
        </w:rPr>
        <w:t xml:space="preserve">olonial discourses on sexuality functioned as a mechanism for policing the boundaries of European bourgeois identity. </w:t>
      </w:r>
      <w:r>
        <w:rPr>
          <w:rFonts w:cs="Calibri"/>
          <w:lang w:val="en-US"/>
        </w:rPr>
        <w:t xml:space="preserve">Different </w:t>
      </w:r>
      <w:r w:rsidRPr="001D6CB4">
        <w:rPr>
          <w:rFonts w:cs="Calibri"/>
          <w:lang w:val="en-US"/>
        </w:rPr>
        <w:t xml:space="preserve">techniques of biopower </w:t>
      </w:r>
      <w:r>
        <w:rPr>
          <w:rFonts w:cs="Calibri"/>
          <w:lang w:val="en-US"/>
        </w:rPr>
        <w:t>were</w:t>
      </w:r>
      <w:r w:rsidRPr="001D6CB4">
        <w:rPr>
          <w:rFonts w:cs="Calibri"/>
          <w:lang w:val="en-US"/>
        </w:rPr>
        <w:t xml:space="preserve"> utilized for disciplining the individual body and the body species through institutions such as the family, the army, education, state policing, and health care.</w:t>
      </w:r>
      <w:r w:rsidRPr="001D6CB4">
        <w:rPr>
          <w:rStyle w:val="FootnoteReference"/>
          <w:rFonts w:cs="Calibri"/>
          <w:lang w:val="en-US"/>
        </w:rPr>
        <w:footnoteReference w:id="61"/>
      </w:r>
      <w:r w:rsidRPr="001D6CB4">
        <w:rPr>
          <w:rFonts w:cs="Calibri"/>
          <w:lang w:val="en-US"/>
        </w:rPr>
        <w:t xml:space="preserve"> </w:t>
      </w:r>
      <w:r>
        <w:rPr>
          <w:rFonts w:cs="Calibri"/>
          <w:lang w:val="en-US"/>
        </w:rPr>
        <w:t>Technologies</w:t>
      </w:r>
      <w:r w:rsidRPr="001D6CB4">
        <w:rPr>
          <w:rFonts w:cs="Calibri"/>
          <w:lang w:val="en-US"/>
        </w:rPr>
        <w:t xml:space="preserve"> of</w:t>
      </w:r>
      <w:r>
        <w:rPr>
          <w:rFonts w:cs="Calibri"/>
          <w:lang w:val="en-US"/>
        </w:rPr>
        <w:t xml:space="preserve"> sexuality we</w:t>
      </w:r>
      <w:r w:rsidRPr="001D6CB4">
        <w:rPr>
          <w:rFonts w:cs="Calibri"/>
          <w:lang w:val="en-US"/>
        </w:rPr>
        <w:t xml:space="preserve">re </w:t>
      </w:r>
      <w:r>
        <w:rPr>
          <w:rFonts w:cs="Calibri"/>
          <w:lang w:val="en-US"/>
        </w:rPr>
        <w:t>deployed</w:t>
      </w:r>
      <w:r w:rsidRPr="001D6CB4">
        <w:rPr>
          <w:rFonts w:cs="Calibri"/>
          <w:lang w:val="en-US"/>
        </w:rPr>
        <w:t xml:space="preserve"> </w:t>
      </w:r>
      <w:r>
        <w:rPr>
          <w:rFonts w:cs="Calibri"/>
          <w:lang w:val="en-US"/>
        </w:rPr>
        <w:t>to</w:t>
      </w:r>
      <w:r w:rsidRPr="001D6CB4">
        <w:rPr>
          <w:rFonts w:cs="Calibri"/>
          <w:lang w:val="en-US"/>
        </w:rPr>
        <w:t xml:space="preserve"> separat</w:t>
      </w:r>
      <w:r>
        <w:rPr>
          <w:rFonts w:cs="Calibri"/>
          <w:lang w:val="en-US"/>
        </w:rPr>
        <w:t xml:space="preserve">e the ‘normal’ </w:t>
      </w:r>
      <w:r w:rsidRPr="001D6CB4">
        <w:rPr>
          <w:rFonts w:cs="Calibri"/>
          <w:lang w:val="en-US"/>
        </w:rPr>
        <w:t>European bourgeois identity from indigenous, ‘abnormal’ sexuality</w:t>
      </w:r>
      <w:r>
        <w:rPr>
          <w:rFonts w:cs="Calibri"/>
          <w:lang w:val="en-US"/>
        </w:rPr>
        <w:t xml:space="preserve"> and from lower-class or ‘fictive’ Europeans who were considered insufficiently civilized. </w:t>
      </w:r>
      <w:r w:rsidRPr="001D6CB4">
        <w:rPr>
          <w:rFonts w:cs="Calibri"/>
          <w:lang w:val="en-US"/>
        </w:rPr>
        <w:t xml:space="preserve">This </w:t>
      </w:r>
      <w:r>
        <w:rPr>
          <w:rFonts w:cs="Calibri"/>
          <w:lang w:val="en-US"/>
        </w:rPr>
        <w:t>regulation of</w:t>
      </w:r>
      <w:r w:rsidRPr="001D6CB4">
        <w:rPr>
          <w:rFonts w:cs="Calibri"/>
          <w:lang w:val="en-US"/>
        </w:rPr>
        <w:t xml:space="preserve"> the private sphere is </w:t>
      </w:r>
      <w:r>
        <w:rPr>
          <w:rFonts w:cs="Calibri"/>
          <w:lang w:val="en-US"/>
        </w:rPr>
        <w:t>premised</w:t>
      </w:r>
      <w:r w:rsidRPr="001D6CB4">
        <w:rPr>
          <w:rFonts w:cs="Calibri"/>
          <w:lang w:val="en-US"/>
        </w:rPr>
        <w:t xml:space="preserve"> on the idea that it </w:t>
      </w:r>
      <w:r>
        <w:rPr>
          <w:rFonts w:cs="Calibri"/>
          <w:lang w:val="en-US"/>
        </w:rPr>
        <w:t>was</w:t>
      </w:r>
      <w:r w:rsidRPr="001D6CB4">
        <w:rPr>
          <w:rFonts w:cs="Calibri"/>
          <w:lang w:val="en-US"/>
        </w:rPr>
        <w:t xml:space="preserve"> precisely </w:t>
      </w:r>
      <w:r>
        <w:rPr>
          <w:rFonts w:cs="Calibri"/>
          <w:lang w:val="en-US"/>
        </w:rPr>
        <w:t>within the domestic</w:t>
      </w:r>
      <w:r w:rsidRPr="001D6CB4">
        <w:rPr>
          <w:rFonts w:cs="Calibri"/>
          <w:lang w:val="en-US"/>
        </w:rPr>
        <w:t xml:space="preserve"> sphere where the survival and protection of European society </w:t>
      </w:r>
      <w:r>
        <w:rPr>
          <w:rFonts w:cs="Calibri"/>
          <w:lang w:val="en-US"/>
        </w:rPr>
        <w:t>faced</w:t>
      </w:r>
      <w:r w:rsidRPr="001D6CB4">
        <w:rPr>
          <w:rFonts w:cs="Calibri"/>
          <w:lang w:val="en-US"/>
        </w:rPr>
        <w:t xml:space="preserve"> </w:t>
      </w:r>
      <w:r>
        <w:rPr>
          <w:rFonts w:cs="Calibri"/>
          <w:lang w:val="en-US"/>
        </w:rPr>
        <w:t xml:space="preserve">its threats: </w:t>
      </w:r>
      <w:r w:rsidRPr="00D85517">
        <w:rPr>
          <w:rFonts w:cs="Calibri"/>
          <w:lang w:val="en-US"/>
        </w:rPr>
        <w:t xml:space="preserve">blurring of racial and class boundaries through </w:t>
      </w:r>
      <w:r>
        <w:rPr>
          <w:rFonts w:cs="Calibri"/>
          <w:lang w:val="en-US"/>
        </w:rPr>
        <w:t>interracialized</w:t>
      </w:r>
      <w:r w:rsidRPr="00D85517">
        <w:rPr>
          <w:rFonts w:cs="Calibri"/>
          <w:lang w:val="en-US"/>
        </w:rPr>
        <w:t xml:space="preserve"> relationships, </w:t>
      </w:r>
      <w:r>
        <w:rPr>
          <w:rFonts w:cs="Calibri"/>
          <w:lang w:val="en-US"/>
        </w:rPr>
        <w:t>immoral</w:t>
      </w:r>
      <w:r w:rsidRPr="00D85517">
        <w:rPr>
          <w:rFonts w:cs="Calibri"/>
          <w:lang w:val="en-US"/>
        </w:rPr>
        <w:t xml:space="preserve"> </w:t>
      </w:r>
      <w:r w:rsidRPr="00D85517">
        <w:rPr>
          <w:rFonts w:cs="Calibri"/>
          <w:lang w:val="en-US"/>
        </w:rPr>
        <w:lastRenderedPageBreak/>
        <w:t xml:space="preserve">upbringing, and deviant </w:t>
      </w:r>
      <w:r>
        <w:rPr>
          <w:rFonts w:cs="Calibri"/>
          <w:lang w:val="en-US"/>
        </w:rPr>
        <w:t xml:space="preserve">domestic </w:t>
      </w:r>
      <w:r w:rsidRPr="00D85517">
        <w:rPr>
          <w:rFonts w:cs="Calibri"/>
          <w:lang w:val="en-US"/>
        </w:rPr>
        <w:t>habits</w:t>
      </w:r>
      <w:r w:rsidRPr="001D6CB4">
        <w:rPr>
          <w:rFonts w:cs="Calibri"/>
          <w:lang w:val="en-US"/>
        </w:rPr>
        <w:t xml:space="preserve">. Everything that takes place in the domestic sphere, both inside and outside the parents’ bedroom, </w:t>
      </w:r>
      <w:r>
        <w:rPr>
          <w:rFonts w:cs="Calibri"/>
          <w:lang w:val="en-US"/>
        </w:rPr>
        <w:t>was</w:t>
      </w:r>
      <w:r w:rsidRPr="001D6CB4">
        <w:rPr>
          <w:rFonts w:cs="Calibri"/>
          <w:lang w:val="en-US"/>
        </w:rPr>
        <w:t xml:space="preserve"> relevant to the creation</w:t>
      </w:r>
      <w:r>
        <w:rPr>
          <w:rFonts w:cs="Calibri"/>
          <w:lang w:val="en-US"/>
        </w:rPr>
        <w:t xml:space="preserve"> and preservation</w:t>
      </w:r>
      <w:r w:rsidRPr="001D6CB4">
        <w:rPr>
          <w:rFonts w:cs="Calibri"/>
          <w:lang w:val="en-US"/>
        </w:rPr>
        <w:t xml:space="preserve"> of a </w:t>
      </w:r>
      <w:r>
        <w:rPr>
          <w:rFonts w:cs="Calibri"/>
          <w:lang w:val="en-US"/>
        </w:rPr>
        <w:t xml:space="preserve">true, </w:t>
      </w:r>
      <w:r w:rsidRPr="001D6CB4">
        <w:rPr>
          <w:rFonts w:cs="Calibri"/>
          <w:lang w:val="en-US"/>
        </w:rPr>
        <w:t xml:space="preserve">bourgeois </w:t>
      </w:r>
      <w:r>
        <w:rPr>
          <w:rFonts w:cs="Calibri"/>
          <w:lang w:val="en-US"/>
        </w:rPr>
        <w:t xml:space="preserve">European </w:t>
      </w:r>
      <w:r w:rsidRPr="001D6CB4">
        <w:rPr>
          <w:rFonts w:cs="Calibri"/>
          <w:lang w:val="en-US"/>
        </w:rPr>
        <w:t xml:space="preserve">identity, and </w:t>
      </w:r>
      <w:r>
        <w:rPr>
          <w:rFonts w:cs="Calibri"/>
          <w:lang w:val="en-US"/>
        </w:rPr>
        <w:t>for</w:t>
      </w:r>
      <w:r w:rsidRPr="001D6CB4">
        <w:rPr>
          <w:rFonts w:cs="Calibri"/>
          <w:lang w:val="en-US"/>
        </w:rPr>
        <w:t xml:space="preserve"> distinguishing</w:t>
      </w:r>
      <w:r>
        <w:rPr>
          <w:rFonts w:cs="Calibri"/>
          <w:lang w:val="en-US"/>
        </w:rPr>
        <w:t xml:space="preserve"> </w:t>
      </w:r>
      <w:r w:rsidRPr="001D6CB4">
        <w:rPr>
          <w:rFonts w:cs="Calibri"/>
          <w:lang w:val="en-US"/>
        </w:rPr>
        <w:t>the pure</w:t>
      </w:r>
      <w:r>
        <w:rPr>
          <w:rFonts w:cs="Calibri"/>
          <w:lang w:val="en-US"/>
        </w:rPr>
        <w:t xml:space="preserve"> </w:t>
      </w:r>
      <w:r w:rsidRPr="001D6CB4">
        <w:rPr>
          <w:rFonts w:cs="Calibri"/>
          <w:lang w:val="en-US"/>
        </w:rPr>
        <w:t>European identity from</w:t>
      </w:r>
      <w:r>
        <w:rPr>
          <w:rFonts w:cs="Calibri"/>
          <w:lang w:val="en-US"/>
        </w:rPr>
        <w:t xml:space="preserve"> Indonesians</w:t>
      </w:r>
      <w:r w:rsidRPr="001D6CB4">
        <w:rPr>
          <w:rFonts w:cs="Calibri"/>
          <w:lang w:val="en-US"/>
        </w:rPr>
        <w:t xml:space="preserve"> or lower-class/</w:t>
      </w:r>
      <w:r>
        <w:rPr>
          <w:rFonts w:cs="Calibri"/>
          <w:lang w:val="en-US"/>
        </w:rPr>
        <w:t xml:space="preserve">fictive </w:t>
      </w:r>
      <w:r w:rsidRPr="001D6CB4">
        <w:rPr>
          <w:rFonts w:cs="Calibri"/>
          <w:lang w:val="en-US"/>
        </w:rPr>
        <w:t xml:space="preserve">Europeans. </w:t>
      </w:r>
    </w:p>
    <w:p w14:paraId="5980F82F" w14:textId="77777777" w:rsidR="009847E8" w:rsidRDefault="009847E8" w:rsidP="002D6DB8">
      <w:pPr>
        <w:pStyle w:val="Maxhoofdtekst"/>
        <w:spacing w:line="276" w:lineRule="auto"/>
        <w:ind w:firstLine="284"/>
        <w:rPr>
          <w:rFonts w:cs="Calibri"/>
          <w:lang w:val="en-US"/>
        </w:rPr>
      </w:pPr>
      <w:r>
        <w:rPr>
          <w:rFonts w:cs="Calibri"/>
          <w:lang w:val="en-US"/>
        </w:rPr>
        <w:t xml:space="preserve">Still, Stoler rightfully emphasizes that one of the most significant omissions in Foucault’s genealogy of sexuality is its ‘non-gendered quality’: indeed, discourses of sexuality in </w:t>
      </w:r>
      <w:r w:rsidRPr="001D6CB4">
        <w:rPr>
          <w:rFonts w:cs="Calibri"/>
          <w:lang w:val="en-US"/>
        </w:rPr>
        <w:t>the Dutch East Indies were fundamentally structured in gendered terms.</w:t>
      </w:r>
      <w:r>
        <w:rPr>
          <w:rStyle w:val="FootnoteReference"/>
          <w:rFonts w:cs="Calibri"/>
          <w:lang w:val="en-US"/>
        </w:rPr>
        <w:footnoteReference w:id="62"/>
      </w:r>
      <w:r w:rsidRPr="001D6CB4">
        <w:rPr>
          <w:rFonts w:cs="Calibri"/>
          <w:lang w:val="en-US"/>
        </w:rPr>
        <w:t xml:space="preserve"> </w:t>
      </w:r>
      <w:r>
        <w:rPr>
          <w:rFonts w:cs="Calibri"/>
          <w:lang w:val="en-US"/>
        </w:rPr>
        <w:t xml:space="preserve">For one, the gendered dimension to sexuality is apparent in the </w:t>
      </w:r>
      <w:r w:rsidRPr="00441D0C">
        <w:rPr>
          <w:rFonts w:cs="Calibri"/>
          <w:i/>
          <w:iCs/>
          <w:lang w:val="en-US"/>
        </w:rPr>
        <w:t>scientia sexualis</w:t>
      </w:r>
      <w:r>
        <w:rPr>
          <w:rFonts w:cs="Calibri"/>
          <w:lang w:val="en-US"/>
        </w:rPr>
        <w:t xml:space="preserve"> </w:t>
      </w:r>
      <w:r>
        <w:rPr>
          <w:lang w:val="en-US"/>
        </w:rPr>
        <w:t>of Indonesian</w:t>
      </w:r>
      <w:r w:rsidRPr="001D6CB4">
        <w:rPr>
          <w:lang w:val="en-US"/>
        </w:rPr>
        <w:t xml:space="preserve"> women’s bodies. A harrowing example is the racial taxonomy in the ‘gynecological study’ of women in Java in 1897 by Dr. C.H. Stratz.</w:t>
      </w:r>
      <w:r w:rsidRPr="001D6CB4">
        <w:rPr>
          <w:rStyle w:val="FootnoteReference"/>
          <w:lang w:val="en-US"/>
        </w:rPr>
        <w:footnoteReference w:id="63"/>
      </w:r>
      <w:r w:rsidRPr="001D6CB4">
        <w:rPr>
          <w:lang w:val="en-US"/>
        </w:rPr>
        <w:t xml:space="preserve"> The female Javanese body, the clitoris, and other parts of the Javanese body are described in detail and in a pornographic manner.</w:t>
      </w:r>
      <w:r>
        <w:rPr>
          <w:rStyle w:val="FootnoteReference"/>
          <w:lang w:val="en-US"/>
        </w:rPr>
        <w:footnoteReference w:id="64"/>
      </w:r>
      <w:r>
        <w:rPr>
          <w:lang w:val="en-US"/>
        </w:rPr>
        <w:t xml:space="preserve"> I</w:t>
      </w:r>
      <w:r w:rsidRPr="001D6CB4">
        <w:rPr>
          <w:lang w:val="en-US"/>
        </w:rPr>
        <w:t xml:space="preserve">n this example of European </w:t>
      </w:r>
      <w:r w:rsidRPr="00E30012">
        <w:rPr>
          <w:i/>
          <w:iCs/>
          <w:lang w:val="en-US"/>
        </w:rPr>
        <w:t>scientia sexualis</w:t>
      </w:r>
      <w:r w:rsidRPr="001D6CB4">
        <w:rPr>
          <w:lang w:val="en-US"/>
        </w:rPr>
        <w:t xml:space="preserve"> in the colonial context, it becomes clear how Javanese women, under the guise of ‘pursuing science’ and </w:t>
      </w:r>
      <w:r>
        <w:rPr>
          <w:lang w:val="en-US"/>
        </w:rPr>
        <w:t>revealing</w:t>
      </w:r>
      <w:r w:rsidRPr="001D6CB4">
        <w:rPr>
          <w:lang w:val="en-US"/>
        </w:rPr>
        <w:t xml:space="preserve"> the </w:t>
      </w:r>
      <w:r>
        <w:rPr>
          <w:lang w:val="en-US"/>
        </w:rPr>
        <w:t>‘</w:t>
      </w:r>
      <w:r w:rsidRPr="001D6CB4">
        <w:rPr>
          <w:lang w:val="en-US"/>
        </w:rPr>
        <w:t>truth</w:t>
      </w:r>
      <w:r>
        <w:rPr>
          <w:lang w:val="en-US"/>
        </w:rPr>
        <w:t>’</w:t>
      </w:r>
      <w:r w:rsidRPr="001D6CB4">
        <w:rPr>
          <w:lang w:val="en-US"/>
        </w:rPr>
        <w:t xml:space="preserve">, are subjected to the European </w:t>
      </w:r>
      <w:r>
        <w:rPr>
          <w:lang w:val="en-US"/>
        </w:rPr>
        <w:t xml:space="preserve">male </w:t>
      </w:r>
      <w:r w:rsidRPr="001D6CB4">
        <w:rPr>
          <w:lang w:val="en-US"/>
        </w:rPr>
        <w:t>gaze and viewed as sexual, racialized objects.</w:t>
      </w:r>
      <w:r>
        <w:rPr>
          <w:lang w:val="en-US"/>
        </w:rPr>
        <w:t xml:space="preserve"> </w:t>
      </w:r>
      <w:r>
        <w:rPr>
          <w:rFonts w:cs="Calibri"/>
          <w:lang w:val="en-US"/>
        </w:rPr>
        <w:t>W</w:t>
      </w:r>
      <w:r w:rsidRPr="001D6CB4">
        <w:rPr>
          <w:rFonts w:cs="Calibri"/>
          <w:lang w:val="en-US"/>
        </w:rPr>
        <w:t>ithin this science,</w:t>
      </w:r>
      <w:r>
        <w:rPr>
          <w:rFonts w:cs="Calibri"/>
          <w:lang w:val="en-US"/>
        </w:rPr>
        <w:t xml:space="preserve"> as Foucault described it,</w:t>
      </w:r>
      <w:r w:rsidRPr="001D6CB4">
        <w:rPr>
          <w:rFonts w:cs="Calibri"/>
          <w:lang w:val="en-US"/>
        </w:rPr>
        <w:t xml:space="preserve"> </w:t>
      </w:r>
      <w:r w:rsidRPr="009458E2">
        <w:rPr>
          <w:rFonts w:cs="Calibri"/>
          <w:lang w:val="en-US"/>
        </w:rPr>
        <w:t>sex</w:t>
      </w:r>
      <w:r>
        <w:rPr>
          <w:rFonts w:cs="Calibri"/>
          <w:lang w:val="en-US"/>
        </w:rPr>
        <w:t>uality</w:t>
      </w:r>
      <w:r w:rsidRPr="001D6CB4">
        <w:rPr>
          <w:rFonts w:cs="Calibri"/>
          <w:lang w:val="en-US"/>
        </w:rPr>
        <w:t xml:space="preserve"> </w:t>
      </w:r>
      <w:r>
        <w:rPr>
          <w:rFonts w:cs="Calibri"/>
          <w:lang w:val="en-US"/>
        </w:rPr>
        <w:t xml:space="preserve">supposedly </w:t>
      </w:r>
      <w:r w:rsidRPr="001D6CB4">
        <w:rPr>
          <w:rFonts w:cs="Calibri"/>
          <w:lang w:val="en-US"/>
        </w:rPr>
        <w:t xml:space="preserve">becomes more than something that is taboo or prohibited, or something of pleasure – it is </w:t>
      </w:r>
      <w:r w:rsidRPr="009458E2">
        <w:rPr>
          <w:rFonts w:cs="Calibri"/>
          <w:lang w:val="en-US"/>
        </w:rPr>
        <w:t xml:space="preserve">a problem of </w:t>
      </w:r>
      <w:r w:rsidRPr="00E30012">
        <w:rPr>
          <w:rFonts w:cs="Calibri"/>
          <w:i/>
          <w:iCs/>
          <w:lang w:val="en-US"/>
        </w:rPr>
        <w:t>truth</w:t>
      </w:r>
      <w:r w:rsidRPr="001D6CB4">
        <w:rPr>
          <w:rFonts w:cs="Calibri"/>
          <w:lang w:val="en-US"/>
        </w:rPr>
        <w:t>.</w:t>
      </w:r>
      <w:r w:rsidRPr="001D6CB4">
        <w:rPr>
          <w:rStyle w:val="FootnoteReference"/>
          <w:rFonts w:cs="Calibri"/>
          <w:lang w:val="en-US"/>
        </w:rPr>
        <w:footnoteReference w:id="65"/>
      </w:r>
      <w:r w:rsidRPr="001D6CB4">
        <w:rPr>
          <w:rFonts w:cs="Calibri"/>
          <w:lang w:val="en-US"/>
        </w:rPr>
        <w:t xml:space="preserve"> </w:t>
      </w:r>
      <w:r>
        <w:rPr>
          <w:rFonts w:cs="Calibri"/>
          <w:lang w:val="en-US"/>
        </w:rPr>
        <w:t xml:space="preserve">In the colony, however, the </w:t>
      </w:r>
      <w:r w:rsidRPr="00441D0C">
        <w:rPr>
          <w:rFonts w:cs="Calibri"/>
          <w:i/>
          <w:iCs/>
          <w:lang w:val="en-US"/>
        </w:rPr>
        <w:t>scientia sexualis</w:t>
      </w:r>
      <w:r>
        <w:rPr>
          <w:rFonts w:cs="Calibri"/>
          <w:lang w:val="en-US"/>
        </w:rPr>
        <w:t xml:space="preserve"> describes Indonesian bodies more with a ‘phantasmic litany of sexual specifications and excesses that distinguished these Others from European bourgeois selves’.</w:t>
      </w:r>
      <w:r>
        <w:rPr>
          <w:rStyle w:val="FootnoteReference"/>
          <w:rFonts w:cs="Calibri"/>
          <w:lang w:val="en-US"/>
        </w:rPr>
        <w:footnoteReference w:id="66"/>
      </w:r>
      <w:r>
        <w:rPr>
          <w:rFonts w:cs="Calibri"/>
          <w:lang w:val="en-US"/>
        </w:rPr>
        <w:t xml:space="preserve"> This demonstrates that w</w:t>
      </w:r>
      <w:r w:rsidRPr="001D6CB4">
        <w:rPr>
          <w:rFonts w:cs="Calibri"/>
          <w:lang w:val="en-US"/>
        </w:rPr>
        <w:t>omen’s sexuality was both an instrument and a target of power</w:t>
      </w:r>
      <w:r>
        <w:rPr>
          <w:rFonts w:cs="Calibri"/>
          <w:lang w:val="en-US"/>
        </w:rPr>
        <w:t xml:space="preserve">. Moreover, the imperial and gendered dimensions to biopower and sexuality, as neglected by Foucault, is also present in discourses on Indonesian women and their childrearing abilities as single mothers, which I will discuss extensively in the third chapter. </w:t>
      </w:r>
    </w:p>
    <w:p w14:paraId="43BE0F45" w14:textId="77777777" w:rsidR="009847E8" w:rsidRDefault="009847E8">
      <w:pPr>
        <w:pStyle w:val="Maxhoofdtekst"/>
        <w:numPr>
          <w:ilvl w:val="1"/>
          <w:numId w:val="5"/>
        </w:numPr>
        <w:spacing w:line="276" w:lineRule="auto"/>
        <w:outlineLvl w:val="1"/>
        <w:rPr>
          <w:rFonts w:cs="Calibri"/>
          <w:b/>
          <w:bCs/>
          <w:lang w:val="en-US"/>
        </w:rPr>
      </w:pPr>
      <w:bookmarkStart w:id="11" w:name="_Toc234183602"/>
      <w:r>
        <w:rPr>
          <w:rFonts w:cs="Calibri"/>
          <w:b/>
          <w:bCs/>
          <w:lang w:val="en-US"/>
        </w:rPr>
        <w:t>Biological racism</w:t>
      </w:r>
      <w:r w:rsidRPr="00991A71">
        <w:rPr>
          <w:rFonts w:cs="Calibri"/>
          <w:b/>
          <w:bCs/>
          <w:lang w:val="en-US"/>
        </w:rPr>
        <w:t xml:space="preserve"> and the internal enemy</w:t>
      </w:r>
      <w:bookmarkEnd w:id="11"/>
      <w:r w:rsidRPr="00991A71">
        <w:rPr>
          <w:rFonts w:cs="Calibri"/>
          <w:b/>
          <w:bCs/>
          <w:lang w:val="en-US"/>
        </w:rPr>
        <w:t xml:space="preserve"> </w:t>
      </w:r>
    </w:p>
    <w:p w14:paraId="6D5CAEFE" w14:textId="77777777" w:rsidR="009847E8" w:rsidRPr="003117FF" w:rsidRDefault="009847E8">
      <w:pPr>
        <w:pStyle w:val="Maxhoofdtekst"/>
        <w:numPr>
          <w:ilvl w:val="2"/>
          <w:numId w:val="5"/>
        </w:numPr>
        <w:spacing w:line="276" w:lineRule="auto"/>
        <w:outlineLvl w:val="2"/>
        <w:rPr>
          <w:rFonts w:cs="Calibri"/>
          <w:b/>
          <w:bCs/>
          <w:lang w:val="en-US"/>
        </w:rPr>
      </w:pPr>
      <w:bookmarkStart w:id="12" w:name="_Toc234183603"/>
      <w:r>
        <w:rPr>
          <w:rFonts w:cs="Calibri"/>
          <w:lang w:val="en-US"/>
        </w:rPr>
        <w:t>The birth of racism</w:t>
      </w:r>
      <w:bookmarkEnd w:id="12"/>
      <w:r>
        <w:rPr>
          <w:rFonts w:cs="Calibri"/>
          <w:lang w:val="en-US"/>
        </w:rPr>
        <w:t xml:space="preserve"> </w:t>
      </w:r>
    </w:p>
    <w:p w14:paraId="17B239D1" w14:textId="77777777" w:rsidR="009847E8" w:rsidRDefault="009847E8" w:rsidP="002D6DB8">
      <w:pPr>
        <w:pStyle w:val="Maxhoofdtekst"/>
        <w:spacing w:line="276" w:lineRule="auto"/>
        <w:ind w:firstLine="284"/>
        <w:rPr>
          <w:rFonts w:cs="Calibri"/>
          <w:lang w:val="en-US"/>
        </w:rPr>
      </w:pPr>
      <w:r>
        <w:rPr>
          <w:rFonts w:cs="Calibri"/>
          <w:lang w:val="en-US"/>
        </w:rPr>
        <w:t xml:space="preserve">The discourses of sexuality and racial discourses are closely interconnected: </w:t>
      </w:r>
      <w:r w:rsidRPr="00270D21">
        <w:rPr>
          <w:rFonts w:cs="Calibri"/>
          <w:lang w:val="en-US"/>
        </w:rPr>
        <w:t>sexuality is both a product and a target of biopolitics, racism is a consequence of it.</w:t>
      </w:r>
      <w:r w:rsidRPr="001D6CB4">
        <w:rPr>
          <w:rFonts w:cs="Calibri"/>
          <w:lang w:val="en-US"/>
        </w:rPr>
        <w:t xml:space="preserve"> The relationship between biopolitics and race</w:t>
      </w:r>
      <w:r>
        <w:rPr>
          <w:rFonts w:cs="Calibri"/>
          <w:lang w:val="en-US"/>
        </w:rPr>
        <w:t>, which I briefly touched upon in section 2.1.2,</w:t>
      </w:r>
      <w:r w:rsidRPr="001D6CB4">
        <w:rPr>
          <w:rFonts w:cs="Calibri"/>
          <w:lang w:val="en-US"/>
        </w:rPr>
        <w:t xml:space="preserve"> is further elaborated in </w:t>
      </w:r>
      <w:r w:rsidRPr="006B3033">
        <w:rPr>
          <w:rFonts w:cs="Calibri"/>
          <w:lang w:val="en-US"/>
        </w:rPr>
        <w:t>Foucault’s lectures</w:t>
      </w:r>
      <w:r w:rsidRPr="001D6CB4">
        <w:rPr>
          <w:rFonts w:cs="Calibri"/>
          <w:lang w:val="en-US"/>
        </w:rPr>
        <w:t xml:space="preserve"> in 1975-76 at the </w:t>
      </w:r>
      <w:r w:rsidRPr="001D6CB4">
        <w:rPr>
          <w:rFonts w:cs="Calibri"/>
          <w:i/>
          <w:iCs/>
          <w:lang w:val="en-US"/>
        </w:rPr>
        <w:t>Collège de France</w:t>
      </w:r>
      <w:r w:rsidRPr="001D6CB4">
        <w:rPr>
          <w:rFonts w:cs="Calibri"/>
          <w:lang w:val="en-US"/>
        </w:rPr>
        <w:t xml:space="preserve">, later published under the title </w:t>
      </w:r>
      <w:r w:rsidRPr="001D6CB4">
        <w:rPr>
          <w:rFonts w:cs="Calibri"/>
          <w:i/>
          <w:iCs/>
          <w:lang w:val="en-US"/>
        </w:rPr>
        <w:t>Il faut défendre la société</w:t>
      </w:r>
      <w:r w:rsidRPr="001D6CB4">
        <w:rPr>
          <w:rFonts w:cs="Calibri"/>
          <w:lang w:val="en-US"/>
        </w:rPr>
        <w:t xml:space="preserve"> (Society Must Be Defended)</w:t>
      </w:r>
      <w:r>
        <w:rPr>
          <w:rFonts w:cs="Calibri"/>
          <w:lang w:val="en-US"/>
        </w:rPr>
        <w:t>, which I will discuss in the following sections</w:t>
      </w:r>
      <w:r w:rsidRPr="001D6CB4">
        <w:rPr>
          <w:rFonts w:cs="Calibri"/>
          <w:lang w:val="en-US"/>
        </w:rPr>
        <w:t>.</w:t>
      </w:r>
      <w:r w:rsidRPr="001D6CB4">
        <w:rPr>
          <w:rStyle w:val="FootnoteReference"/>
          <w:rFonts w:cs="Calibri"/>
          <w:lang w:val="en-US"/>
        </w:rPr>
        <w:footnoteReference w:id="67"/>
      </w:r>
      <w:r w:rsidRPr="001D6CB4">
        <w:rPr>
          <w:rFonts w:cs="Calibri"/>
          <w:lang w:val="en-US"/>
        </w:rPr>
        <w:t xml:space="preserve"> </w:t>
      </w:r>
    </w:p>
    <w:p w14:paraId="2B60BE00" w14:textId="77777777" w:rsidR="009847E8" w:rsidRDefault="009847E8" w:rsidP="002D6DB8">
      <w:pPr>
        <w:pStyle w:val="Maxhoofdtekst"/>
        <w:spacing w:line="276" w:lineRule="auto"/>
        <w:ind w:firstLine="284"/>
        <w:rPr>
          <w:rFonts w:cs="Calibri"/>
          <w:lang w:val="en-US"/>
        </w:rPr>
      </w:pPr>
      <w:r w:rsidRPr="001D6CB4">
        <w:rPr>
          <w:rFonts w:cs="Calibri"/>
          <w:lang w:val="en-US"/>
        </w:rPr>
        <w:t xml:space="preserve">In his first lecture, Foucault builds upon his notion of power as formulated in </w:t>
      </w:r>
      <w:r w:rsidRPr="00CB1D10">
        <w:rPr>
          <w:rFonts w:cs="Calibri"/>
          <w:i/>
          <w:iCs/>
          <w:lang w:val="en-US"/>
        </w:rPr>
        <w:t>The Will to Knowledge</w:t>
      </w:r>
      <w:r w:rsidRPr="001D6CB4">
        <w:rPr>
          <w:rFonts w:cs="Calibri"/>
          <w:lang w:val="en-US"/>
        </w:rPr>
        <w:t>, where he rejected a conception of power which is purely repressive</w:t>
      </w:r>
      <w:r>
        <w:rPr>
          <w:rFonts w:cs="Calibri"/>
          <w:lang w:val="en-US"/>
        </w:rPr>
        <w:t xml:space="preserve"> and puts forth a productive conception of power. He reiterates </w:t>
      </w:r>
      <w:r w:rsidRPr="001D6CB4">
        <w:rPr>
          <w:rFonts w:cs="Calibri"/>
          <w:lang w:val="en-US"/>
        </w:rPr>
        <w:t xml:space="preserve">the transition from regulatory power to </w:t>
      </w:r>
      <w:r>
        <w:rPr>
          <w:rFonts w:cs="Calibri"/>
          <w:lang w:val="en-US"/>
        </w:rPr>
        <w:t>normalizing</w:t>
      </w:r>
      <w:r w:rsidRPr="001D6CB4">
        <w:rPr>
          <w:rFonts w:cs="Calibri"/>
          <w:lang w:val="en-US"/>
        </w:rPr>
        <w:t xml:space="preserve"> power in the </w:t>
      </w:r>
      <w:r>
        <w:rPr>
          <w:rFonts w:cs="Calibri"/>
          <w:lang w:val="en-US"/>
        </w:rPr>
        <w:t>modern</w:t>
      </w:r>
      <w:r w:rsidRPr="001D6CB4">
        <w:rPr>
          <w:rFonts w:cs="Calibri"/>
          <w:lang w:val="en-US"/>
        </w:rPr>
        <w:t xml:space="preserve"> biopolitical state</w:t>
      </w:r>
      <w:r>
        <w:rPr>
          <w:rFonts w:cs="Calibri"/>
          <w:lang w:val="en-US"/>
        </w:rPr>
        <w:t>:</w:t>
      </w:r>
      <w:r w:rsidRPr="001D6CB4">
        <w:rPr>
          <w:rFonts w:cs="Calibri"/>
          <w:lang w:val="en-US"/>
        </w:rPr>
        <w:t xml:space="preserve"> </w:t>
      </w:r>
      <w:r>
        <w:rPr>
          <w:rFonts w:cs="Calibri"/>
          <w:lang w:val="en-US"/>
        </w:rPr>
        <w:t>t</w:t>
      </w:r>
      <w:r w:rsidRPr="001D6CB4">
        <w:rPr>
          <w:rFonts w:cs="Calibri"/>
          <w:lang w:val="en-US"/>
        </w:rPr>
        <w:t xml:space="preserve">his disciplinary power does not completely replace regulatory power (or ‘juridico-discursive’ power), but it introduces new mechanisms of power through which subjects are </w:t>
      </w:r>
      <w:r w:rsidRPr="001D6CB4">
        <w:rPr>
          <w:rFonts w:cs="Calibri"/>
          <w:lang w:val="en-US"/>
        </w:rPr>
        <w:lastRenderedPageBreak/>
        <w:t>monitored and disciplined.</w:t>
      </w:r>
      <w:r w:rsidRPr="001D6CB4">
        <w:rPr>
          <w:rStyle w:val="FootnoteReference"/>
          <w:rFonts w:cs="Calibri"/>
          <w:lang w:val="en-US"/>
        </w:rPr>
        <w:footnoteReference w:id="68"/>
      </w:r>
      <w:r w:rsidRPr="001D6CB4">
        <w:rPr>
          <w:rFonts w:cs="Calibri"/>
          <w:lang w:val="en-US"/>
        </w:rPr>
        <w:t xml:space="preserve"> These two types of discourse – exercised through the organization of right around sovereignty and the other, the coercive mechanisms exercised by </w:t>
      </w:r>
      <w:r>
        <w:rPr>
          <w:rFonts w:cs="Calibri"/>
          <w:lang w:val="en-US"/>
        </w:rPr>
        <w:t>normalizing interventions</w:t>
      </w:r>
      <w:r w:rsidRPr="001D6CB4">
        <w:rPr>
          <w:rFonts w:cs="Calibri"/>
          <w:lang w:val="en-US"/>
        </w:rPr>
        <w:t xml:space="preserve"> – together exercise power and invade each</w:t>
      </w:r>
      <w:r>
        <w:rPr>
          <w:rFonts w:cs="Calibri"/>
          <w:lang w:val="en-US"/>
        </w:rPr>
        <w:t xml:space="preserve"> </w:t>
      </w:r>
      <w:r w:rsidRPr="001D6CB4">
        <w:rPr>
          <w:rFonts w:cs="Calibri"/>
          <w:lang w:val="en-US"/>
        </w:rPr>
        <w:t>other: ‘that the techniques of discipline and discourses born of discipline are invading right, and that normalizing procedures are increasingly colonizing the procedures of the law, that might explain the overall workings of what I would call a ‘normalizing society’.</w:t>
      </w:r>
      <w:r w:rsidRPr="001D6CB4">
        <w:rPr>
          <w:rStyle w:val="FootnoteReference"/>
          <w:rFonts w:cs="Calibri"/>
          <w:lang w:val="en-US"/>
        </w:rPr>
        <w:footnoteReference w:id="69"/>
      </w:r>
      <w:r w:rsidRPr="001D6CB4">
        <w:rPr>
          <w:rFonts w:cs="Calibri"/>
          <w:lang w:val="en-US"/>
        </w:rPr>
        <w:t xml:space="preserve"> The two heterogen</w:t>
      </w:r>
      <w:r>
        <w:rPr>
          <w:rFonts w:cs="Calibri"/>
          <w:lang w:val="en-US"/>
        </w:rPr>
        <w:t>e</w:t>
      </w:r>
      <w:r w:rsidRPr="001D6CB4">
        <w:rPr>
          <w:rFonts w:cs="Calibri"/>
          <w:lang w:val="en-US"/>
        </w:rPr>
        <w:t>ous forms of power – discipline and legislation – together form ‘the general mechanisms of power in our society’.</w:t>
      </w:r>
      <w:r w:rsidRPr="001D6CB4">
        <w:rPr>
          <w:rStyle w:val="FootnoteReference"/>
          <w:rFonts w:cs="Calibri"/>
          <w:lang w:val="en-US"/>
        </w:rPr>
        <w:footnoteReference w:id="70"/>
      </w:r>
      <w:r w:rsidRPr="001D6CB4">
        <w:rPr>
          <w:rFonts w:cs="Calibri"/>
          <w:lang w:val="en-US"/>
        </w:rPr>
        <w:t xml:space="preserve"> </w:t>
      </w:r>
    </w:p>
    <w:p w14:paraId="3965CCE2" w14:textId="77777777" w:rsidR="009847E8" w:rsidRPr="001D6CB4" w:rsidRDefault="009847E8" w:rsidP="002D6DB8">
      <w:pPr>
        <w:pStyle w:val="Maxhoofdtekst"/>
        <w:spacing w:line="276" w:lineRule="auto"/>
        <w:ind w:firstLine="284"/>
        <w:rPr>
          <w:rFonts w:cs="Calibri"/>
          <w:lang w:val="en-US"/>
        </w:rPr>
      </w:pPr>
      <w:r>
        <w:rPr>
          <w:rFonts w:cs="Calibri"/>
          <w:lang w:val="en-US"/>
        </w:rPr>
        <w:t>Foucault argues that a juridical</w:t>
      </w:r>
      <w:r w:rsidRPr="0001459B">
        <w:rPr>
          <w:rFonts w:cs="Calibri"/>
          <w:lang w:val="en-US"/>
        </w:rPr>
        <w:t xml:space="preserve"> </w:t>
      </w:r>
      <w:r>
        <w:rPr>
          <w:rFonts w:cs="Calibri"/>
          <w:lang w:val="en-US"/>
        </w:rPr>
        <w:t>model</w:t>
      </w:r>
      <w:r w:rsidRPr="0001459B">
        <w:rPr>
          <w:rFonts w:cs="Calibri"/>
          <w:lang w:val="en-US"/>
        </w:rPr>
        <w:t xml:space="preserve"> of power is inadequate </w:t>
      </w:r>
      <w:r>
        <w:rPr>
          <w:rFonts w:cs="Calibri"/>
          <w:lang w:val="en-US"/>
        </w:rPr>
        <w:t>for</w:t>
      </w:r>
      <w:r w:rsidRPr="0001459B">
        <w:rPr>
          <w:rFonts w:cs="Calibri"/>
          <w:lang w:val="en-US"/>
        </w:rPr>
        <w:t xml:space="preserve"> analyzing modern power relations, mainly because </w:t>
      </w:r>
      <w:r>
        <w:rPr>
          <w:rFonts w:cs="Calibri"/>
          <w:lang w:val="en-US"/>
        </w:rPr>
        <w:t>it</w:t>
      </w:r>
      <w:r w:rsidRPr="0001459B">
        <w:rPr>
          <w:rFonts w:cs="Calibri"/>
          <w:lang w:val="en-US"/>
        </w:rPr>
        <w:t xml:space="preserve"> focus</w:t>
      </w:r>
      <w:r>
        <w:rPr>
          <w:rFonts w:cs="Calibri"/>
          <w:lang w:val="en-US"/>
        </w:rPr>
        <w:t>es</w:t>
      </w:r>
      <w:r w:rsidRPr="0001459B">
        <w:rPr>
          <w:rFonts w:cs="Calibri"/>
          <w:lang w:val="en-US"/>
        </w:rPr>
        <w:t xml:space="preserve"> on</w:t>
      </w:r>
      <w:r>
        <w:rPr>
          <w:rFonts w:cs="Calibri"/>
          <w:lang w:val="en-US"/>
        </w:rPr>
        <w:t xml:space="preserve"> a system of</w:t>
      </w:r>
      <w:r w:rsidRPr="0001459B">
        <w:rPr>
          <w:rFonts w:cs="Calibri"/>
          <w:lang w:val="en-US"/>
        </w:rPr>
        <w:t xml:space="preserve"> </w:t>
      </w:r>
      <w:r>
        <w:rPr>
          <w:rFonts w:cs="Calibri"/>
          <w:lang w:val="en-US"/>
        </w:rPr>
        <w:t xml:space="preserve">law-as-sovereign and </w:t>
      </w:r>
      <w:r w:rsidRPr="0001459B">
        <w:rPr>
          <w:rFonts w:cs="Calibri"/>
          <w:lang w:val="en-US"/>
        </w:rPr>
        <w:t>assume</w:t>
      </w:r>
      <w:r>
        <w:rPr>
          <w:rFonts w:cs="Calibri"/>
          <w:lang w:val="en-US"/>
        </w:rPr>
        <w:t>s</w:t>
      </w:r>
      <w:r w:rsidRPr="0001459B">
        <w:rPr>
          <w:rFonts w:cs="Calibri"/>
          <w:lang w:val="en-US"/>
        </w:rPr>
        <w:t xml:space="preserve"> a repressive</w:t>
      </w:r>
      <w:r>
        <w:rPr>
          <w:rFonts w:cs="Calibri"/>
          <w:lang w:val="en-US"/>
        </w:rPr>
        <w:t xml:space="preserve"> </w:t>
      </w:r>
      <w:r w:rsidRPr="0001459B">
        <w:rPr>
          <w:rFonts w:cs="Calibri"/>
          <w:lang w:val="en-US"/>
        </w:rPr>
        <w:t xml:space="preserve">form of power that only originates from </w:t>
      </w:r>
      <w:r w:rsidRPr="0001459B">
        <w:rPr>
          <w:rFonts w:cs="Calibri"/>
          <w:i/>
          <w:iCs/>
          <w:lang w:val="en-US"/>
        </w:rPr>
        <w:t>one</w:t>
      </w:r>
      <w:r w:rsidRPr="0001459B">
        <w:rPr>
          <w:rFonts w:cs="Calibri"/>
          <w:lang w:val="en-US"/>
        </w:rPr>
        <w:t xml:space="preserve"> source</w:t>
      </w:r>
      <w:r>
        <w:rPr>
          <w:rFonts w:cs="Calibri"/>
          <w:lang w:val="en-US"/>
        </w:rPr>
        <w:t xml:space="preserve"> </w:t>
      </w:r>
      <w:r w:rsidRPr="001D6CB4">
        <w:rPr>
          <w:rFonts w:cs="Calibri"/>
          <w:lang w:val="en-US"/>
        </w:rPr>
        <w:t>–</w:t>
      </w:r>
      <w:r>
        <w:rPr>
          <w:rFonts w:cs="Calibri"/>
          <w:lang w:val="en-US"/>
        </w:rPr>
        <w:t xml:space="preserve"> the law</w:t>
      </w:r>
      <w:r w:rsidRPr="0001459B">
        <w:rPr>
          <w:rFonts w:cs="Calibri"/>
          <w:lang w:val="en-US"/>
        </w:rPr>
        <w:t>.</w:t>
      </w:r>
      <w:r>
        <w:rPr>
          <w:rStyle w:val="FootnoteReference"/>
          <w:rFonts w:cs="Calibri"/>
          <w:lang w:val="en-US"/>
        </w:rPr>
        <w:footnoteReference w:id="71"/>
      </w:r>
      <w:r w:rsidRPr="0001459B">
        <w:rPr>
          <w:rFonts w:cs="Calibri"/>
          <w:lang w:val="en-US"/>
        </w:rPr>
        <w:t xml:space="preserve"> Foucault proposes a ‘theory of domination’ instead</w:t>
      </w:r>
      <w:r>
        <w:rPr>
          <w:rFonts w:cs="Calibri"/>
          <w:lang w:val="en-US"/>
        </w:rPr>
        <w:t xml:space="preserve">, which </w:t>
      </w:r>
      <w:r w:rsidRPr="0001459B">
        <w:rPr>
          <w:rFonts w:cs="Calibri"/>
          <w:lang w:val="en-US"/>
        </w:rPr>
        <w:t>focuses not on the origins of power mechanisms through which they are justified or legitimated by right, but rather on the instruments which guarantee that power mechanisms can function.</w:t>
      </w:r>
      <w:r>
        <w:rPr>
          <w:rStyle w:val="FootnoteReference"/>
          <w:rFonts w:cs="Calibri"/>
          <w:lang w:val="en-US"/>
        </w:rPr>
        <w:footnoteReference w:id="72"/>
      </w:r>
      <w:r>
        <w:rPr>
          <w:rFonts w:cs="Calibri"/>
          <w:lang w:val="en-US"/>
        </w:rPr>
        <w:t xml:space="preserve"> Nevertheless, while a purely juridical form of power may indeed fall short of being able to analyze modern power relations within a biopolitical state, I would argue that it should not be completely discarded. Indeed, a juridical model of power and a disciplining model of power complement each other in providing a comprehensive analysis of a multiplicity of power relations. Foucault’s view of law-as-sovereign and law as a purely repressive form of power deriving from one source is too narrow. The law can structure society – it can produce racial and social categorizations in a legal pluralist system, provide citizens material rights and make such rights contingent on citizenship, gender, or race. What’s more, legal procedures can be used to contest the distribution of power and rights, provide remedies for those who have been wronged, or, conversely, be used to protect those in power. In the colonial state, the law was often used to maintain a racial, gendered order, but could also be used to contest this ordering. By dismissing a juridical model of power as irrelevant for analyzing colonial biopolitics, and viewing law as a mere mechanism of domination, Foucault risks overlooking the role of law and litigation in colonial courts as sites of resistance, contestation of existing power relations and the preservation of the colonial social order.</w:t>
      </w:r>
      <w:r>
        <w:rPr>
          <w:rStyle w:val="FootnoteReference"/>
          <w:rFonts w:cs="Calibri"/>
          <w:lang w:val="en-US"/>
        </w:rPr>
        <w:footnoteReference w:id="73"/>
      </w:r>
      <w:r>
        <w:rPr>
          <w:rFonts w:cs="Calibri"/>
          <w:lang w:val="en-US"/>
        </w:rPr>
        <w:t xml:space="preserve"> Therefore, I will look at </w:t>
      </w:r>
      <w:r w:rsidRPr="0001459B">
        <w:rPr>
          <w:rFonts w:cs="Calibri"/>
          <w:i/>
          <w:iCs/>
          <w:lang w:val="en-US"/>
        </w:rPr>
        <w:t>both</w:t>
      </w:r>
      <w:r>
        <w:rPr>
          <w:rFonts w:cs="Calibri"/>
          <w:lang w:val="en-US"/>
        </w:rPr>
        <w:t xml:space="preserve"> disciplining model of power and regulatory model of power in the context of this thesis to examine biopolitical techniques in the colony. </w:t>
      </w:r>
    </w:p>
    <w:p w14:paraId="1171CD80" w14:textId="77777777" w:rsidR="009847E8" w:rsidRDefault="009847E8" w:rsidP="00E30012">
      <w:pPr>
        <w:pStyle w:val="Maxhoofdtekst"/>
        <w:spacing w:line="276" w:lineRule="auto"/>
        <w:ind w:firstLine="284"/>
        <w:rPr>
          <w:rFonts w:cs="Calibri"/>
          <w:lang w:val="en-US"/>
        </w:rPr>
      </w:pPr>
      <w:r>
        <w:rPr>
          <w:rFonts w:cs="Calibri"/>
          <w:lang w:val="en-US"/>
        </w:rPr>
        <w:t xml:space="preserve">In the modern biopolitical state, Foucault argues, the exercise of </w:t>
      </w:r>
      <w:r w:rsidRPr="001D6CB4">
        <w:rPr>
          <w:rFonts w:cs="Calibri"/>
          <w:lang w:val="en-US"/>
        </w:rPr>
        <w:t>power is ‘war continued by other means’.</w:t>
      </w:r>
      <w:r w:rsidRPr="001D6CB4">
        <w:rPr>
          <w:rStyle w:val="FootnoteReference"/>
          <w:rFonts w:cs="Calibri"/>
          <w:lang w:val="en-US"/>
        </w:rPr>
        <w:footnoteReference w:id="74"/>
      </w:r>
      <w:r w:rsidRPr="001D6CB4">
        <w:rPr>
          <w:rFonts w:cs="Calibri"/>
          <w:lang w:val="en-US"/>
        </w:rPr>
        <w:t xml:space="preserve"> What does it mean when Foucault says that power is the continuation of war by other means, and that ‘peace is waging a secret war’?</w:t>
      </w:r>
      <w:r w:rsidRPr="001D6CB4">
        <w:rPr>
          <w:rStyle w:val="FootnoteReference"/>
          <w:rFonts w:cs="Calibri"/>
          <w:lang w:val="en-US"/>
        </w:rPr>
        <w:footnoteReference w:id="75"/>
      </w:r>
      <w:r w:rsidRPr="001D6CB4">
        <w:rPr>
          <w:rFonts w:cs="Calibri"/>
          <w:lang w:val="en-US"/>
        </w:rPr>
        <w:t xml:space="preserve"> </w:t>
      </w:r>
      <w:r>
        <w:rPr>
          <w:rFonts w:cs="Calibri"/>
          <w:lang w:val="en-US"/>
        </w:rPr>
        <w:t>It means</w:t>
      </w:r>
      <w:r w:rsidRPr="001D6CB4">
        <w:rPr>
          <w:rFonts w:cs="Calibri"/>
          <w:lang w:val="en-US"/>
        </w:rPr>
        <w:t xml:space="preserve"> that </w:t>
      </w:r>
      <w:r>
        <w:rPr>
          <w:rFonts w:cs="Calibri"/>
          <w:lang w:val="en-US"/>
        </w:rPr>
        <w:t>modern</w:t>
      </w:r>
      <w:r w:rsidRPr="001D6CB4">
        <w:rPr>
          <w:rFonts w:cs="Calibri"/>
          <w:lang w:val="en-US"/>
        </w:rPr>
        <w:t xml:space="preserve"> society is binarily structured, wherein </w:t>
      </w:r>
      <w:r w:rsidRPr="001D6CB4">
        <w:rPr>
          <w:rFonts w:cs="Calibri"/>
          <w:lang w:val="en-US"/>
        </w:rPr>
        <w:lastRenderedPageBreak/>
        <w:t>everybody is someone else’s adversary.</w:t>
      </w:r>
      <w:r w:rsidRPr="001D6CB4">
        <w:rPr>
          <w:rStyle w:val="FootnoteReference"/>
          <w:rFonts w:cs="Calibri"/>
          <w:lang w:val="en-US"/>
        </w:rPr>
        <w:footnoteReference w:id="76"/>
      </w:r>
      <w:r w:rsidRPr="001D6CB4">
        <w:rPr>
          <w:rFonts w:cs="Calibri"/>
          <w:lang w:val="en-US"/>
        </w:rPr>
        <w:t xml:space="preserve"> </w:t>
      </w:r>
      <w:r>
        <w:rPr>
          <w:rFonts w:cs="Calibri"/>
          <w:lang w:val="en-US"/>
        </w:rPr>
        <w:t>T</w:t>
      </w:r>
      <w:r w:rsidRPr="001D6CB4">
        <w:rPr>
          <w:rFonts w:cs="Calibri"/>
          <w:lang w:val="en-US"/>
        </w:rPr>
        <w:t>here are two opposed groups</w:t>
      </w:r>
      <w:r w:rsidRPr="00F16490">
        <w:rPr>
          <w:rFonts w:cs="Calibri"/>
          <w:color w:val="000000" w:themeColor="text1"/>
          <w:lang w:val="en-US"/>
        </w:rPr>
        <w:t xml:space="preserve"> </w:t>
      </w:r>
      <w:r w:rsidRPr="001D6CB4">
        <w:rPr>
          <w:rFonts w:cs="Calibri"/>
          <w:lang w:val="en-US"/>
        </w:rPr>
        <w:t xml:space="preserve">who pose a threat </w:t>
      </w:r>
      <w:r w:rsidRPr="00F16490">
        <w:rPr>
          <w:rFonts w:cs="Calibri"/>
          <w:color w:val="000000" w:themeColor="text1"/>
          <w:lang w:val="en-US"/>
        </w:rPr>
        <w:t xml:space="preserve">to each other. </w:t>
      </w:r>
      <w:r w:rsidRPr="001D6CB4">
        <w:rPr>
          <w:rFonts w:cs="Calibri"/>
          <w:lang w:val="en-US"/>
        </w:rPr>
        <w:t>This war mainly emerges in racist biological-scientific discourses and institutions. These discourses of power-truth around race then form a war – a war of races.</w:t>
      </w:r>
      <w:r>
        <w:rPr>
          <w:rStyle w:val="FootnoteReference"/>
          <w:rFonts w:cs="Calibri"/>
          <w:lang w:val="en-US"/>
        </w:rPr>
        <w:footnoteReference w:id="77"/>
      </w:r>
      <w:r w:rsidRPr="001D6CB4">
        <w:rPr>
          <w:rFonts w:cs="Calibri"/>
          <w:lang w:val="en-US"/>
        </w:rPr>
        <w:t xml:space="preserve"> An </w:t>
      </w:r>
      <w:r w:rsidRPr="00DF685B">
        <w:rPr>
          <w:rFonts w:cs="Calibri"/>
          <w:lang w:val="en-US"/>
        </w:rPr>
        <w:t>inferior race which poses a danger of degeneration, against whom society must defend itself</w:t>
      </w:r>
      <w:r>
        <w:rPr>
          <w:rFonts w:cs="Calibri"/>
          <w:i/>
          <w:iCs/>
          <w:lang w:val="en-US"/>
        </w:rPr>
        <w:t xml:space="preserve"> </w:t>
      </w:r>
      <w:r w:rsidRPr="001D6CB4">
        <w:rPr>
          <w:rFonts w:cs="Calibri"/>
          <w:lang w:val="en-US"/>
        </w:rPr>
        <w:t>to protect the health of the state: ‘we must defend society against all the biological dangers of that other race, of that sub-race, of that counter-race that despite ourselves we are constituting’</w:t>
      </w:r>
      <w:r>
        <w:rPr>
          <w:rFonts w:cs="Calibri"/>
          <w:lang w:val="en-US"/>
        </w:rPr>
        <w:t>, as Foucault puts it.</w:t>
      </w:r>
      <w:r w:rsidRPr="001D6CB4">
        <w:rPr>
          <w:rStyle w:val="FootnoteReference"/>
          <w:rFonts w:cs="Calibri"/>
          <w:lang w:val="en-US"/>
        </w:rPr>
        <w:footnoteReference w:id="78"/>
      </w:r>
      <w:r w:rsidRPr="001D6CB4">
        <w:rPr>
          <w:rFonts w:cs="Calibri"/>
          <w:lang w:val="en-US"/>
        </w:rPr>
        <w:t xml:space="preserve"> This justifies the </w:t>
      </w:r>
      <w:r w:rsidRPr="00DF685B">
        <w:rPr>
          <w:rFonts w:cs="Calibri"/>
          <w:lang w:val="en-US"/>
        </w:rPr>
        <w:t>elimination of the internal enemy – the subversive,</w:t>
      </w:r>
      <w:r w:rsidRPr="001D6CB4">
        <w:rPr>
          <w:rFonts w:cs="Calibri"/>
          <w:lang w:val="en-US"/>
        </w:rPr>
        <w:t xml:space="preserve"> degenerat</w:t>
      </w:r>
      <w:r>
        <w:rPr>
          <w:rFonts w:cs="Calibri"/>
          <w:lang w:val="en-US"/>
        </w:rPr>
        <w:t>e</w:t>
      </w:r>
      <w:r w:rsidRPr="001D6CB4">
        <w:rPr>
          <w:rFonts w:cs="Calibri"/>
          <w:lang w:val="en-US"/>
        </w:rPr>
        <w:t xml:space="preserve"> </w:t>
      </w:r>
      <w:r>
        <w:rPr>
          <w:rFonts w:cs="Calibri"/>
          <w:lang w:val="en-US"/>
        </w:rPr>
        <w:t>element</w:t>
      </w:r>
      <w:r w:rsidRPr="001D6CB4">
        <w:rPr>
          <w:rFonts w:cs="Calibri"/>
          <w:lang w:val="en-US"/>
        </w:rPr>
        <w:t xml:space="preserve"> of society </w:t>
      </w:r>
      <w:r>
        <w:rPr>
          <w:rFonts w:cs="Calibri"/>
          <w:lang w:val="en-US"/>
        </w:rPr>
        <w:t>–</w:t>
      </w:r>
      <w:r w:rsidRPr="001D6CB4">
        <w:rPr>
          <w:rFonts w:cs="Calibri"/>
          <w:lang w:val="en-US"/>
        </w:rPr>
        <w:t xml:space="preserve"> </w:t>
      </w:r>
      <w:r>
        <w:rPr>
          <w:rFonts w:cs="Calibri"/>
          <w:lang w:val="en-US"/>
        </w:rPr>
        <w:t>in order to protect the</w:t>
      </w:r>
      <w:r w:rsidRPr="001D6CB4">
        <w:rPr>
          <w:rFonts w:cs="Calibri"/>
          <w:lang w:val="en-US"/>
        </w:rPr>
        <w:t xml:space="preserve"> healthy</w:t>
      </w:r>
      <w:r>
        <w:rPr>
          <w:rFonts w:cs="Calibri"/>
          <w:lang w:val="en-US"/>
        </w:rPr>
        <w:t>,</w:t>
      </w:r>
      <w:r w:rsidRPr="001D6CB4">
        <w:rPr>
          <w:rFonts w:cs="Calibri"/>
          <w:lang w:val="en-US"/>
        </w:rPr>
        <w:t xml:space="preserve"> normalized</w:t>
      </w:r>
      <w:r>
        <w:rPr>
          <w:rFonts w:cs="Calibri"/>
          <w:lang w:val="en-US"/>
        </w:rPr>
        <w:t xml:space="preserve"> </w:t>
      </w:r>
      <w:r w:rsidRPr="001D6CB4">
        <w:rPr>
          <w:rFonts w:cs="Calibri"/>
          <w:lang w:val="en-US"/>
        </w:rPr>
        <w:t xml:space="preserve">part of society. </w:t>
      </w:r>
      <w:r>
        <w:rPr>
          <w:rFonts w:cs="Calibri"/>
          <w:lang w:val="en-US"/>
        </w:rPr>
        <w:t xml:space="preserve">These discourses on racial purity </w:t>
      </w:r>
      <w:r w:rsidRPr="001D6CB4">
        <w:rPr>
          <w:rFonts w:cs="Calibri"/>
          <w:lang w:val="en-US"/>
        </w:rPr>
        <w:t>produce an internal</w:t>
      </w:r>
      <w:r>
        <w:rPr>
          <w:rFonts w:cs="Calibri"/>
          <w:lang w:val="en-US"/>
        </w:rPr>
        <w:t>, biological</w:t>
      </w:r>
      <w:r w:rsidRPr="001D6CB4">
        <w:rPr>
          <w:rFonts w:cs="Calibri"/>
          <w:lang w:val="en-US"/>
        </w:rPr>
        <w:t xml:space="preserve"> racism, </w:t>
      </w:r>
      <w:r>
        <w:rPr>
          <w:rFonts w:cs="Calibri"/>
          <w:lang w:val="en-US"/>
        </w:rPr>
        <w:t xml:space="preserve">which is </w:t>
      </w:r>
      <w:r w:rsidRPr="001D6CB4">
        <w:rPr>
          <w:rFonts w:cs="Calibri"/>
          <w:lang w:val="en-US"/>
        </w:rPr>
        <w:t xml:space="preserve">a fundamental element of </w:t>
      </w:r>
      <w:r>
        <w:rPr>
          <w:rFonts w:cs="Calibri"/>
          <w:lang w:val="en-US"/>
        </w:rPr>
        <w:t xml:space="preserve">the </w:t>
      </w:r>
      <w:r w:rsidRPr="001D6CB4">
        <w:rPr>
          <w:rFonts w:cs="Calibri"/>
          <w:lang w:val="en-US"/>
        </w:rPr>
        <w:t>biopolitical state</w:t>
      </w:r>
      <w:r>
        <w:rPr>
          <w:rFonts w:cs="Calibri"/>
          <w:lang w:val="en-US"/>
        </w:rPr>
        <w:t>’s process of normalization</w:t>
      </w:r>
      <w:r w:rsidRPr="001D6CB4">
        <w:rPr>
          <w:rFonts w:cs="Calibri"/>
          <w:lang w:val="en-US"/>
        </w:rPr>
        <w:t>. By disciplining and regulating sex, degeneration</w:t>
      </w:r>
      <w:r>
        <w:rPr>
          <w:rFonts w:cs="Calibri"/>
          <w:lang w:val="en-US"/>
        </w:rPr>
        <w:t xml:space="preserve"> </w:t>
      </w:r>
      <w:r w:rsidRPr="001D6CB4">
        <w:rPr>
          <w:rFonts w:cs="Calibri"/>
          <w:lang w:val="en-US"/>
        </w:rPr>
        <w:t>– the decline of one’s own</w:t>
      </w:r>
      <w:r>
        <w:rPr>
          <w:rFonts w:cs="Calibri"/>
          <w:lang w:val="en-US"/>
        </w:rPr>
        <w:t xml:space="preserve"> </w:t>
      </w:r>
      <w:r w:rsidRPr="001D6CB4">
        <w:rPr>
          <w:rFonts w:cs="Calibri"/>
          <w:lang w:val="en-US"/>
        </w:rPr>
        <w:t xml:space="preserve">– could be prevented, and a bourgeois identity created. For Foucault, racism does not stem from hatred, but from a political logic in which the state seeks to maintain its own health by identifying and normalizing or eliminating internal enemies. </w:t>
      </w:r>
    </w:p>
    <w:p w14:paraId="55E56158" w14:textId="77777777" w:rsidR="009847E8" w:rsidRDefault="009847E8" w:rsidP="00E30012">
      <w:pPr>
        <w:pStyle w:val="Maxhoofdtekst"/>
        <w:spacing w:line="276" w:lineRule="auto"/>
        <w:ind w:firstLine="284"/>
        <w:rPr>
          <w:rFonts w:cs="Calibri"/>
          <w:lang w:val="en-US"/>
        </w:rPr>
      </w:pPr>
      <w:r w:rsidRPr="00E30012">
        <w:rPr>
          <w:rFonts w:cs="Calibri"/>
          <w:lang w:val="en-US"/>
        </w:rPr>
        <w:t>Sexuality is thus a target of biopolitics, racism is a consequence of it</w:t>
      </w:r>
      <w:r w:rsidRPr="00E30012">
        <w:rPr>
          <w:rStyle w:val="FootnoteReference"/>
          <w:rFonts w:cs="Calibri"/>
          <w:lang w:val="en-US"/>
        </w:rPr>
        <w:footnoteReference w:id="79"/>
      </w:r>
      <w:r w:rsidRPr="00E30012">
        <w:rPr>
          <w:rFonts w:cs="Calibri"/>
          <w:lang w:val="en-US"/>
        </w:rPr>
        <w:t xml:space="preserve">: an internal enemy is created </w:t>
      </w:r>
      <w:r w:rsidRPr="001D6CB4">
        <w:rPr>
          <w:rFonts w:cs="Calibri"/>
          <w:lang w:val="en-US"/>
        </w:rPr>
        <w:t>–</w:t>
      </w:r>
      <w:r w:rsidRPr="00E30012">
        <w:rPr>
          <w:rFonts w:cs="Calibri"/>
          <w:lang w:val="en-US"/>
        </w:rPr>
        <w:t xml:space="preserve"> a dangerous individual with a subversive sexual identity, against whom society must defend itself to protect the health of the state.</w:t>
      </w:r>
      <w:r w:rsidRPr="006B3033">
        <w:rPr>
          <w:rFonts w:cs="Calibri"/>
          <w:lang w:val="en-US"/>
        </w:rPr>
        <w:t xml:space="preserve"> </w:t>
      </w:r>
    </w:p>
    <w:p w14:paraId="5BD44F80" w14:textId="77777777" w:rsidR="009847E8" w:rsidRPr="00E004A9" w:rsidRDefault="009847E8">
      <w:pPr>
        <w:pStyle w:val="Maxhoofdtekst"/>
        <w:numPr>
          <w:ilvl w:val="2"/>
          <w:numId w:val="5"/>
        </w:numPr>
        <w:spacing w:line="276" w:lineRule="auto"/>
        <w:outlineLvl w:val="2"/>
        <w:rPr>
          <w:rFonts w:cs="Calibri"/>
          <w:lang w:val="en-US"/>
        </w:rPr>
      </w:pPr>
      <w:bookmarkStart w:id="14" w:name="_Toc234183604"/>
      <w:r>
        <w:rPr>
          <w:rFonts w:cs="Calibri"/>
          <w:lang w:val="en-US"/>
        </w:rPr>
        <w:t>Decolonial critique of Foucault’s locating of the birth of racism</w:t>
      </w:r>
      <w:bookmarkEnd w:id="14"/>
    </w:p>
    <w:p w14:paraId="7AFAB5DE" w14:textId="77777777" w:rsidR="009847E8" w:rsidRPr="001D6CB4" w:rsidRDefault="009847E8" w:rsidP="002D6DB8">
      <w:pPr>
        <w:pStyle w:val="Maxhoofdtekst"/>
        <w:spacing w:line="276" w:lineRule="auto"/>
        <w:ind w:firstLine="284"/>
        <w:rPr>
          <w:rFonts w:cs="Calibri"/>
          <w:lang w:val="en-US"/>
        </w:rPr>
      </w:pPr>
      <w:r>
        <w:rPr>
          <w:rFonts w:cs="Calibri"/>
          <w:lang w:val="en-US"/>
        </w:rPr>
        <w:t>However</w:t>
      </w:r>
      <w:r w:rsidRPr="002F27B5">
        <w:rPr>
          <w:rFonts w:cs="Calibri"/>
          <w:lang w:val="en-US"/>
        </w:rPr>
        <w:t>, as Stoler convincingly a</w:t>
      </w:r>
      <w:r>
        <w:rPr>
          <w:rFonts w:cs="Calibri"/>
          <w:lang w:val="en-US"/>
        </w:rPr>
        <w:t>r</w:t>
      </w:r>
      <w:r w:rsidRPr="002F27B5">
        <w:rPr>
          <w:rFonts w:cs="Calibri"/>
          <w:lang w:val="en-US"/>
        </w:rPr>
        <w:t>gues, Foucault situates racism and racial genocide in these lectures in a European continental setting originating in nineteenth-century discourses</w:t>
      </w:r>
      <w:r>
        <w:rPr>
          <w:rFonts w:cs="Calibri"/>
          <w:lang w:val="en-US"/>
        </w:rPr>
        <w:t>. In doing so, Foucault overlooks the</w:t>
      </w:r>
      <w:r w:rsidRPr="002F27B5">
        <w:rPr>
          <w:rFonts w:cs="Calibri"/>
          <w:lang w:val="en-US"/>
        </w:rPr>
        <w:t xml:space="preserve"> colonial origins of racism and thereby limits his genealogy’s scope.</w:t>
      </w:r>
      <w:r w:rsidRPr="002F27B5">
        <w:rPr>
          <w:rStyle w:val="FootnoteReference"/>
          <w:rFonts w:cs="Calibri"/>
          <w:lang w:val="en-US"/>
        </w:rPr>
        <w:footnoteReference w:id="80"/>
      </w:r>
      <w:r w:rsidRPr="001D6CB4">
        <w:rPr>
          <w:rFonts w:cs="Calibri"/>
          <w:lang w:val="en-US"/>
        </w:rPr>
        <w:t xml:space="preserve"> F</w:t>
      </w:r>
      <w:r>
        <w:rPr>
          <w:rFonts w:cs="Calibri"/>
          <w:lang w:val="en-US"/>
        </w:rPr>
        <w:t>or one,</w:t>
      </w:r>
      <w:r w:rsidRPr="001D6CB4">
        <w:rPr>
          <w:rFonts w:cs="Calibri"/>
          <w:lang w:val="en-US"/>
        </w:rPr>
        <w:t xml:space="preserve"> Stoler </w:t>
      </w:r>
      <w:r>
        <w:rPr>
          <w:rFonts w:cs="Calibri"/>
          <w:lang w:val="en-US"/>
        </w:rPr>
        <w:t>demonstrates</w:t>
      </w:r>
      <w:r w:rsidRPr="001D6CB4">
        <w:rPr>
          <w:rFonts w:cs="Calibri"/>
          <w:lang w:val="en-US"/>
        </w:rPr>
        <w:t xml:space="preserve"> that, from a metahistorical </w:t>
      </w:r>
      <w:r>
        <w:rPr>
          <w:rFonts w:cs="Calibri"/>
          <w:lang w:val="en-US"/>
        </w:rPr>
        <w:t>perspective</w:t>
      </w:r>
      <w:r w:rsidRPr="001D6CB4">
        <w:rPr>
          <w:rFonts w:cs="Calibri"/>
          <w:lang w:val="en-US"/>
        </w:rPr>
        <w:t xml:space="preserve">, Foucault </w:t>
      </w:r>
      <w:r>
        <w:rPr>
          <w:rFonts w:cs="Calibri"/>
          <w:lang w:val="en-US"/>
        </w:rPr>
        <w:t>fails</w:t>
      </w:r>
      <w:r w:rsidRPr="001D6CB4">
        <w:rPr>
          <w:rFonts w:cs="Calibri"/>
          <w:lang w:val="en-US"/>
        </w:rPr>
        <w:t xml:space="preserve"> to </w:t>
      </w:r>
      <w:r>
        <w:rPr>
          <w:rFonts w:cs="Calibri"/>
          <w:lang w:val="en-US"/>
        </w:rPr>
        <w:t>acknowledge that</w:t>
      </w:r>
      <w:r w:rsidRPr="001D6CB4">
        <w:rPr>
          <w:rFonts w:cs="Calibri"/>
          <w:lang w:val="en-US"/>
        </w:rPr>
        <w:t xml:space="preserve"> the modern </w:t>
      </w:r>
      <w:r>
        <w:rPr>
          <w:rFonts w:cs="Calibri"/>
          <w:lang w:val="en-US"/>
        </w:rPr>
        <w:t>concept</w:t>
      </w:r>
      <w:r w:rsidRPr="001D6CB4">
        <w:rPr>
          <w:rFonts w:cs="Calibri"/>
          <w:lang w:val="en-US"/>
        </w:rPr>
        <w:t xml:space="preserve"> of sexuality was </w:t>
      </w:r>
      <w:r w:rsidRPr="00F16490">
        <w:rPr>
          <w:rFonts w:cs="Calibri"/>
          <w:lang w:val="en-US"/>
        </w:rPr>
        <w:t>introduced much earlier in the colony</w:t>
      </w:r>
      <w:r w:rsidRPr="001D6CB4">
        <w:rPr>
          <w:rFonts w:cs="Calibri"/>
          <w:lang w:val="en-US"/>
        </w:rPr>
        <w:t xml:space="preserve"> – in the context of the Dutch East Indies, as early as 1612</w:t>
      </w:r>
      <w:r>
        <w:rPr>
          <w:rFonts w:cs="Calibri"/>
          <w:lang w:val="en-US"/>
        </w:rPr>
        <w:t xml:space="preserve">, with </w:t>
      </w:r>
      <w:r w:rsidRPr="001D6CB4">
        <w:rPr>
          <w:rFonts w:cs="Calibri"/>
          <w:lang w:val="en-US"/>
        </w:rPr>
        <w:t>the regulation of non-marital sexual arrangements during the VOC period.</w:t>
      </w:r>
      <w:r w:rsidRPr="001D6CB4">
        <w:rPr>
          <w:rStyle w:val="FootnoteReference"/>
          <w:rFonts w:cs="Calibri"/>
          <w:lang w:val="en-US"/>
        </w:rPr>
        <w:footnoteReference w:id="81"/>
      </w:r>
      <w:r w:rsidRPr="001D6CB4">
        <w:rPr>
          <w:rFonts w:cs="Calibri"/>
          <w:lang w:val="en-US"/>
        </w:rPr>
        <w:t xml:space="preserve"> Although the regulation of </w:t>
      </w:r>
      <w:r>
        <w:rPr>
          <w:rFonts w:cs="Calibri"/>
          <w:lang w:val="en-US"/>
        </w:rPr>
        <w:t>such</w:t>
      </w:r>
      <w:r w:rsidRPr="001D6CB4">
        <w:rPr>
          <w:rFonts w:cs="Calibri"/>
          <w:lang w:val="en-US"/>
        </w:rPr>
        <w:t xml:space="preserve"> arrangements do</w:t>
      </w:r>
      <w:r>
        <w:rPr>
          <w:rFonts w:cs="Calibri"/>
          <w:lang w:val="en-US"/>
        </w:rPr>
        <w:t>es</w:t>
      </w:r>
      <w:r w:rsidRPr="001D6CB4">
        <w:rPr>
          <w:rFonts w:cs="Calibri"/>
          <w:lang w:val="en-US"/>
        </w:rPr>
        <w:t xml:space="preserve"> not equal Foucault’s notion of biopower, Stoler argues that it shows how management of sex was ‘implicated in a discourse on the defense of society much earlier than he [Foucault] suggests, not as a coherent and comprehensive regime of biopower, but with many of its incipient elements.’</w:t>
      </w:r>
      <w:r w:rsidRPr="001D6CB4">
        <w:rPr>
          <w:rStyle w:val="FootnoteReference"/>
          <w:rFonts w:cs="Calibri"/>
          <w:lang w:val="en-US"/>
        </w:rPr>
        <w:footnoteReference w:id="82"/>
      </w:r>
      <w:r w:rsidRPr="001D6CB4">
        <w:rPr>
          <w:rFonts w:cs="Calibri"/>
          <w:lang w:val="en-US"/>
        </w:rPr>
        <w:t xml:space="preserve"> This phenomenon was also not limited to the Dutch colonial context: sexuality was linked to the health of the nation and the race in </w:t>
      </w:r>
      <w:r>
        <w:rPr>
          <w:rFonts w:cs="Calibri"/>
          <w:lang w:val="en-US"/>
        </w:rPr>
        <w:t>seventeenth-</w:t>
      </w:r>
      <w:r w:rsidRPr="001D6CB4">
        <w:rPr>
          <w:rFonts w:cs="Calibri"/>
          <w:lang w:val="en-US"/>
        </w:rPr>
        <w:t xml:space="preserve">century colonial discourses throughout Asia, Africa and the Americas. In Maryland, for instance, it was </w:t>
      </w:r>
      <w:r w:rsidRPr="001D6CB4">
        <w:rPr>
          <w:rFonts w:cs="Calibri"/>
          <w:lang w:val="en-US"/>
        </w:rPr>
        <w:lastRenderedPageBreak/>
        <w:t xml:space="preserve">prohibited by law in 1681 for white women to engage in </w:t>
      </w:r>
      <w:r>
        <w:rPr>
          <w:rFonts w:cs="Calibri"/>
          <w:lang w:val="en-US"/>
        </w:rPr>
        <w:t>relationships</w:t>
      </w:r>
      <w:r w:rsidRPr="001D6CB4">
        <w:rPr>
          <w:rFonts w:cs="Calibri"/>
          <w:lang w:val="en-US"/>
        </w:rPr>
        <w:t xml:space="preserve"> with ‘non-white’ men, as such relationships would undermine the fate of the Christian nation.</w:t>
      </w:r>
      <w:r w:rsidRPr="001D6CB4">
        <w:rPr>
          <w:rStyle w:val="FootnoteReference"/>
          <w:rFonts w:cs="Calibri"/>
          <w:lang w:val="en-US"/>
        </w:rPr>
        <w:footnoteReference w:id="83"/>
      </w:r>
      <w:r w:rsidRPr="001D6CB4">
        <w:rPr>
          <w:rFonts w:cs="Calibri"/>
          <w:lang w:val="en-US"/>
        </w:rPr>
        <w:t xml:space="preserve"> </w:t>
      </w:r>
    </w:p>
    <w:p w14:paraId="7F1FF3B7" w14:textId="77777777" w:rsidR="009847E8" w:rsidRDefault="009847E8" w:rsidP="002D6DB8">
      <w:pPr>
        <w:pStyle w:val="Maxhoofdtekst"/>
        <w:spacing w:line="276" w:lineRule="auto"/>
        <w:ind w:firstLine="284"/>
        <w:rPr>
          <w:rFonts w:cs="Calibri"/>
          <w:lang w:val="en-US"/>
        </w:rPr>
      </w:pPr>
      <w:r w:rsidRPr="00CA03C1">
        <w:rPr>
          <w:rFonts w:cs="Calibri"/>
          <w:lang w:val="en-US"/>
        </w:rPr>
        <w:t xml:space="preserve">Foucault </w:t>
      </w:r>
      <w:r>
        <w:rPr>
          <w:rFonts w:cs="Calibri"/>
          <w:lang w:val="en-US"/>
        </w:rPr>
        <w:t xml:space="preserve">wrongfully </w:t>
      </w:r>
      <w:r w:rsidRPr="00CA03C1">
        <w:rPr>
          <w:rFonts w:cs="Calibri"/>
          <w:lang w:val="en-US"/>
        </w:rPr>
        <w:t xml:space="preserve">separates the </w:t>
      </w:r>
      <w:r>
        <w:rPr>
          <w:rFonts w:cs="Calibri"/>
          <w:lang w:val="en-US"/>
        </w:rPr>
        <w:t xml:space="preserve">production of European bourgeois sexuality in </w:t>
      </w:r>
      <w:r w:rsidRPr="00CA03C1">
        <w:rPr>
          <w:rFonts w:cs="Calibri"/>
          <w:lang w:val="en-US"/>
        </w:rPr>
        <w:t xml:space="preserve">colony and metropole, instead of viewing them as intertwined. </w:t>
      </w:r>
      <w:r>
        <w:rPr>
          <w:rFonts w:cs="Calibri"/>
          <w:lang w:val="en-US"/>
        </w:rPr>
        <w:t>In fact</w:t>
      </w:r>
      <w:r w:rsidRPr="001D6CB4">
        <w:rPr>
          <w:rFonts w:cs="Calibri"/>
          <w:lang w:val="en-US"/>
        </w:rPr>
        <w:t xml:space="preserve">, </w:t>
      </w:r>
      <w:r w:rsidRPr="002F27B5">
        <w:rPr>
          <w:rFonts w:cs="Calibri"/>
          <w:lang w:val="en-US"/>
        </w:rPr>
        <w:t xml:space="preserve">the deployment of sexuality in the metropole and the colony </w:t>
      </w:r>
      <w:r>
        <w:rPr>
          <w:rFonts w:cs="Calibri"/>
          <w:lang w:val="en-US"/>
        </w:rPr>
        <w:t>were mutually constitutive</w:t>
      </w:r>
      <w:r w:rsidRPr="00CA03C1">
        <w:rPr>
          <w:rFonts w:cs="Calibri"/>
          <w:lang w:val="en-US"/>
        </w:rPr>
        <w:t xml:space="preserve">. </w:t>
      </w:r>
      <w:r w:rsidRPr="001D6CB4">
        <w:rPr>
          <w:rFonts w:cs="Calibri"/>
          <w:lang w:val="en-US"/>
        </w:rPr>
        <w:t xml:space="preserve">As </w:t>
      </w:r>
      <w:r w:rsidRPr="00DF685B">
        <w:rPr>
          <w:rFonts w:cs="Calibri"/>
          <w:lang w:val="en-US"/>
        </w:rPr>
        <w:t>Gayatri Chakravorty</w:t>
      </w:r>
      <w:r>
        <w:rPr>
          <w:rFonts w:cs="Calibri"/>
          <w:lang w:val="en-US"/>
        </w:rPr>
        <w:t xml:space="preserve"> </w:t>
      </w:r>
      <w:r w:rsidRPr="001D6CB4">
        <w:rPr>
          <w:rFonts w:cs="Calibri"/>
          <w:lang w:val="en-US"/>
        </w:rPr>
        <w:t xml:space="preserve">Spivak </w:t>
      </w:r>
      <w:r>
        <w:rPr>
          <w:rFonts w:cs="Calibri"/>
          <w:lang w:val="en-US"/>
        </w:rPr>
        <w:t>notes,</w:t>
      </w:r>
      <w:r w:rsidRPr="001D6CB4">
        <w:rPr>
          <w:rFonts w:cs="Calibri"/>
          <w:lang w:val="en-US"/>
        </w:rPr>
        <w:t xml:space="preserve"> ‘</w:t>
      </w:r>
      <w:r>
        <w:rPr>
          <w:rFonts w:cs="Calibri"/>
          <w:lang w:val="en-US"/>
        </w:rPr>
        <w:t>t</w:t>
      </w:r>
      <w:r w:rsidRPr="001D6CB4">
        <w:rPr>
          <w:rFonts w:cs="Calibri"/>
          <w:lang w:val="en-US"/>
        </w:rPr>
        <w:t>o buy a self-contained version of the West is to ignore its production by the imperialist project.’</w:t>
      </w:r>
      <w:r w:rsidRPr="001D6CB4">
        <w:rPr>
          <w:rStyle w:val="FootnoteReference"/>
          <w:rFonts w:cs="Calibri"/>
          <w:lang w:val="en-US"/>
        </w:rPr>
        <w:footnoteReference w:id="84"/>
      </w:r>
      <w:r w:rsidRPr="001D6CB4">
        <w:rPr>
          <w:rFonts w:cs="Calibri"/>
          <w:lang w:val="en-US"/>
        </w:rPr>
        <w:t xml:space="preserve"> </w:t>
      </w:r>
      <w:r>
        <w:rPr>
          <w:rFonts w:cs="Calibri"/>
          <w:lang w:val="en-US"/>
        </w:rPr>
        <w:t>N</w:t>
      </w:r>
      <w:r w:rsidRPr="00CA03C1">
        <w:rPr>
          <w:rFonts w:cs="Calibri"/>
          <w:lang w:val="en-US"/>
        </w:rPr>
        <w:t>ineteenth-century society was concerned with regulating family life</w:t>
      </w:r>
      <w:r>
        <w:rPr>
          <w:rFonts w:cs="Calibri"/>
          <w:lang w:val="en-US"/>
        </w:rPr>
        <w:t xml:space="preserve"> and providing popular </w:t>
      </w:r>
      <w:r w:rsidRPr="00CA03C1">
        <w:rPr>
          <w:rFonts w:cs="Calibri"/>
          <w:lang w:val="en-US"/>
        </w:rPr>
        <w:t>education</w:t>
      </w:r>
      <w:r>
        <w:rPr>
          <w:rFonts w:cs="Calibri"/>
          <w:lang w:val="en-US"/>
        </w:rPr>
        <w:t xml:space="preserve"> in the metropole in order to reform an ‘orderless, morally corrupt society’ and instill collective moral control on its citizens.</w:t>
      </w:r>
      <w:r>
        <w:rPr>
          <w:rStyle w:val="FootnoteReference"/>
          <w:rFonts w:cs="Calibri"/>
          <w:lang w:val="en-US"/>
        </w:rPr>
        <w:footnoteReference w:id="85"/>
      </w:r>
      <w:r>
        <w:rPr>
          <w:rFonts w:cs="Calibri"/>
          <w:lang w:val="en-US"/>
        </w:rPr>
        <w:t xml:space="preserve"> However, these concerns were linked to colonial discourses concerned with multiracialized progeny and the ‘expansion of a population of fabricated Europeans.’</w:t>
      </w:r>
      <w:r>
        <w:rPr>
          <w:rStyle w:val="FootnoteReference"/>
          <w:rFonts w:cs="Calibri"/>
          <w:lang w:val="en-US"/>
        </w:rPr>
        <w:footnoteReference w:id="86"/>
      </w:r>
      <w:r>
        <w:rPr>
          <w:rFonts w:cs="Calibri"/>
          <w:lang w:val="en-US"/>
        </w:rPr>
        <w:t xml:space="preserve"> Worries about maternal care provided by Indonesian housemaids and concubines, and questions whether European men should be charged with care for their illegitimate Indo-European children in the colony, were parallel to debates on good motherhood and illegitimate fatherhood in the metropole. These parallel debates, Stoler argues, show that moral concerns about Dutch colonials were part of the ‘inherent contradictions within the liberal rhetoric of nineteenth-century bourgeois culture, rather than marginal embellishments of it’.</w:t>
      </w:r>
      <w:r>
        <w:rPr>
          <w:rStyle w:val="FootnoteReference"/>
          <w:rFonts w:cs="Calibri"/>
          <w:lang w:val="en-US"/>
        </w:rPr>
        <w:footnoteReference w:id="87"/>
      </w:r>
      <w:r w:rsidRPr="00CA03C1">
        <w:rPr>
          <w:rFonts w:cs="Calibri"/>
          <w:lang w:val="en-US"/>
        </w:rPr>
        <w:t xml:space="preserve"> </w:t>
      </w:r>
    </w:p>
    <w:p w14:paraId="07D5AD3E" w14:textId="77777777" w:rsidR="009847E8" w:rsidRPr="003B782E" w:rsidRDefault="009847E8">
      <w:pPr>
        <w:pStyle w:val="Maxhoofdtekst"/>
        <w:numPr>
          <w:ilvl w:val="2"/>
          <w:numId w:val="5"/>
        </w:numPr>
        <w:spacing w:line="276" w:lineRule="auto"/>
        <w:outlineLvl w:val="2"/>
        <w:rPr>
          <w:rFonts w:cs="Calibri"/>
          <w:lang w:val="en-US"/>
        </w:rPr>
      </w:pPr>
      <w:bookmarkStart w:id="15" w:name="_Toc234183605"/>
      <w:r>
        <w:rPr>
          <w:rFonts w:cs="Calibri"/>
          <w:lang w:val="en-US"/>
        </w:rPr>
        <w:t>Internal racism in the colony</w:t>
      </w:r>
      <w:bookmarkEnd w:id="15"/>
    </w:p>
    <w:p w14:paraId="2B63DD72" w14:textId="77777777" w:rsidR="009847E8" w:rsidRDefault="009847E8" w:rsidP="002D6DB8">
      <w:pPr>
        <w:pStyle w:val="Maxhoofdtekst"/>
        <w:spacing w:line="276" w:lineRule="auto"/>
        <w:ind w:firstLine="284"/>
        <w:rPr>
          <w:rFonts w:cs="Calibri"/>
          <w:lang w:val="en-US"/>
        </w:rPr>
      </w:pPr>
      <w:r>
        <w:rPr>
          <w:rFonts w:cs="Calibri"/>
          <w:lang w:val="en-US"/>
        </w:rPr>
        <w:t>Despite Foucault’s omissions regarding the colony,</w:t>
      </w:r>
      <w:r w:rsidRPr="001D6CB4">
        <w:rPr>
          <w:rFonts w:cs="Calibri"/>
          <w:lang w:val="en-US"/>
        </w:rPr>
        <w:t xml:space="preserve"> </w:t>
      </w:r>
      <w:r>
        <w:rPr>
          <w:rFonts w:cs="Calibri"/>
          <w:lang w:val="en-US"/>
        </w:rPr>
        <w:t xml:space="preserve">his </w:t>
      </w:r>
      <w:r w:rsidRPr="001D6CB4">
        <w:rPr>
          <w:rFonts w:cs="Calibri"/>
          <w:lang w:val="en-US"/>
        </w:rPr>
        <w:t>analytic</w:t>
      </w:r>
      <w:r>
        <w:rPr>
          <w:rFonts w:cs="Calibri"/>
          <w:lang w:val="en-US"/>
        </w:rPr>
        <w:t>al</w:t>
      </w:r>
      <w:r w:rsidRPr="001D6CB4">
        <w:rPr>
          <w:rFonts w:cs="Calibri"/>
          <w:lang w:val="en-US"/>
        </w:rPr>
        <w:t xml:space="preserve"> insights </w:t>
      </w:r>
      <w:r>
        <w:rPr>
          <w:rFonts w:cs="Calibri"/>
          <w:lang w:val="en-US"/>
        </w:rPr>
        <w:t>into</w:t>
      </w:r>
      <w:r w:rsidRPr="001D6CB4">
        <w:rPr>
          <w:rFonts w:cs="Calibri"/>
          <w:lang w:val="en-US"/>
        </w:rPr>
        <w:t xml:space="preserve"> racism and the relationship between biopower and racism </w:t>
      </w:r>
      <w:r>
        <w:rPr>
          <w:rFonts w:cs="Calibri"/>
          <w:lang w:val="en-US"/>
        </w:rPr>
        <w:t>remain valuable when it comes to</w:t>
      </w:r>
      <w:r w:rsidRPr="001D6CB4">
        <w:rPr>
          <w:rFonts w:cs="Calibri"/>
          <w:lang w:val="en-US"/>
        </w:rPr>
        <w:t xml:space="preserve"> analyzing racism in the colonial context of the Dutch East Indies in the </w:t>
      </w:r>
      <w:r>
        <w:rPr>
          <w:rFonts w:cs="Calibri"/>
          <w:lang w:val="en-US"/>
        </w:rPr>
        <w:t>nineteenth</w:t>
      </w:r>
      <w:r w:rsidRPr="001D6CB4">
        <w:rPr>
          <w:rFonts w:cs="Calibri"/>
          <w:lang w:val="en-US"/>
        </w:rPr>
        <w:t xml:space="preserve"> and </w:t>
      </w:r>
      <w:r>
        <w:rPr>
          <w:rFonts w:cs="Calibri"/>
          <w:lang w:val="en-US"/>
        </w:rPr>
        <w:t>twentieth</w:t>
      </w:r>
      <w:r w:rsidRPr="001D6CB4">
        <w:rPr>
          <w:rFonts w:cs="Calibri"/>
          <w:lang w:val="en-US"/>
        </w:rPr>
        <w:t xml:space="preserve"> centur</w:t>
      </w:r>
      <w:r>
        <w:rPr>
          <w:rFonts w:cs="Calibri"/>
          <w:lang w:val="en-US"/>
        </w:rPr>
        <w:t>ies</w:t>
      </w:r>
      <w:r w:rsidRPr="001D6CB4">
        <w:rPr>
          <w:rFonts w:cs="Calibri"/>
          <w:lang w:val="en-US"/>
        </w:rPr>
        <w:t>.</w:t>
      </w:r>
      <w:r>
        <w:rPr>
          <w:rFonts w:cs="Calibri"/>
          <w:lang w:val="en-US"/>
        </w:rPr>
        <w:t xml:space="preserve"> He demonstrates that racism is intrinsic to all ‘modern, normalizing states and their biopolitical technologies’.</w:t>
      </w:r>
      <w:r>
        <w:rPr>
          <w:rStyle w:val="FootnoteReference"/>
          <w:rFonts w:cs="Calibri"/>
          <w:lang w:val="en-US"/>
        </w:rPr>
        <w:footnoteReference w:id="88"/>
      </w:r>
      <w:r>
        <w:rPr>
          <w:rFonts w:cs="Calibri"/>
          <w:lang w:val="en-US"/>
        </w:rPr>
        <w:t xml:space="preserve"> Modern, normalizing states are predicated on the fact that there is a distinction between races which are good, fit and superior, and races which are degenerate and inferior. </w:t>
      </w:r>
      <w:r w:rsidRPr="001D6CB4">
        <w:rPr>
          <w:rFonts w:cs="Calibri"/>
          <w:lang w:val="en-US"/>
        </w:rPr>
        <w:t xml:space="preserve">Foucault’s theory of racism demonstrates that </w:t>
      </w:r>
      <w:r>
        <w:rPr>
          <w:rFonts w:cs="Calibri"/>
          <w:lang w:val="en-US"/>
        </w:rPr>
        <w:t xml:space="preserve">biological </w:t>
      </w:r>
      <w:r w:rsidRPr="001D6CB4">
        <w:rPr>
          <w:rFonts w:cs="Calibri"/>
          <w:lang w:val="en-US"/>
        </w:rPr>
        <w:t>racism does not necessarily arise in a crisis, where societies which are in economic or social crises need a scapegoat to deflect anxieties and blame unto. Rather, racism is ‘internal to the biopolitical state, woven into the weft of the social body, threaded through its fabric’.</w:t>
      </w:r>
      <w:r w:rsidRPr="001D6CB4">
        <w:rPr>
          <w:rStyle w:val="FootnoteReference"/>
          <w:rFonts w:cs="Calibri"/>
          <w:lang w:val="en-US"/>
        </w:rPr>
        <w:footnoteReference w:id="89"/>
      </w:r>
      <w:r>
        <w:rPr>
          <w:rFonts w:cs="Calibri"/>
          <w:lang w:val="en-US"/>
        </w:rPr>
        <w:t xml:space="preserve"> </w:t>
      </w:r>
    </w:p>
    <w:p w14:paraId="3133218D" w14:textId="77777777" w:rsidR="009847E8" w:rsidRDefault="009847E8" w:rsidP="003B1117">
      <w:pPr>
        <w:pStyle w:val="Maxhoofdtekst"/>
        <w:spacing w:line="276" w:lineRule="auto"/>
        <w:ind w:firstLine="284"/>
        <w:rPr>
          <w:rFonts w:cs="Calibri"/>
          <w:lang w:val="en-US"/>
        </w:rPr>
      </w:pPr>
      <w:r w:rsidRPr="001D6CB4">
        <w:rPr>
          <w:rFonts w:cs="Calibri"/>
          <w:lang w:val="en-US"/>
        </w:rPr>
        <w:t xml:space="preserve">Stoler identifies two groups aside from </w:t>
      </w:r>
      <w:r>
        <w:rPr>
          <w:rFonts w:cs="Calibri"/>
          <w:lang w:val="en-US"/>
        </w:rPr>
        <w:t>Indonesians</w:t>
      </w:r>
      <w:r w:rsidRPr="001D6CB4">
        <w:rPr>
          <w:rFonts w:cs="Calibri"/>
          <w:lang w:val="en-US"/>
        </w:rPr>
        <w:t xml:space="preserve"> and </w:t>
      </w:r>
      <w:r>
        <w:rPr>
          <w:rFonts w:cs="Calibri"/>
          <w:lang w:val="en-US"/>
        </w:rPr>
        <w:t>Indo-Europeans</w:t>
      </w:r>
      <w:r w:rsidRPr="001D6CB4">
        <w:rPr>
          <w:rFonts w:cs="Calibri"/>
          <w:lang w:val="en-US"/>
        </w:rPr>
        <w:t xml:space="preserve"> that threaten the prestige of white Europeanness and colonial control: poor or impoverished white, and white women.</w:t>
      </w:r>
      <w:r w:rsidRPr="001D6CB4">
        <w:rPr>
          <w:rStyle w:val="FootnoteReference"/>
          <w:rFonts w:cs="Calibri"/>
          <w:lang w:val="en-US"/>
        </w:rPr>
        <w:footnoteReference w:id="90"/>
      </w:r>
      <w:r w:rsidRPr="001D6CB4">
        <w:rPr>
          <w:rFonts w:cs="Calibri"/>
          <w:lang w:val="en-US"/>
        </w:rPr>
        <w:t xml:space="preserve"> In this context, Stoler asks a vital question: </w:t>
      </w:r>
    </w:p>
    <w:p w14:paraId="119AEE79" w14:textId="77777777" w:rsidR="009847E8" w:rsidRDefault="009847E8" w:rsidP="00703732">
      <w:pPr>
        <w:pStyle w:val="Maxhoofdtekst"/>
        <w:spacing w:line="276" w:lineRule="auto"/>
        <w:ind w:left="708"/>
        <w:rPr>
          <w:rFonts w:cs="Calibri"/>
          <w:lang w:val="en-US"/>
        </w:rPr>
      </w:pPr>
      <w:r w:rsidRPr="001D6CB4">
        <w:rPr>
          <w:rFonts w:cs="Calibri"/>
          <w:lang w:val="en-US"/>
        </w:rPr>
        <w:lastRenderedPageBreak/>
        <w:t xml:space="preserve">‘If colonial enterprises were such secure bourgeois ventures, then </w:t>
      </w:r>
      <w:r w:rsidRPr="00F16490">
        <w:rPr>
          <w:rFonts w:cs="Calibri"/>
          <w:lang w:val="en-US"/>
        </w:rPr>
        <w:t>why were European colonials so often viewed disparagingly</w:t>
      </w:r>
      <w:r w:rsidRPr="001D6CB4">
        <w:rPr>
          <w:rFonts w:cs="Calibri"/>
          <w:lang w:val="en-US"/>
        </w:rPr>
        <w:t xml:space="preserve"> from the metropole as parvenus, cultural incompetents, morally suspect, and indeed ‘fictive’ Europeans, somehow distinct from the real thing? If the European superiority was so clear and obvious, why was there such anxiety over the risk of white degeneration and illness if European subjects were not behaving and normalizing their sexuality according to moral prescriptions and modes of conduct?</w:t>
      </w:r>
      <w:r>
        <w:rPr>
          <w:rFonts w:cs="Calibri"/>
          <w:lang w:val="en-US"/>
        </w:rPr>
        <w:t>’</w:t>
      </w:r>
      <w:r w:rsidRPr="001D6CB4">
        <w:rPr>
          <w:rStyle w:val="FootnoteReference"/>
          <w:rFonts w:cs="Calibri"/>
          <w:lang w:val="en-US"/>
        </w:rPr>
        <w:footnoteReference w:id="91"/>
      </w:r>
    </w:p>
    <w:p w14:paraId="7FBB6009" w14:textId="77777777" w:rsidR="009847E8" w:rsidRDefault="009847E8" w:rsidP="002D6DB8">
      <w:pPr>
        <w:pStyle w:val="Maxhoofdtekst"/>
        <w:spacing w:line="276" w:lineRule="auto"/>
        <w:ind w:firstLine="284"/>
        <w:rPr>
          <w:rFonts w:cs="Calibri"/>
          <w:lang w:val="en-US"/>
        </w:rPr>
      </w:pPr>
      <w:r>
        <w:rPr>
          <w:rFonts w:cs="Calibri"/>
          <w:lang w:val="en-US"/>
        </w:rPr>
        <w:t xml:space="preserve"> </w:t>
      </w:r>
      <w:r w:rsidRPr="001D6CB4">
        <w:rPr>
          <w:rFonts w:cs="Calibri"/>
          <w:lang w:val="en-US"/>
        </w:rPr>
        <w:t xml:space="preserve">The </w:t>
      </w:r>
      <w:r w:rsidRPr="00F16490">
        <w:rPr>
          <w:rFonts w:cs="Calibri"/>
          <w:lang w:val="en-US"/>
        </w:rPr>
        <w:t>strict dichotomy of colonizer and colonized cannot and should not be taken as a given</w:t>
      </w:r>
      <w:r>
        <w:rPr>
          <w:rFonts w:cs="Calibri"/>
          <w:lang w:val="en-US"/>
        </w:rPr>
        <w:t xml:space="preserve">. </w:t>
      </w:r>
      <w:r w:rsidRPr="00DF685B">
        <w:rPr>
          <w:rFonts w:cs="Calibri"/>
          <w:lang w:val="en-US"/>
        </w:rPr>
        <w:t xml:space="preserve">Stoler argues that colonial authority was based on the </w:t>
      </w:r>
      <w:r w:rsidRPr="00DF685B">
        <w:rPr>
          <w:rFonts w:cs="Calibri"/>
          <w:i/>
          <w:iCs/>
          <w:lang w:val="en-US"/>
        </w:rPr>
        <w:t>premise</w:t>
      </w:r>
      <w:r w:rsidRPr="00DF685B">
        <w:rPr>
          <w:rFonts w:cs="Calibri"/>
          <w:lang w:val="en-US"/>
        </w:rPr>
        <w:t xml:space="preserve"> of self-evident, easily drawn boundaries separating colonizer and colonized and the idea that Europeans formed an easily identifiable ‘social entity with common class interests, racial attributes, political affinities and superior culture’.</w:t>
      </w:r>
      <w:r w:rsidRPr="00DF685B">
        <w:rPr>
          <w:rFonts w:cs="Calibri"/>
          <w:vertAlign w:val="superscript"/>
          <w:lang w:val="en-US"/>
        </w:rPr>
        <w:footnoteReference w:id="92"/>
      </w:r>
      <w:r w:rsidRPr="00DF685B">
        <w:rPr>
          <w:rFonts w:cs="Calibri"/>
          <w:lang w:val="en-US"/>
        </w:rPr>
        <w:t xml:space="preserve"> </w:t>
      </w:r>
      <w:r>
        <w:rPr>
          <w:rFonts w:cs="Calibri"/>
          <w:lang w:val="en-US"/>
        </w:rPr>
        <w:t xml:space="preserve">Yet, in </w:t>
      </w:r>
      <w:r w:rsidRPr="00DF685B">
        <w:rPr>
          <w:rFonts w:cs="Calibri"/>
          <w:lang w:val="en-US"/>
        </w:rPr>
        <w:t xml:space="preserve">the </w:t>
      </w:r>
      <w:r>
        <w:rPr>
          <w:rFonts w:cs="Calibri"/>
          <w:lang w:val="en-US"/>
        </w:rPr>
        <w:t>nineteenth</w:t>
      </w:r>
      <w:r w:rsidRPr="00DF685B">
        <w:rPr>
          <w:rFonts w:cs="Calibri"/>
          <w:lang w:val="en-US"/>
        </w:rPr>
        <w:t xml:space="preserve"> and</w:t>
      </w:r>
      <w:r>
        <w:rPr>
          <w:rFonts w:cs="Calibri"/>
          <w:lang w:val="en-US"/>
        </w:rPr>
        <w:t xml:space="preserve"> the early</w:t>
      </w:r>
      <w:r w:rsidRPr="00DF685B">
        <w:rPr>
          <w:rFonts w:cs="Calibri"/>
          <w:lang w:val="en-US"/>
        </w:rPr>
        <w:t xml:space="preserve"> </w:t>
      </w:r>
      <w:r>
        <w:rPr>
          <w:rFonts w:cs="Calibri"/>
          <w:lang w:val="en-US"/>
        </w:rPr>
        <w:t>twentieth</w:t>
      </w:r>
      <w:r w:rsidRPr="00DF685B">
        <w:rPr>
          <w:rFonts w:cs="Calibri"/>
          <w:lang w:val="en-US"/>
        </w:rPr>
        <w:t xml:space="preserve"> century, the Dutch East Indies was a layered society, with a great variety in ethnicity, class, religion, language and culture. </w:t>
      </w:r>
      <w:r>
        <w:rPr>
          <w:rFonts w:cs="Calibri"/>
          <w:lang w:val="en-US"/>
        </w:rPr>
        <w:t>There</w:t>
      </w:r>
      <w:r w:rsidRPr="00DF685B">
        <w:rPr>
          <w:rFonts w:cs="Calibri"/>
          <w:lang w:val="en-US"/>
        </w:rPr>
        <w:t xml:space="preserve"> could never exist a strict, singular colonial hierarchy, due to the many </w:t>
      </w:r>
      <w:r>
        <w:rPr>
          <w:rFonts w:cs="Calibri"/>
          <w:lang w:val="en-US"/>
        </w:rPr>
        <w:t>native-born</w:t>
      </w:r>
      <w:r w:rsidRPr="00DF685B">
        <w:rPr>
          <w:rFonts w:cs="Calibri"/>
          <w:lang w:val="en-US"/>
        </w:rPr>
        <w:t xml:space="preserve"> Indo-Europeans, the abundant variations in class and wealth, and the plurality of colonial governance.</w:t>
      </w:r>
      <w:r w:rsidRPr="00DF685B">
        <w:rPr>
          <w:rFonts w:cs="Calibri"/>
          <w:vertAlign w:val="superscript"/>
          <w:lang w:val="en-US"/>
        </w:rPr>
        <w:footnoteReference w:id="93"/>
      </w:r>
      <w:r w:rsidRPr="00DF685B">
        <w:rPr>
          <w:rFonts w:cs="Calibri"/>
          <w:lang w:val="en-US"/>
        </w:rPr>
        <w:t xml:space="preserve"> </w:t>
      </w:r>
      <w:r>
        <w:rPr>
          <w:rFonts w:cs="Calibri"/>
          <w:lang w:val="en-US"/>
        </w:rPr>
        <w:t>Society was</w:t>
      </w:r>
      <w:r w:rsidRPr="001D6CB4">
        <w:rPr>
          <w:rFonts w:cs="Calibri"/>
          <w:lang w:val="en-US"/>
        </w:rPr>
        <w:t xml:space="preserve"> made up of social categories </w:t>
      </w:r>
      <w:r>
        <w:rPr>
          <w:rFonts w:cs="Calibri"/>
          <w:lang w:val="en-US"/>
        </w:rPr>
        <w:t>that</w:t>
      </w:r>
      <w:r w:rsidRPr="001D6CB4">
        <w:rPr>
          <w:rFonts w:cs="Calibri"/>
          <w:lang w:val="en-US"/>
        </w:rPr>
        <w:t xml:space="preserve"> shift</w:t>
      </w:r>
      <w:r>
        <w:rPr>
          <w:rFonts w:cs="Calibri"/>
          <w:lang w:val="en-US"/>
        </w:rPr>
        <w:t>ed</w:t>
      </w:r>
      <w:r w:rsidRPr="001D6CB4">
        <w:rPr>
          <w:rFonts w:cs="Calibri"/>
          <w:lang w:val="en-US"/>
        </w:rPr>
        <w:t xml:space="preserve"> throughout history and </w:t>
      </w:r>
      <w:r>
        <w:rPr>
          <w:rFonts w:cs="Calibri"/>
          <w:lang w:val="en-US"/>
        </w:rPr>
        <w:t>were</w:t>
      </w:r>
      <w:r w:rsidRPr="001D6CB4">
        <w:rPr>
          <w:rFonts w:cs="Calibri"/>
          <w:lang w:val="en-US"/>
        </w:rPr>
        <w:t xml:space="preserve"> never static.</w:t>
      </w:r>
      <w:r w:rsidRPr="001D6CB4">
        <w:rPr>
          <w:rStyle w:val="FootnoteReference"/>
          <w:rFonts w:cs="Calibri"/>
          <w:lang w:val="en-US"/>
        </w:rPr>
        <w:footnoteReference w:id="94"/>
      </w:r>
      <w:r w:rsidRPr="001D6CB4">
        <w:rPr>
          <w:rFonts w:cs="Calibri"/>
          <w:lang w:val="en-US"/>
        </w:rPr>
        <w:t xml:space="preserve"> Who was to be classified or racialized as ‘European’ in the Dutch East Indies society was not merely based on skin color: it was assessed through ‘judgments of reason, affective appropriateness and sense of morality’.</w:t>
      </w:r>
      <w:r w:rsidRPr="001D6CB4">
        <w:rPr>
          <w:rStyle w:val="FootnoteReference"/>
          <w:rFonts w:cs="Calibri"/>
          <w:lang w:val="en-US"/>
        </w:rPr>
        <w:footnoteReference w:id="95"/>
      </w:r>
      <w:r w:rsidRPr="001D6CB4">
        <w:rPr>
          <w:rFonts w:cs="Calibri"/>
          <w:lang w:val="en-US"/>
        </w:rPr>
        <w:t xml:space="preserve"> However, this does not mean that in colonial society, there existed a homogen</w:t>
      </w:r>
      <w:r>
        <w:rPr>
          <w:rFonts w:cs="Calibri"/>
          <w:lang w:val="en-US"/>
        </w:rPr>
        <w:t>e</w:t>
      </w:r>
      <w:r w:rsidRPr="001D6CB4">
        <w:rPr>
          <w:rFonts w:cs="Calibri"/>
          <w:lang w:val="en-US"/>
        </w:rPr>
        <w:t>ous European community – the community in itself contained social categories, separating its members by class and moral standards.</w:t>
      </w:r>
      <w:r w:rsidRPr="001D6CB4">
        <w:rPr>
          <w:rStyle w:val="FootnoteReference"/>
          <w:rFonts w:cs="Calibri"/>
          <w:lang w:val="en-US"/>
        </w:rPr>
        <w:footnoteReference w:id="96"/>
      </w:r>
      <w:r w:rsidRPr="001D6CB4">
        <w:rPr>
          <w:rFonts w:cs="Calibri"/>
          <w:lang w:val="en-US"/>
        </w:rPr>
        <w:t xml:space="preserve"> Stoler writes in this regard: </w:t>
      </w:r>
    </w:p>
    <w:p w14:paraId="52602F6E" w14:textId="77777777" w:rsidR="009847E8" w:rsidRDefault="009847E8" w:rsidP="002D6DB8">
      <w:pPr>
        <w:pStyle w:val="Maxhoofdtekst"/>
        <w:spacing w:line="276" w:lineRule="auto"/>
        <w:ind w:left="708"/>
        <w:rPr>
          <w:rFonts w:cs="Calibri"/>
          <w:lang w:val="en-US"/>
        </w:rPr>
      </w:pPr>
      <w:r>
        <w:rPr>
          <w:rFonts w:cs="Calibri"/>
          <w:lang w:val="en-US"/>
        </w:rPr>
        <w:t>‘</w:t>
      </w:r>
      <w:r w:rsidRPr="001D6CB4">
        <w:rPr>
          <w:rFonts w:cs="Calibri"/>
          <w:lang w:val="en-US"/>
        </w:rPr>
        <w:t>Racist ideology, fear of the Other, preoccupation with white prestige, and obsession with protecting European women from sexual assault by Asian men were not simply justifications for continued European rule and white supremacy. They were part of a critical, class-based logic; not only statements about indigenous subversives, but directives aimed at dissenting European underlings; and part of the apparatus that kept potentially recalcitrant white colonials in line.’</w:t>
      </w:r>
      <w:r w:rsidRPr="001D6CB4">
        <w:rPr>
          <w:rStyle w:val="FootnoteReference"/>
          <w:rFonts w:cs="Calibri"/>
          <w:lang w:val="en-US"/>
        </w:rPr>
        <w:footnoteReference w:id="97"/>
      </w:r>
    </w:p>
    <w:p w14:paraId="4F087A08" w14:textId="77777777" w:rsidR="009847E8" w:rsidRPr="00CA0F60" w:rsidRDefault="009847E8" w:rsidP="002D6DB8">
      <w:pPr>
        <w:pStyle w:val="Maxhoofdtekst"/>
        <w:spacing w:line="276" w:lineRule="auto"/>
        <w:ind w:firstLine="284"/>
        <w:rPr>
          <w:rFonts w:cs="Calibri"/>
          <w:lang w:val="en-US"/>
        </w:rPr>
      </w:pPr>
      <w:r>
        <w:rPr>
          <w:rFonts w:cs="Calibri"/>
          <w:lang w:val="en-US"/>
        </w:rPr>
        <w:t>In the Dutch East Indies, t</w:t>
      </w:r>
      <w:r w:rsidRPr="001D6CB4">
        <w:rPr>
          <w:rFonts w:cs="Calibri"/>
          <w:lang w:val="en-US"/>
        </w:rPr>
        <w:t>here is a constant fear among the European population that, despite one’s genetic makeup or the fact that one was born in Europe, one no longer belongs to the authentic European population. The only way to maintain one’s pure European identity was by conforming to bourgeois morality, nationalist sentiments, normalized sexuality, and a strictly defined European environment at school and at home. As Stoler puts it, ‘managements of sexuality followed from efforts to secure a Dutch national identity and compliance with a metropolitan controlled colonial project’.</w:t>
      </w:r>
      <w:r w:rsidRPr="001D6CB4">
        <w:rPr>
          <w:rStyle w:val="FootnoteReference"/>
          <w:rFonts w:cs="Calibri"/>
          <w:lang w:val="en-US"/>
        </w:rPr>
        <w:footnoteReference w:id="98"/>
      </w:r>
      <w:r w:rsidRPr="001D6CB4">
        <w:rPr>
          <w:rFonts w:cs="Calibri"/>
          <w:lang w:val="en-US"/>
        </w:rPr>
        <w:t xml:space="preserve"> The relevance of knowledge of the domestic and the intimate to the colonial state apparatus is therefore that, through the exercise of technologies of sex, the state produced and aimed to enforce racial and class boundaries in society. These technologies entailed, among </w:t>
      </w:r>
      <w:r>
        <w:rPr>
          <w:rFonts w:cs="Calibri"/>
          <w:lang w:val="en-US"/>
        </w:rPr>
        <w:t xml:space="preserve">many </w:t>
      </w:r>
      <w:r w:rsidRPr="001D6CB4">
        <w:rPr>
          <w:rFonts w:cs="Calibri"/>
          <w:lang w:val="en-US"/>
        </w:rPr>
        <w:t xml:space="preserve">others, injunctions </w:t>
      </w:r>
      <w:r w:rsidRPr="001D6CB4">
        <w:rPr>
          <w:rFonts w:cs="Calibri"/>
          <w:lang w:val="en-US"/>
        </w:rPr>
        <w:lastRenderedPageBreak/>
        <w:t xml:space="preserve">against mixed marriages, interventions in both </w:t>
      </w:r>
      <w:r>
        <w:rPr>
          <w:rFonts w:cs="Calibri"/>
          <w:lang w:val="en-US"/>
        </w:rPr>
        <w:t>Indonesian</w:t>
      </w:r>
      <w:r w:rsidRPr="001D6CB4">
        <w:rPr>
          <w:rFonts w:cs="Calibri"/>
          <w:lang w:val="en-US"/>
        </w:rPr>
        <w:t xml:space="preserve"> women’s and European women’s sexuality, the domestic sphere and children’s health, education and sexuality. </w:t>
      </w:r>
      <w:r>
        <w:rPr>
          <w:rFonts w:cs="Calibri"/>
          <w:lang w:val="en-US"/>
        </w:rPr>
        <w:t>T</w:t>
      </w:r>
      <w:r w:rsidRPr="001D6CB4">
        <w:rPr>
          <w:rFonts w:cs="Calibri"/>
          <w:lang w:val="en-US"/>
        </w:rPr>
        <w:t xml:space="preserve">he concubinary arrangements between European men and Asian women were condemned, </w:t>
      </w:r>
      <w:r>
        <w:rPr>
          <w:rFonts w:cs="Calibri"/>
          <w:lang w:val="en-US"/>
        </w:rPr>
        <w:t xml:space="preserve">as well as </w:t>
      </w:r>
      <w:r w:rsidRPr="001D6CB4">
        <w:rPr>
          <w:rFonts w:cs="Calibri"/>
          <w:lang w:val="en-US"/>
        </w:rPr>
        <w:t xml:space="preserve">the social tensions to which they gave rise – namely, children of </w:t>
      </w:r>
      <w:r>
        <w:rPr>
          <w:rFonts w:cs="Calibri"/>
          <w:lang w:val="en-US"/>
        </w:rPr>
        <w:t>multiracialized</w:t>
      </w:r>
      <w:r w:rsidRPr="001D6CB4">
        <w:rPr>
          <w:rFonts w:cs="Calibri"/>
          <w:lang w:val="en-US"/>
        </w:rPr>
        <w:t xml:space="preserve"> descent which blurred colonial categorizations and were seen as a danger to the European community in the Dutch East Indies.</w:t>
      </w:r>
      <w:r w:rsidRPr="001D6CB4">
        <w:rPr>
          <w:rStyle w:val="FootnoteReference"/>
          <w:rFonts w:cs="Calibri"/>
          <w:lang w:val="en-US"/>
        </w:rPr>
        <w:footnoteReference w:id="99"/>
      </w:r>
    </w:p>
    <w:p w14:paraId="133E7467" w14:textId="77777777" w:rsidR="009847E8" w:rsidRPr="006A0F82" w:rsidRDefault="009847E8">
      <w:pPr>
        <w:pStyle w:val="Maxhoofdtekst"/>
        <w:numPr>
          <w:ilvl w:val="1"/>
          <w:numId w:val="5"/>
        </w:numPr>
        <w:spacing w:line="276" w:lineRule="auto"/>
        <w:outlineLvl w:val="1"/>
        <w:rPr>
          <w:rFonts w:cs="Calibri"/>
          <w:b/>
          <w:bCs/>
          <w:lang w:val="en-US"/>
        </w:rPr>
      </w:pPr>
      <w:bookmarkStart w:id="16" w:name="_Toc234183606"/>
      <w:r w:rsidRPr="00991A71">
        <w:rPr>
          <w:rFonts w:cs="Calibri"/>
          <w:b/>
          <w:bCs/>
          <w:lang w:val="en-US"/>
        </w:rPr>
        <w:t>Conclusion</w:t>
      </w:r>
      <w:bookmarkEnd w:id="16"/>
    </w:p>
    <w:p w14:paraId="5E0451AF" w14:textId="77777777" w:rsidR="009847E8" w:rsidRDefault="009847E8" w:rsidP="002D6DB8">
      <w:pPr>
        <w:pStyle w:val="Maxhoofdtekst"/>
        <w:spacing w:line="276" w:lineRule="auto"/>
        <w:ind w:firstLine="284"/>
        <w:rPr>
          <w:rFonts w:cs="Calibri"/>
          <w:lang w:val="en-US"/>
        </w:rPr>
      </w:pPr>
      <w:r>
        <w:rPr>
          <w:rFonts w:cs="Calibri"/>
          <w:lang w:val="en-US"/>
        </w:rPr>
        <w:t>Foucault argues that sexuality is a produced identity through which power is exercised on subjects, and that it is aimed at distinguishing legitimate and illegitimate sexualities. This distinction is racially grounded: it creates a bifurcation into an upper-race and lower-race. Moreover, t</w:t>
      </w:r>
      <w:r w:rsidRPr="001D6CB4">
        <w:rPr>
          <w:rFonts w:cs="Calibri"/>
          <w:lang w:val="en-US"/>
        </w:rPr>
        <w:t>he colonial government and the racial distinctions it used in the Dutch East Indies were fundamentally structured in gendered terms.</w:t>
      </w:r>
      <w:r w:rsidRPr="001D6CB4">
        <w:rPr>
          <w:rStyle w:val="FootnoteReference"/>
          <w:rFonts w:cs="Calibri"/>
          <w:lang w:val="en-US"/>
        </w:rPr>
        <w:footnoteReference w:id="100"/>
      </w:r>
      <w:r>
        <w:rPr>
          <w:rFonts w:cs="Calibri"/>
          <w:lang w:val="en-US"/>
        </w:rPr>
        <w:t xml:space="preserve"> T</w:t>
      </w:r>
      <w:r w:rsidRPr="001D6CB4">
        <w:rPr>
          <w:rFonts w:cs="Calibri"/>
          <w:lang w:val="en-US"/>
        </w:rPr>
        <w:t xml:space="preserve">his gendered dimension to colonial governance is important for understanding the social and legal position of the </w:t>
      </w:r>
      <w:r>
        <w:rPr>
          <w:rFonts w:cs="Calibri"/>
          <w:lang w:val="en-US"/>
        </w:rPr>
        <w:t>Indonesian concubines</w:t>
      </w:r>
      <w:r w:rsidRPr="001D6CB4">
        <w:rPr>
          <w:rFonts w:cs="Calibri"/>
          <w:lang w:val="en-US"/>
        </w:rPr>
        <w:t xml:space="preserve"> in society, and the discourses and the practices through which she could be separated from her children. </w:t>
      </w:r>
    </w:p>
    <w:p w14:paraId="66BE7E3D" w14:textId="77777777" w:rsidR="009847E8" w:rsidRDefault="009847E8" w:rsidP="00703732">
      <w:pPr>
        <w:pStyle w:val="Maxhoofdtekst"/>
        <w:spacing w:line="276" w:lineRule="auto"/>
        <w:ind w:firstLine="284"/>
        <w:rPr>
          <w:rFonts w:cs="Calibri"/>
          <w:lang w:val="en-US"/>
        </w:rPr>
      </w:pPr>
      <w:r w:rsidRPr="001D6CB4">
        <w:rPr>
          <w:rFonts w:cs="Calibri"/>
          <w:lang w:val="en-US"/>
        </w:rPr>
        <w:t xml:space="preserve"> </w:t>
      </w:r>
      <w:r>
        <w:rPr>
          <w:rFonts w:cs="Calibri"/>
          <w:lang w:val="en-US"/>
        </w:rPr>
        <w:t>Stoler</w:t>
      </w:r>
      <w:r w:rsidRPr="001D6CB4">
        <w:rPr>
          <w:rFonts w:cs="Calibri"/>
          <w:lang w:val="en-US"/>
        </w:rPr>
        <w:t xml:space="preserve"> uses Foucault’s notion</w:t>
      </w:r>
      <w:r>
        <w:rPr>
          <w:rFonts w:cs="Calibri"/>
          <w:lang w:val="en-US"/>
        </w:rPr>
        <w:t>s</w:t>
      </w:r>
      <w:r w:rsidRPr="001D6CB4">
        <w:rPr>
          <w:rFonts w:cs="Calibri"/>
          <w:lang w:val="en-US"/>
        </w:rPr>
        <w:t xml:space="preserve"> of biopower, internal racism and sexuality to show how colonial categorizations are produced and enforced through the discursive production of power. Nevertheless, these categorizations were far from naturally determined – they shifted throughout history and were blurred by interracial relationships</w:t>
      </w:r>
      <w:r>
        <w:rPr>
          <w:rFonts w:cs="Calibri"/>
          <w:lang w:val="en-US"/>
        </w:rPr>
        <w:t xml:space="preserve"> and</w:t>
      </w:r>
      <w:r w:rsidRPr="001D6CB4">
        <w:rPr>
          <w:rFonts w:cs="Calibri"/>
          <w:lang w:val="en-US"/>
        </w:rPr>
        <w:t xml:space="preserve"> </w:t>
      </w:r>
      <w:r w:rsidRPr="00C3328E">
        <w:rPr>
          <w:rFonts w:cs="Calibri"/>
          <w:i/>
          <w:iCs/>
          <w:lang w:val="en-US"/>
        </w:rPr>
        <w:t>métissage</w:t>
      </w:r>
      <w:r w:rsidRPr="001D6CB4">
        <w:rPr>
          <w:rFonts w:cs="Calibri"/>
          <w:lang w:val="en-US"/>
        </w:rPr>
        <w:t xml:space="preserve">. Consequently, during the </w:t>
      </w:r>
      <w:r>
        <w:rPr>
          <w:rFonts w:cs="Calibri"/>
          <w:lang w:val="en-US"/>
        </w:rPr>
        <w:t>nineteenth</w:t>
      </w:r>
      <w:r w:rsidRPr="001D6CB4">
        <w:rPr>
          <w:rFonts w:cs="Calibri"/>
          <w:lang w:val="en-US"/>
        </w:rPr>
        <w:t xml:space="preserve"> and </w:t>
      </w:r>
      <w:r>
        <w:rPr>
          <w:rFonts w:cs="Calibri"/>
          <w:lang w:val="en-US"/>
        </w:rPr>
        <w:t>twentieth</w:t>
      </w:r>
      <w:r w:rsidRPr="001D6CB4">
        <w:rPr>
          <w:rFonts w:cs="Calibri"/>
          <w:lang w:val="en-US"/>
        </w:rPr>
        <w:t xml:space="preserve"> century, the colonial government used biopolitical interventions</w:t>
      </w:r>
      <w:r>
        <w:rPr>
          <w:rFonts w:cs="Calibri"/>
          <w:lang w:val="en-US"/>
        </w:rPr>
        <w:t xml:space="preserve"> </w:t>
      </w:r>
      <w:r w:rsidRPr="001D6CB4">
        <w:rPr>
          <w:rFonts w:cs="Calibri"/>
          <w:lang w:val="en-US"/>
        </w:rPr>
        <w:t>– discursive and regulatory practices</w:t>
      </w:r>
      <w:r>
        <w:rPr>
          <w:rFonts w:cs="Calibri"/>
          <w:lang w:val="en-US"/>
        </w:rPr>
        <w:t xml:space="preserve"> </w:t>
      </w:r>
      <w:r w:rsidRPr="001D6CB4">
        <w:rPr>
          <w:rFonts w:cs="Calibri"/>
          <w:lang w:val="en-US"/>
        </w:rPr>
        <w:t xml:space="preserve">– to reinforce racialized distinctions within the population of the Dutch East Indies, and to promote and preserve white, European, bourgeois prestige. Among these were practices of child separation. </w:t>
      </w:r>
    </w:p>
    <w:p w14:paraId="34FDD7EE" w14:textId="77777777" w:rsidR="009847E8" w:rsidRPr="00C3328E" w:rsidRDefault="009847E8" w:rsidP="00703732">
      <w:pPr>
        <w:pStyle w:val="Maxhoofdtekst"/>
        <w:spacing w:line="276" w:lineRule="auto"/>
        <w:ind w:firstLine="284"/>
        <w:rPr>
          <w:lang w:val="en-US"/>
        </w:rPr>
      </w:pPr>
      <w:r>
        <w:rPr>
          <w:lang w:val="en-US"/>
        </w:rPr>
        <w:t>Based on the preceding discussion of Foucault and Stoler, I define a biopolitical technique as an intervention in the colony as a</w:t>
      </w:r>
      <w:r w:rsidRPr="006A0F82">
        <w:rPr>
          <w:lang w:val="en-US"/>
        </w:rPr>
        <w:t xml:space="preserve"> racial and gendered </w:t>
      </w:r>
      <w:r>
        <w:rPr>
          <w:lang w:val="en-US"/>
        </w:rPr>
        <w:t xml:space="preserve">normalizing </w:t>
      </w:r>
      <w:r w:rsidRPr="006A0F82">
        <w:rPr>
          <w:lang w:val="en-US"/>
        </w:rPr>
        <w:t>intervention</w:t>
      </w:r>
      <w:r>
        <w:rPr>
          <w:lang w:val="en-US"/>
        </w:rPr>
        <w:t xml:space="preserve">, </w:t>
      </w:r>
      <w:r w:rsidRPr="006A0F82">
        <w:rPr>
          <w:lang w:val="en-US"/>
        </w:rPr>
        <w:t>aimed at creating and preserving a European, bourgeois identity</w:t>
      </w:r>
      <w:r>
        <w:rPr>
          <w:lang w:val="en-US"/>
        </w:rPr>
        <w:t xml:space="preserve">. </w:t>
      </w:r>
      <w:r>
        <w:rPr>
          <w:rFonts w:cs="Calibri"/>
          <w:lang w:val="en-US"/>
        </w:rPr>
        <w:t xml:space="preserve">In order to answer the main research question, which asks </w:t>
      </w:r>
      <w:r>
        <w:rPr>
          <w:lang w:val="en-US"/>
        </w:rPr>
        <w:t>how</w:t>
      </w:r>
      <w:r w:rsidRPr="00721CF8">
        <w:rPr>
          <w:lang w:val="en-US"/>
        </w:rPr>
        <w:t xml:space="preserve"> practices of racially grounded child separation in the nineteenth- and early twentieth-century Dutch East Indies operate</w:t>
      </w:r>
      <w:r>
        <w:rPr>
          <w:lang w:val="en-US"/>
        </w:rPr>
        <w:t>d</w:t>
      </w:r>
      <w:r w:rsidRPr="00721CF8">
        <w:rPr>
          <w:lang w:val="en-US"/>
        </w:rPr>
        <w:t xml:space="preserve"> as biopolitical techniques for producing and policing colonial distinctions between Europeans and ‘natives’</w:t>
      </w:r>
      <w:r>
        <w:rPr>
          <w:rFonts w:cs="Calibri"/>
          <w:lang w:val="en-US"/>
        </w:rPr>
        <w:t>, I will apply the theoretical framework to the historical record of the Dutch East Indies and argue that</w:t>
      </w:r>
      <w:r w:rsidRPr="001D6CB4">
        <w:rPr>
          <w:rFonts w:cs="Calibri"/>
          <w:lang w:val="en-US"/>
        </w:rPr>
        <w:t xml:space="preserve"> </w:t>
      </w:r>
      <w:r>
        <w:rPr>
          <w:rFonts w:cs="Calibri"/>
          <w:lang w:val="en-US"/>
        </w:rPr>
        <w:t>child separation was used as a</w:t>
      </w:r>
      <w:r w:rsidRPr="001D6CB4">
        <w:rPr>
          <w:rFonts w:cs="Calibri"/>
          <w:lang w:val="en-US"/>
        </w:rPr>
        <w:t xml:space="preserve"> biopolitical </w:t>
      </w:r>
      <w:r>
        <w:rPr>
          <w:rFonts w:cs="Calibri"/>
          <w:lang w:val="en-US"/>
        </w:rPr>
        <w:t>technology</w:t>
      </w:r>
      <w:r w:rsidRPr="001D6CB4">
        <w:rPr>
          <w:rFonts w:cs="Calibri"/>
          <w:lang w:val="en-US"/>
        </w:rPr>
        <w:t xml:space="preserve"> in the Dutch East Indies</w:t>
      </w:r>
      <w:r>
        <w:rPr>
          <w:rFonts w:cs="Calibri"/>
          <w:lang w:val="en-US"/>
        </w:rPr>
        <w:t xml:space="preserve">. In the following chapter, I will outline the history of concubinage and racial categorizations in the Dutch East Indies, in order to contextualize the colonial practice of child separation. </w:t>
      </w:r>
    </w:p>
    <w:p w14:paraId="0951A346" w14:textId="77777777" w:rsidR="009847E8" w:rsidRDefault="009847E8" w:rsidP="002D6DB8">
      <w:pPr>
        <w:pStyle w:val="Maxhoofdtekst"/>
        <w:spacing w:line="276" w:lineRule="auto"/>
        <w:ind w:firstLine="284"/>
        <w:rPr>
          <w:rFonts w:cs="Calibri"/>
          <w:lang w:val="en-US"/>
        </w:rPr>
      </w:pPr>
    </w:p>
    <w:p w14:paraId="1BF177CB" w14:textId="77777777" w:rsidR="009847E8" w:rsidRPr="00703732" w:rsidRDefault="009847E8" w:rsidP="00703732">
      <w:pPr>
        <w:rPr>
          <w:rFonts w:cs="Calibri"/>
          <w:sz w:val="22"/>
          <w:lang w:val="en-US"/>
        </w:rPr>
      </w:pPr>
      <w:r>
        <w:rPr>
          <w:rFonts w:cs="Calibri"/>
          <w:lang w:val="en-US"/>
        </w:rPr>
        <w:br w:type="page"/>
      </w:r>
    </w:p>
    <w:p w14:paraId="198D658A" w14:textId="77777777" w:rsidR="009847E8" w:rsidRPr="00A11F50" w:rsidRDefault="009847E8">
      <w:pPr>
        <w:pStyle w:val="Heading1"/>
        <w:numPr>
          <w:ilvl w:val="0"/>
          <w:numId w:val="5"/>
        </w:numPr>
        <w:spacing w:line="276" w:lineRule="auto"/>
        <w:rPr>
          <w:rFonts w:ascii="Calibri" w:hAnsi="Calibri" w:cs="Calibri"/>
          <w:b/>
          <w:bCs/>
          <w:color w:val="000000" w:themeColor="text1"/>
          <w:sz w:val="22"/>
          <w:szCs w:val="22"/>
          <w:lang w:val="en-US"/>
        </w:rPr>
      </w:pPr>
      <w:bookmarkStart w:id="17" w:name="_Toc234183607"/>
      <w:r w:rsidRPr="00A11F50">
        <w:rPr>
          <w:rFonts w:ascii="Calibri" w:hAnsi="Calibri" w:cs="Calibri"/>
          <w:b/>
          <w:bCs/>
          <w:color w:val="000000" w:themeColor="text1"/>
          <w:sz w:val="22"/>
          <w:szCs w:val="22"/>
          <w:lang w:val="en-US"/>
        </w:rPr>
        <w:lastRenderedPageBreak/>
        <w:t>Arrangements of Concubinage in the Dutch East Indies</w:t>
      </w:r>
      <w:bookmarkEnd w:id="17"/>
      <w:r w:rsidRPr="00A11F50">
        <w:rPr>
          <w:rFonts w:ascii="Calibri" w:hAnsi="Calibri" w:cs="Calibri"/>
          <w:b/>
          <w:bCs/>
          <w:color w:val="000000" w:themeColor="text1"/>
          <w:sz w:val="22"/>
          <w:szCs w:val="22"/>
          <w:lang w:val="en-US"/>
        </w:rPr>
        <w:t xml:space="preserve"> </w:t>
      </w:r>
    </w:p>
    <w:p w14:paraId="607D1AD9"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 xml:space="preserve">During the late </w:t>
      </w:r>
      <w:r>
        <w:rPr>
          <w:rFonts w:cs="Calibri"/>
          <w:lang w:val="en-US"/>
        </w:rPr>
        <w:t>nineteenth</w:t>
      </w:r>
      <w:r w:rsidRPr="001D6CB4">
        <w:rPr>
          <w:rFonts w:cs="Calibri"/>
          <w:lang w:val="en-US"/>
        </w:rPr>
        <w:t xml:space="preserve"> century and early </w:t>
      </w:r>
      <w:r>
        <w:rPr>
          <w:rFonts w:cs="Calibri"/>
          <w:lang w:val="en-US"/>
        </w:rPr>
        <w:t>twentieth</w:t>
      </w:r>
      <w:r w:rsidRPr="001D6CB4">
        <w:rPr>
          <w:rFonts w:cs="Calibri"/>
          <w:lang w:val="en-US"/>
        </w:rPr>
        <w:t xml:space="preserve"> century, interracialized sex and </w:t>
      </w:r>
      <w:r>
        <w:rPr>
          <w:rFonts w:cs="Calibri"/>
          <w:lang w:val="en-US"/>
        </w:rPr>
        <w:t>relationships</w:t>
      </w:r>
      <w:r w:rsidRPr="001D6CB4">
        <w:rPr>
          <w:rFonts w:cs="Calibri"/>
          <w:lang w:val="en-US"/>
        </w:rPr>
        <w:t xml:space="preserve"> were predominantly considered a threat to the prestige of white Europeans in the Dutch East Indies. Nevertheless, intimate relations and sexual arrangement</w:t>
      </w:r>
      <w:r>
        <w:rPr>
          <w:rFonts w:cs="Calibri"/>
          <w:lang w:val="en-US"/>
        </w:rPr>
        <w:t>s</w:t>
      </w:r>
      <w:r w:rsidRPr="001D6CB4">
        <w:rPr>
          <w:rFonts w:cs="Calibri"/>
          <w:lang w:val="en-US"/>
        </w:rPr>
        <w:t xml:space="preserve"> between </w:t>
      </w:r>
      <w:r>
        <w:rPr>
          <w:rFonts w:cs="Calibri"/>
          <w:lang w:val="en-US"/>
        </w:rPr>
        <w:t>Indonesian</w:t>
      </w:r>
      <w:r w:rsidRPr="001D6CB4">
        <w:rPr>
          <w:rFonts w:cs="Calibri"/>
          <w:lang w:val="en-US"/>
        </w:rPr>
        <w:t xml:space="preserve"> women and European men frequently occurred. In this chapter, I </w:t>
      </w:r>
      <w:r>
        <w:rPr>
          <w:rFonts w:cs="Calibri"/>
          <w:lang w:val="en-US"/>
        </w:rPr>
        <w:t>discuss</w:t>
      </w:r>
      <w:r w:rsidRPr="002E530F">
        <w:rPr>
          <w:rFonts w:cs="Calibri"/>
          <w:lang w:val="en-US"/>
        </w:rPr>
        <w:t xml:space="preserve"> </w:t>
      </w:r>
      <w:r>
        <w:rPr>
          <w:rFonts w:cs="Calibri"/>
          <w:lang w:val="en-US"/>
        </w:rPr>
        <w:t>practices of concubinage</w:t>
      </w:r>
      <w:r w:rsidRPr="001D6CB4">
        <w:rPr>
          <w:rFonts w:cs="Calibri"/>
          <w:lang w:val="en-US"/>
        </w:rPr>
        <w:t xml:space="preserve"> in </w:t>
      </w:r>
      <w:r>
        <w:rPr>
          <w:rFonts w:cs="Calibri"/>
          <w:lang w:val="en-US"/>
        </w:rPr>
        <w:t>the Indonesian archipelago</w:t>
      </w:r>
      <w:r w:rsidRPr="001D6CB4">
        <w:rPr>
          <w:rFonts w:cs="Calibri"/>
          <w:lang w:val="en-US"/>
        </w:rPr>
        <w:t xml:space="preserve"> under the colonial rule of the Dutch Kingdom. The first two sections provide a</w:t>
      </w:r>
      <w:r>
        <w:rPr>
          <w:rFonts w:cs="Calibri"/>
          <w:lang w:val="en-US"/>
        </w:rPr>
        <w:t>n outline</w:t>
      </w:r>
      <w:r w:rsidRPr="001D6CB4">
        <w:rPr>
          <w:rFonts w:cs="Calibri"/>
          <w:lang w:val="en-US"/>
        </w:rPr>
        <w:t xml:space="preserve"> of the history of colonial rule in the Dutch East Indies</w:t>
      </w:r>
      <w:r>
        <w:rPr>
          <w:rFonts w:cs="Calibri"/>
          <w:lang w:val="en-US"/>
        </w:rPr>
        <w:t>, concubinary arrangements in the period of the United East India Company (</w:t>
      </w:r>
      <w:r w:rsidRPr="00703732">
        <w:rPr>
          <w:rFonts w:cs="Calibri"/>
          <w:lang w:val="en-US"/>
        </w:rPr>
        <w:t>VOC</w:t>
      </w:r>
      <w:r>
        <w:rPr>
          <w:rFonts w:cs="Calibri"/>
          <w:lang w:val="en-US"/>
        </w:rPr>
        <w:t>), and the continuance of concubinage in the nineteenth century</w:t>
      </w:r>
      <w:r w:rsidRPr="001D6CB4">
        <w:rPr>
          <w:rFonts w:cs="Calibri"/>
          <w:lang w:val="en-US"/>
        </w:rPr>
        <w:t xml:space="preserve">. In the third section, I </w:t>
      </w:r>
      <w:r>
        <w:rPr>
          <w:rFonts w:cs="Calibri"/>
          <w:lang w:val="en-US"/>
        </w:rPr>
        <w:t>analyze</w:t>
      </w:r>
      <w:r w:rsidRPr="001D6CB4">
        <w:rPr>
          <w:rFonts w:cs="Calibri"/>
          <w:lang w:val="en-US"/>
        </w:rPr>
        <w:t xml:space="preserve"> </w:t>
      </w:r>
      <w:r>
        <w:rPr>
          <w:rFonts w:cs="Calibri"/>
          <w:lang w:val="en-US"/>
        </w:rPr>
        <w:t xml:space="preserve">racialized hierarchies </w:t>
      </w:r>
      <w:r w:rsidRPr="001D6CB4">
        <w:rPr>
          <w:rFonts w:cs="Calibri"/>
          <w:lang w:val="en-US"/>
        </w:rPr>
        <w:t>in the Indies</w:t>
      </w:r>
      <w:r>
        <w:rPr>
          <w:rFonts w:cs="Calibri"/>
          <w:lang w:val="en-US"/>
        </w:rPr>
        <w:t xml:space="preserve"> and</w:t>
      </w:r>
      <w:r w:rsidRPr="001D6CB4">
        <w:rPr>
          <w:rFonts w:cs="Calibri"/>
          <w:lang w:val="en-US"/>
        </w:rPr>
        <w:t xml:space="preserve"> demonstrate how the sexual and affective arrangements between </w:t>
      </w:r>
      <w:r>
        <w:rPr>
          <w:rFonts w:cs="Calibri"/>
          <w:lang w:val="en-US"/>
        </w:rPr>
        <w:t>Indonesian</w:t>
      </w:r>
      <w:r w:rsidRPr="001D6CB4">
        <w:rPr>
          <w:rFonts w:cs="Calibri"/>
          <w:lang w:val="en-US"/>
        </w:rPr>
        <w:t xml:space="preserve"> women and European men were </w:t>
      </w:r>
      <w:r>
        <w:rPr>
          <w:rFonts w:cs="Calibri"/>
          <w:lang w:val="en-US"/>
        </w:rPr>
        <w:t>both shaped</w:t>
      </w:r>
      <w:r w:rsidRPr="002E530F">
        <w:rPr>
          <w:rFonts w:cs="Calibri"/>
          <w:lang w:val="en-US"/>
        </w:rPr>
        <w:t xml:space="preserve"> by </w:t>
      </w:r>
      <w:r w:rsidRPr="001D6CB4">
        <w:rPr>
          <w:rFonts w:cs="Calibri"/>
          <w:lang w:val="en-US"/>
        </w:rPr>
        <w:t>racialized colonial categori</w:t>
      </w:r>
      <w:r>
        <w:rPr>
          <w:rFonts w:cs="Calibri"/>
          <w:lang w:val="en-US"/>
        </w:rPr>
        <w:t>es</w:t>
      </w:r>
      <w:r w:rsidRPr="002E530F">
        <w:rPr>
          <w:rFonts w:cs="Calibri"/>
          <w:lang w:val="en-US"/>
        </w:rPr>
        <w:t xml:space="preserve"> and</w:t>
      </w:r>
      <w:r>
        <w:rPr>
          <w:rFonts w:cs="Calibri"/>
          <w:lang w:val="en-US"/>
        </w:rPr>
        <w:t>, in turn,</w:t>
      </w:r>
      <w:r w:rsidRPr="002E530F">
        <w:rPr>
          <w:rFonts w:cs="Calibri"/>
          <w:lang w:val="en-US"/>
        </w:rPr>
        <w:t xml:space="preserve"> blurred</w:t>
      </w:r>
      <w:r>
        <w:rPr>
          <w:rFonts w:cs="Calibri"/>
          <w:lang w:val="en-US"/>
        </w:rPr>
        <w:t xml:space="preserve"> them</w:t>
      </w:r>
      <w:r w:rsidRPr="001D6CB4">
        <w:rPr>
          <w:rFonts w:cs="Calibri"/>
          <w:lang w:val="en-US"/>
        </w:rPr>
        <w:t>.</w:t>
      </w:r>
      <w:r>
        <w:rPr>
          <w:rFonts w:cs="Calibri"/>
          <w:lang w:val="en-US"/>
        </w:rPr>
        <w:t xml:space="preserve"> Throughout this chapter, I demonstrate that varying technologies of sex were employed, aimed at the preservation of the European bourgeois race and prestige, following the theoretical framework of chapter 1. </w:t>
      </w:r>
    </w:p>
    <w:p w14:paraId="3A7BEE1E" w14:textId="77777777" w:rsidR="009847E8" w:rsidRPr="001D6CB4" w:rsidRDefault="009847E8">
      <w:pPr>
        <w:pStyle w:val="Maxhoofdtekst"/>
        <w:numPr>
          <w:ilvl w:val="1"/>
          <w:numId w:val="5"/>
        </w:numPr>
        <w:spacing w:line="276" w:lineRule="auto"/>
        <w:outlineLvl w:val="1"/>
        <w:rPr>
          <w:rFonts w:cs="Calibri"/>
          <w:b/>
          <w:bCs/>
          <w:lang w:val="en-US"/>
        </w:rPr>
      </w:pPr>
      <w:bookmarkStart w:id="18" w:name="_Toc234183608"/>
      <w:r w:rsidRPr="001D6CB4">
        <w:rPr>
          <w:rFonts w:cs="Calibri"/>
          <w:b/>
          <w:bCs/>
          <w:lang w:val="en-US"/>
        </w:rPr>
        <w:t>The Dutch East India Company and the emergence of the njai</w:t>
      </w:r>
      <w:bookmarkEnd w:id="18"/>
      <w:r w:rsidRPr="001D6CB4">
        <w:rPr>
          <w:rFonts w:cs="Calibri"/>
          <w:b/>
          <w:bCs/>
          <w:lang w:val="en-US"/>
        </w:rPr>
        <w:t xml:space="preserve"> </w:t>
      </w:r>
    </w:p>
    <w:p w14:paraId="3F6AD555" w14:textId="77777777" w:rsidR="009847E8" w:rsidRPr="00A11F50" w:rsidRDefault="009847E8">
      <w:pPr>
        <w:pStyle w:val="Maxhoofdtekst"/>
        <w:numPr>
          <w:ilvl w:val="2"/>
          <w:numId w:val="5"/>
        </w:numPr>
        <w:spacing w:line="276" w:lineRule="auto"/>
        <w:outlineLvl w:val="2"/>
        <w:rPr>
          <w:rFonts w:cs="Calibri"/>
          <w:lang w:val="en-US"/>
        </w:rPr>
      </w:pPr>
      <w:bookmarkStart w:id="19" w:name="_Toc234183609"/>
      <w:r w:rsidRPr="00A11F50">
        <w:rPr>
          <w:rFonts w:cs="Calibri"/>
          <w:lang w:val="en-US"/>
        </w:rPr>
        <w:t>The VOC and its establishment</w:t>
      </w:r>
      <w:bookmarkEnd w:id="19"/>
    </w:p>
    <w:p w14:paraId="0086EEF5"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 xml:space="preserve">At the turn of the </w:t>
      </w:r>
      <w:r>
        <w:rPr>
          <w:rFonts w:cs="Calibri"/>
          <w:lang w:val="en-US"/>
        </w:rPr>
        <w:t>sixteenth</w:t>
      </w:r>
      <w:r w:rsidRPr="001D6CB4">
        <w:rPr>
          <w:rFonts w:cs="Calibri"/>
          <w:lang w:val="en-US"/>
        </w:rPr>
        <w:t xml:space="preserve"> century, European merchants travelled to Asia, in search of profit from the spice trade.</w:t>
      </w:r>
      <w:r w:rsidRPr="001D6CB4">
        <w:rPr>
          <w:rStyle w:val="FootnoteReference"/>
          <w:rFonts w:cs="Calibri"/>
          <w:lang w:val="en-US"/>
        </w:rPr>
        <w:footnoteReference w:id="101"/>
      </w:r>
      <w:r w:rsidRPr="001D6CB4">
        <w:rPr>
          <w:rFonts w:cs="Calibri"/>
          <w:lang w:val="en-US"/>
        </w:rPr>
        <w:t xml:space="preserve"> Among them were Dutch trading companies, that later united to form the </w:t>
      </w:r>
      <w:r w:rsidRPr="00703732">
        <w:rPr>
          <w:rFonts w:cs="Calibri"/>
          <w:lang w:val="en-US"/>
        </w:rPr>
        <w:t>VOC</w:t>
      </w:r>
      <w:r>
        <w:rPr>
          <w:rFonts w:cs="Calibri"/>
          <w:lang w:val="en-US"/>
        </w:rPr>
        <w:t xml:space="preserve"> </w:t>
      </w:r>
      <w:r w:rsidRPr="001D6CB4">
        <w:rPr>
          <w:rFonts w:cs="Calibri"/>
          <w:lang w:val="en-US"/>
        </w:rPr>
        <w:t>in 1602.</w:t>
      </w:r>
      <w:r w:rsidRPr="001D6CB4">
        <w:rPr>
          <w:rStyle w:val="FootnoteReference"/>
          <w:rFonts w:cs="Calibri"/>
          <w:lang w:val="en-US"/>
        </w:rPr>
        <w:footnoteReference w:id="102"/>
      </w:r>
      <w:r w:rsidRPr="001D6CB4">
        <w:rPr>
          <w:rFonts w:cs="Calibri"/>
          <w:lang w:val="en-US"/>
        </w:rPr>
        <w:t xml:space="preserve"> This new company grew immensely by conquering trading ports across the Indonesian archipelago and the Indian Ocean.</w:t>
      </w:r>
      <w:r w:rsidRPr="001D6CB4">
        <w:rPr>
          <w:rStyle w:val="FootnoteReference"/>
          <w:rFonts w:cs="Calibri"/>
          <w:lang w:val="en-US"/>
        </w:rPr>
        <w:footnoteReference w:id="103"/>
      </w:r>
      <w:r w:rsidRPr="001D6CB4">
        <w:rPr>
          <w:rFonts w:cs="Calibri"/>
          <w:lang w:val="en-US"/>
        </w:rPr>
        <w:t xml:space="preserve"> However, its conquests and monopolization of the Indonesian spice trade were accompanied by extreme violence. For instance, Jan Pieterszoon Coen, the VOC’s fourth governor-general, ordered the genocide of the Banda archipelago population in 1621 after discovering that they were still selling nutmeg to other companies.</w:t>
      </w:r>
      <w:r w:rsidRPr="001D6CB4">
        <w:rPr>
          <w:rStyle w:val="FootnoteReference"/>
          <w:rFonts w:cs="Calibri"/>
          <w:lang w:val="en-US"/>
        </w:rPr>
        <w:footnoteReference w:id="104"/>
      </w:r>
      <w:r w:rsidRPr="001D6CB4">
        <w:rPr>
          <w:rFonts w:cs="Calibri"/>
          <w:lang w:val="en-US"/>
        </w:rPr>
        <w:t xml:space="preserve"> Between 10,000 and 15,000 people were killed. </w:t>
      </w:r>
    </w:p>
    <w:p w14:paraId="5389CEA5"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The European population in the Indies was limited to merchants and their personnel – there was no real settled European culture or community.</w:t>
      </w:r>
      <w:r w:rsidRPr="001D6CB4">
        <w:rPr>
          <w:rStyle w:val="FootnoteReference"/>
          <w:rFonts w:cs="Calibri"/>
          <w:lang w:val="en-US"/>
        </w:rPr>
        <w:footnoteReference w:id="105"/>
      </w:r>
      <w:r w:rsidRPr="001D6CB4">
        <w:rPr>
          <w:rFonts w:cs="Calibri"/>
          <w:lang w:val="en-US"/>
        </w:rPr>
        <w:t xml:space="preserve"> The VOC</w:t>
      </w:r>
      <w:r>
        <w:rPr>
          <w:rFonts w:cs="Calibri"/>
          <w:lang w:val="en-US"/>
        </w:rPr>
        <w:t>-</w:t>
      </w:r>
      <w:r w:rsidRPr="001D6CB4">
        <w:rPr>
          <w:rFonts w:cs="Calibri"/>
          <w:lang w:val="en-US"/>
        </w:rPr>
        <w:t>administration contemplated the settlement of a Dutch colony in the Indonesian archipelago but ultimately refrained from doing so, fearing that the durable settlement of Dutch citizens in the Indies would ultimately undermine the interests of the company.</w:t>
      </w:r>
      <w:r w:rsidRPr="001D6CB4">
        <w:rPr>
          <w:rStyle w:val="FootnoteReference"/>
          <w:rFonts w:cs="Calibri"/>
          <w:lang w:val="en-US"/>
        </w:rPr>
        <w:footnoteReference w:id="106"/>
      </w:r>
      <w:r w:rsidRPr="001D6CB4">
        <w:rPr>
          <w:rFonts w:cs="Calibri"/>
          <w:lang w:val="en-US"/>
        </w:rPr>
        <w:t xml:space="preserve"> The European population in the Dutch East Indies thus remained an administrative society, mainly consisting of VOC</w:t>
      </w:r>
      <w:r>
        <w:rPr>
          <w:rFonts w:cs="Calibri"/>
          <w:lang w:val="en-US"/>
        </w:rPr>
        <w:t>-</w:t>
      </w:r>
      <w:r w:rsidRPr="001D6CB4">
        <w:rPr>
          <w:rFonts w:cs="Calibri"/>
          <w:lang w:val="en-US"/>
        </w:rPr>
        <w:t>employees and later colonial government officials.</w:t>
      </w:r>
      <w:r w:rsidRPr="001D6CB4">
        <w:rPr>
          <w:rStyle w:val="FootnoteReference"/>
          <w:rFonts w:cs="Calibri"/>
          <w:lang w:val="en-US"/>
        </w:rPr>
        <w:footnoteReference w:id="107"/>
      </w:r>
      <w:r w:rsidRPr="001D6CB4">
        <w:rPr>
          <w:rFonts w:cs="Calibri"/>
          <w:lang w:val="en-US"/>
        </w:rPr>
        <w:t xml:space="preserve"> </w:t>
      </w:r>
      <w:r w:rsidRPr="001D6CB4">
        <w:rPr>
          <w:rFonts w:cs="Calibri"/>
          <w:lang w:val="en-US"/>
        </w:rPr>
        <w:lastRenderedPageBreak/>
        <w:t xml:space="preserve">It was not until the </w:t>
      </w:r>
      <w:r>
        <w:rPr>
          <w:rFonts w:cs="Calibri"/>
          <w:lang w:val="en-US"/>
        </w:rPr>
        <w:t>nineteenth century</w:t>
      </w:r>
      <w:r w:rsidRPr="001D6CB4">
        <w:rPr>
          <w:rFonts w:cs="Calibri"/>
          <w:lang w:val="en-US"/>
        </w:rPr>
        <w:t xml:space="preserve"> that the Dutch East Indies became a settlement where the Dutch ruler aimed to establish a European civilization.</w:t>
      </w:r>
      <w:r w:rsidRPr="001D6CB4">
        <w:rPr>
          <w:rStyle w:val="FootnoteReference"/>
          <w:rFonts w:cs="Calibri"/>
          <w:lang w:val="en-US"/>
        </w:rPr>
        <w:footnoteReference w:id="108"/>
      </w:r>
      <w:r w:rsidRPr="001D6CB4">
        <w:rPr>
          <w:rFonts w:cs="Calibri"/>
          <w:lang w:val="en-US"/>
        </w:rPr>
        <w:t xml:space="preserve"> </w:t>
      </w:r>
    </w:p>
    <w:p w14:paraId="68C97F22" w14:textId="77777777" w:rsidR="009847E8" w:rsidRPr="00A11F50" w:rsidRDefault="009847E8">
      <w:pPr>
        <w:pStyle w:val="Maxhoofdtekst"/>
        <w:numPr>
          <w:ilvl w:val="2"/>
          <w:numId w:val="5"/>
        </w:numPr>
        <w:spacing w:line="276" w:lineRule="auto"/>
        <w:outlineLvl w:val="2"/>
        <w:rPr>
          <w:rFonts w:cs="Calibri"/>
          <w:lang w:val="en-US"/>
        </w:rPr>
      </w:pPr>
      <w:bookmarkStart w:id="20" w:name="_Toc234183610"/>
      <w:r w:rsidRPr="00A11F50">
        <w:rPr>
          <w:rFonts w:cs="Calibri"/>
          <w:lang w:val="en-US"/>
        </w:rPr>
        <w:t>Concubinage in VOC</w:t>
      </w:r>
      <w:r>
        <w:rPr>
          <w:rFonts w:cs="Calibri"/>
          <w:lang w:val="en-US"/>
        </w:rPr>
        <w:t>-</w:t>
      </w:r>
      <w:r w:rsidRPr="00A11F50">
        <w:rPr>
          <w:rFonts w:cs="Calibri"/>
          <w:lang w:val="en-US"/>
        </w:rPr>
        <w:t>society</w:t>
      </w:r>
      <w:bookmarkEnd w:id="20"/>
    </w:p>
    <w:p w14:paraId="151F35F0" w14:textId="77777777" w:rsidR="009847E8" w:rsidRDefault="009847E8" w:rsidP="000D6B84">
      <w:pPr>
        <w:pStyle w:val="Maxhoofdtekst"/>
        <w:spacing w:line="276" w:lineRule="auto"/>
        <w:ind w:firstLine="284"/>
        <w:rPr>
          <w:rFonts w:cs="Calibri"/>
          <w:lang w:val="en-US"/>
        </w:rPr>
      </w:pPr>
      <w:r w:rsidRPr="001D6CB4">
        <w:rPr>
          <w:rFonts w:cs="Calibri"/>
          <w:lang w:val="en-US"/>
        </w:rPr>
        <w:t>Concubinage between European men and Asian women occurred from the moment the VOC settled in the Indonesian archipelago.</w:t>
      </w:r>
      <w:r w:rsidRPr="001D6CB4">
        <w:rPr>
          <w:rStyle w:val="FootnoteReference"/>
          <w:rFonts w:cs="Calibri"/>
          <w:lang w:val="en-US"/>
        </w:rPr>
        <w:footnoteReference w:id="109"/>
      </w:r>
      <w:r w:rsidRPr="001D6CB4">
        <w:rPr>
          <w:rFonts w:cs="Calibri"/>
          <w:lang w:val="en-US"/>
        </w:rPr>
        <w:t xml:space="preserve"> Concubinage</w:t>
      </w:r>
      <w:r>
        <w:rPr>
          <w:rFonts w:cs="Calibri"/>
          <w:lang w:val="en-US"/>
        </w:rPr>
        <w:t xml:space="preserve"> mainly</w:t>
      </w:r>
      <w:r w:rsidRPr="001D6CB4">
        <w:rPr>
          <w:rFonts w:cs="Calibri"/>
          <w:lang w:val="en-US"/>
        </w:rPr>
        <w:t xml:space="preserve"> refers to cohabitation outside marriage between European men and Asian women</w:t>
      </w:r>
      <w:r>
        <w:rPr>
          <w:rFonts w:cs="Calibri"/>
          <w:lang w:val="en-US"/>
        </w:rPr>
        <w:t>, where women were forced to provide both household and sexual services</w:t>
      </w:r>
      <w:r w:rsidRPr="001D6CB4">
        <w:rPr>
          <w:rFonts w:cs="Calibri"/>
          <w:lang w:val="en-US"/>
        </w:rPr>
        <w:t>.</w:t>
      </w:r>
      <w:r>
        <w:rPr>
          <w:rStyle w:val="FootnoteReference"/>
          <w:rFonts w:cs="Calibri"/>
          <w:lang w:val="en-US"/>
        </w:rPr>
        <w:footnoteReference w:id="110"/>
      </w:r>
      <w:r w:rsidRPr="001D6CB4">
        <w:rPr>
          <w:rFonts w:cs="Calibri"/>
          <w:lang w:val="en-US"/>
        </w:rPr>
        <w:t xml:space="preserve"> However, as Stoler notes, ‘the term ambiguously covers a wide range of arrangements that included sexual access to a non-European woman as well as demands on her labor and legal rights to the children she bore.’</w:t>
      </w:r>
      <w:r w:rsidRPr="001D6CB4">
        <w:rPr>
          <w:rStyle w:val="FootnoteReference"/>
          <w:rFonts w:cs="Calibri"/>
          <w:lang w:val="en-US"/>
        </w:rPr>
        <w:footnoteReference w:id="111"/>
      </w:r>
      <w:r w:rsidRPr="001D6CB4">
        <w:rPr>
          <w:rFonts w:cs="Calibri"/>
          <w:lang w:val="en-US"/>
        </w:rPr>
        <w:t xml:space="preserve"> The VOC</w:t>
      </w:r>
      <w:r>
        <w:rPr>
          <w:rFonts w:cs="Calibri"/>
          <w:lang w:val="en-US"/>
        </w:rPr>
        <w:t>-</w:t>
      </w:r>
      <w:r w:rsidRPr="001D6CB4">
        <w:rPr>
          <w:rFonts w:cs="Calibri"/>
          <w:lang w:val="en-US"/>
        </w:rPr>
        <w:t>settlements were quite masculine societies, consisting mainly of young, unwed men. The colonial government feared that</w:t>
      </w:r>
      <w:r>
        <w:rPr>
          <w:rFonts w:cs="Calibri"/>
          <w:lang w:val="en-US"/>
        </w:rPr>
        <w:t>, with the absence of European women and the impossibility of white endogamy, men would enter into carnal relations with other men.</w:t>
      </w:r>
      <w:r>
        <w:rPr>
          <w:rStyle w:val="FootnoteReference"/>
          <w:rFonts w:cs="Calibri"/>
          <w:lang w:val="en-US"/>
        </w:rPr>
        <w:footnoteReference w:id="112"/>
      </w:r>
      <w:r w:rsidRPr="001D6CB4">
        <w:rPr>
          <w:rFonts w:cs="Calibri"/>
          <w:lang w:val="en-US"/>
        </w:rPr>
        <w:t xml:space="preserve"> As a ‘solution’, VOC</w:t>
      </w:r>
      <w:r>
        <w:rPr>
          <w:rFonts w:cs="Calibri"/>
          <w:lang w:val="en-US"/>
        </w:rPr>
        <w:t>-</w:t>
      </w:r>
      <w:r w:rsidRPr="001D6CB4">
        <w:rPr>
          <w:rFonts w:cs="Calibri"/>
          <w:lang w:val="en-US"/>
        </w:rPr>
        <w:t xml:space="preserve">merchants were allowed to take an Asian concubine – a </w:t>
      </w:r>
      <w:r>
        <w:rPr>
          <w:rFonts w:cs="Calibri"/>
          <w:lang w:val="en-US"/>
        </w:rPr>
        <w:t>‘</w:t>
      </w:r>
      <w:r w:rsidRPr="005C3389">
        <w:rPr>
          <w:rFonts w:cs="Calibri"/>
          <w:lang w:val="en-US"/>
        </w:rPr>
        <w:t>njai</w:t>
      </w:r>
      <w:r>
        <w:rPr>
          <w:rFonts w:cs="Calibri"/>
          <w:lang w:val="en-US"/>
        </w:rPr>
        <w:t>’</w:t>
      </w:r>
      <w:r w:rsidRPr="001D6CB4">
        <w:rPr>
          <w:rFonts w:cs="Calibri"/>
          <w:lang w:val="en-US"/>
        </w:rPr>
        <w:t>.</w:t>
      </w:r>
      <w:r w:rsidRPr="001D6CB4">
        <w:rPr>
          <w:rStyle w:val="FootnoteReference"/>
          <w:rFonts w:cs="Calibri"/>
          <w:lang w:val="en-US"/>
        </w:rPr>
        <w:footnoteReference w:id="113"/>
      </w:r>
      <w:r>
        <w:rPr>
          <w:rFonts w:cs="Calibri"/>
          <w:lang w:val="en-US"/>
        </w:rPr>
        <w:t xml:space="preserve"> Such arrangements were considered to be the lesser evil compared to homosexuality. </w:t>
      </w:r>
    </w:p>
    <w:p w14:paraId="6964F1F4" w14:textId="77777777" w:rsidR="009847E8" w:rsidRDefault="009847E8" w:rsidP="000D6B84">
      <w:pPr>
        <w:pStyle w:val="Maxhoofdtekst"/>
        <w:spacing w:line="276" w:lineRule="auto"/>
        <w:ind w:firstLine="284"/>
        <w:rPr>
          <w:rFonts w:cs="Calibri"/>
          <w:lang w:val="en-US"/>
        </w:rPr>
      </w:pPr>
      <w:r w:rsidRPr="001D6CB4">
        <w:rPr>
          <w:rFonts w:cs="Calibri"/>
          <w:lang w:val="en-US"/>
        </w:rPr>
        <w:t>Many njai women were enslaved under enforced concubinage.</w:t>
      </w:r>
      <w:r w:rsidRPr="001D6CB4">
        <w:rPr>
          <w:rStyle w:val="FootnoteReference"/>
          <w:rFonts w:cs="Calibri"/>
          <w:lang w:val="en-US"/>
        </w:rPr>
        <w:footnoteReference w:id="114"/>
      </w:r>
      <w:r w:rsidRPr="001D6CB4">
        <w:rPr>
          <w:rFonts w:cs="Calibri"/>
          <w:lang w:val="en-US"/>
        </w:rPr>
        <w:t xml:space="preserve"> </w:t>
      </w:r>
      <w:r>
        <w:rPr>
          <w:rFonts w:cs="Calibri"/>
          <w:lang w:val="en-US"/>
        </w:rPr>
        <w:t>Concubines were often living in chattel slavery, as European men sought out sexual partners at the local slave markets.</w:t>
      </w:r>
      <w:r>
        <w:rPr>
          <w:rStyle w:val="FootnoteReference"/>
          <w:rFonts w:cs="Calibri"/>
          <w:lang w:val="en-US"/>
        </w:rPr>
        <w:footnoteReference w:id="115"/>
      </w:r>
      <w:r>
        <w:rPr>
          <w:rFonts w:cs="Calibri"/>
          <w:lang w:val="en-US"/>
        </w:rPr>
        <w:t xml:space="preserve"> </w:t>
      </w:r>
      <w:r w:rsidRPr="001D6CB4">
        <w:rPr>
          <w:rFonts w:cs="Calibri"/>
          <w:lang w:val="en-US"/>
        </w:rPr>
        <w:t>They took on the dual role of becoming the man’s housekeeper and sexual partner. Many children of mixed descent were born out of these relationships.</w:t>
      </w:r>
      <w:r w:rsidRPr="001D6CB4">
        <w:rPr>
          <w:rStyle w:val="FootnoteReference"/>
          <w:rFonts w:cs="Calibri"/>
          <w:lang w:val="en-US"/>
        </w:rPr>
        <w:footnoteReference w:id="116"/>
      </w:r>
      <w:r w:rsidRPr="001D6CB4">
        <w:rPr>
          <w:rFonts w:cs="Calibri"/>
          <w:lang w:val="en-US"/>
        </w:rPr>
        <w:t xml:space="preserve"> The VOC watched in anguish how these Indo-European children may grow up in poverty, and without a</w:t>
      </w:r>
      <w:r>
        <w:rPr>
          <w:rFonts w:cs="Calibri"/>
          <w:lang w:val="en-US"/>
        </w:rPr>
        <w:t xml:space="preserve"> reformed</w:t>
      </w:r>
      <w:r w:rsidRPr="001D6CB4">
        <w:rPr>
          <w:rFonts w:cs="Calibri"/>
          <w:lang w:val="en-US"/>
        </w:rPr>
        <w:t xml:space="preserve"> Christian upbringing.</w:t>
      </w:r>
      <w:r w:rsidRPr="001D6CB4">
        <w:rPr>
          <w:rStyle w:val="FootnoteReference"/>
          <w:rFonts w:cs="Calibri"/>
          <w:lang w:val="en-US"/>
        </w:rPr>
        <w:footnoteReference w:id="117"/>
      </w:r>
      <w:r>
        <w:rPr>
          <w:rFonts w:cs="Calibri"/>
          <w:lang w:val="en-US"/>
        </w:rPr>
        <w:t xml:space="preserve">  </w:t>
      </w:r>
      <w:r w:rsidRPr="001D6CB4">
        <w:rPr>
          <w:rFonts w:cs="Calibri"/>
          <w:lang w:val="en-US"/>
        </w:rPr>
        <w:t xml:space="preserve">Consequently, </w:t>
      </w:r>
      <w:r>
        <w:rPr>
          <w:rFonts w:cs="Calibri"/>
          <w:lang w:val="en-US"/>
        </w:rPr>
        <w:t xml:space="preserve">the company </w:t>
      </w:r>
      <w:r w:rsidRPr="001D6CB4">
        <w:rPr>
          <w:rFonts w:cs="Calibri"/>
          <w:lang w:val="en-US"/>
        </w:rPr>
        <w:t xml:space="preserve">often tried – and occasionally succeeded </w:t>
      </w:r>
      <w:r>
        <w:rPr>
          <w:rFonts w:cs="Calibri"/>
          <w:lang w:val="en-US"/>
        </w:rPr>
        <w:t xml:space="preserve">in </w:t>
      </w:r>
      <w:r w:rsidRPr="001D6CB4">
        <w:rPr>
          <w:rFonts w:cs="Calibri"/>
          <w:lang w:val="en-US"/>
        </w:rPr>
        <w:t>– separat</w:t>
      </w:r>
      <w:r>
        <w:rPr>
          <w:rFonts w:cs="Calibri"/>
          <w:lang w:val="en-US"/>
        </w:rPr>
        <w:t>ing</w:t>
      </w:r>
      <w:r w:rsidRPr="001D6CB4">
        <w:rPr>
          <w:rFonts w:cs="Calibri"/>
          <w:lang w:val="en-US"/>
        </w:rPr>
        <w:t xml:space="preserve"> children from </w:t>
      </w:r>
      <w:r w:rsidRPr="001D6CB4">
        <w:rPr>
          <w:rFonts w:cs="Calibri"/>
          <w:lang w:val="en-US"/>
        </w:rPr>
        <w:lastRenderedPageBreak/>
        <w:t>their mothers, bringing them to the company’s trade capital Batavia where they either stayed with their fathers or</w:t>
      </w:r>
      <w:r>
        <w:rPr>
          <w:rFonts w:cs="Calibri"/>
          <w:lang w:val="en-US"/>
        </w:rPr>
        <w:t xml:space="preserve"> were</w:t>
      </w:r>
      <w:r w:rsidRPr="001D6CB4">
        <w:rPr>
          <w:rFonts w:cs="Calibri"/>
          <w:lang w:val="en-US"/>
        </w:rPr>
        <w:t xml:space="preserve"> put in orphanages. </w:t>
      </w:r>
      <w:r w:rsidRPr="00C10C66">
        <w:rPr>
          <w:rFonts w:cs="Calibri"/>
          <w:lang w:val="en-US"/>
        </w:rPr>
        <w:t>For example, this</w:t>
      </w:r>
      <w:r>
        <w:rPr>
          <w:rFonts w:cs="Calibri"/>
          <w:lang w:val="en-US"/>
        </w:rPr>
        <w:t xml:space="preserve"> excerpt from a</w:t>
      </w:r>
      <w:r w:rsidRPr="00C10C66">
        <w:rPr>
          <w:rFonts w:cs="Calibri"/>
          <w:lang w:val="en-US"/>
        </w:rPr>
        <w:t xml:space="preserve"> VOC</w:t>
      </w:r>
      <w:r>
        <w:rPr>
          <w:rFonts w:cs="Calibri"/>
          <w:lang w:val="en-US"/>
        </w:rPr>
        <w:t>-p</w:t>
      </w:r>
      <w:r w:rsidRPr="00C10C66">
        <w:rPr>
          <w:rFonts w:cs="Calibri"/>
          <w:lang w:val="en-US"/>
        </w:rPr>
        <w:t>olicy document from 1780</w:t>
      </w:r>
      <w:r>
        <w:rPr>
          <w:rFonts w:cs="Calibri"/>
          <w:lang w:val="en-US"/>
        </w:rPr>
        <w:t xml:space="preserve"> </w:t>
      </w:r>
      <w:r w:rsidRPr="00C10C66">
        <w:rPr>
          <w:rFonts w:cs="Calibri"/>
          <w:lang w:val="en-US"/>
        </w:rPr>
        <w:t>reveals the intention to</w:t>
      </w:r>
      <w:r>
        <w:rPr>
          <w:rFonts w:cs="Calibri"/>
          <w:lang w:val="en-US"/>
        </w:rPr>
        <w:t xml:space="preserve"> send mixed children whose father passed away to orphanages in Batavia: </w:t>
      </w:r>
    </w:p>
    <w:p w14:paraId="60A31F91" w14:textId="77777777" w:rsidR="009847E8" w:rsidRPr="009458E2" w:rsidRDefault="009847E8" w:rsidP="000D6B84">
      <w:pPr>
        <w:pStyle w:val="Maxhoofdtekst"/>
        <w:spacing w:line="276" w:lineRule="auto"/>
        <w:ind w:left="284"/>
        <w:rPr>
          <w:rFonts w:cs="Calibri"/>
          <w:lang w:val="en-US"/>
        </w:rPr>
      </w:pPr>
      <w:r w:rsidRPr="009458E2">
        <w:rPr>
          <w:rFonts w:cs="Calibri"/>
          <w:lang w:val="en-US"/>
        </w:rPr>
        <w:t xml:space="preserve">‘(…) henceforth, all such pitiful children </w:t>
      </w:r>
      <w:r w:rsidRPr="001D6CB4">
        <w:rPr>
          <w:rFonts w:cs="Calibri"/>
          <w:lang w:val="en-US"/>
        </w:rPr>
        <w:t>–</w:t>
      </w:r>
      <w:r w:rsidRPr="009458E2">
        <w:rPr>
          <w:rFonts w:cs="Calibri"/>
          <w:lang w:val="en-US"/>
        </w:rPr>
        <w:t xml:space="preserve"> conceived by slave women and whose fathers have died </w:t>
      </w:r>
      <w:r w:rsidRPr="001D6CB4">
        <w:rPr>
          <w:rFonts w:cs="Calibri"/>
          <w:lang w:val="en-US"/>
        </w:rPr>
        <w:t>–</w:t>
      </w:r>
      <w:r w:rsidRPr="009458E2">
        <w:rPr>
          <w:rFonts w:cs="Calibri"/>
          <w:lang w:val="en-US"/>
        </w:rPr>
        <w:t xml:space="preserve"> may be sent from here to Batavia to be cared for in the orphanage, especially the little girls, since they cannot be given a proper upbringing in this place, and consequently they generally grow up in </w:t>
      </w:r>
      <w:r w:rsidRPr="009458E2">
        <w:rPr>
          <w:rFonts w:cs="Calibri"/>
          <w:i/>
          <w:iCs/>
          <w:lang w:val="en-US"/>
        </w:rPr>
        <w:t>all manner of shameful vices</w:t>
      </w:r>
      <w:r w:rsidRPr="009458E2">
        <w:rPr>
          <w:rFonts w:cs="Calibri"/>
          <w:lang w:val="en-US"/>
        </w:rPr>
        <w:t>.”</w:t>
      </w:r>
      <w:r w:rsidRPr="009458E2">
        <w:rPr>
          <w:rStyle w:val="FootnoteReference"/>
          <w:rFonts w:cs="Calibri"/>
          <w:lang w:val="en-US"/>
        </w:rPr>
        <w:footnoteReference w:id="118"/>
      </w:r>
    </w:p>
    <w:p w14:paraId="6CFED62A" w14:textId="77777777" w:rsidR="009847E8" w:rsidRDefault="009847E8" w:rsidP="000D6B84">
      <w:pPr>
        <w:pStyle w:val="Maxhoofdtekst"/>
        <w:spacing w:line="276" w:lineRule="auto"/>
        <w:ind w:firstLine="284"/>
        <w:rPr>
          <w:rFonts w:cs="Calibri"/>
          <w:lang w:val="en-US"/>
        </w:rPr>
      </w:pPr>
      <w:r w:rsidRPr="001D6CB4">
        <w:rPr>
          <w:rFonts w:cs="Calibri"/>
          <w:lang w:val="en-US"/>
        </w:rPr>
        <w:t>In 1620, Jan Pieterszoon Coen prohibited concubinage in the colony, out of fear that the ‘reckless sexual behavior’ would negatively influence the company’s financial interests.</w:t>
      </w:r>
      <w:r w:rsidRPr="001D6CB4">
        <w:rPr>
          <w:rStyle w:val="FootnoteReference"/>
          <w:rFonts w:cs="Calibri"/>
          <w:lang w:val="en-US"/>
        </w:rPr>
        <w:footnoteReference w:id="119"/>
      </w:r>
      <w:r w:rsidRPr="001D6CB4">
        <w:rPr>
          <w:rFonts w:cs="Calibri"/>
          <w:lang w:val="en-US"/>
        </w:rPr>
        <w:t xml:space="preserve"> By contrast, his successors Reyniersz and Maetsuyker were great proponents of relationships between European men and Asian or Eurasian women. They pointed to advantages such as company personnel staying in the Indies for longer, and the possibility of procreating future new personnel or future brides.</w:t>
      </w:r>
      <w:r w:rsidRPr="001D6CB4">
        <w:rPr>
          <w:rStyle w:val="FootnoteReference"/>
          <w:rFonts w:cs="Calibri"/>
          <w:lang w:val="en-US"/>
        </w:rPr>
        <w:footnoteReference w:id="120"/>
      </w:r>
      <w:r w:rsidRPr="001D6CB4">
        <w:rPr>
          <w:rFonts w:cs="Calibri"/>
          <w:lang w:val="en-US"/>
        </w:rPr>
        <w:t xml:space="preserve"> The possibility for European women to migrate to the Indies was prohibited to promote these relationships, and from 1669 limited to the condition that women had to reside in the Indies for 15 years before being able to leave again.</w:t>
      </w:r>
      <w:r w:rsidRPr="001D6CB4">
        <w:rPr>
          <w:rStyle w:val="FootnoteReference"/>
          <w:rFonts w:cs="Calibri"/>
          <w:lang w:val="en-US"/>
        </w:rPr>
        <w:footnoteReference w:id="121"/>
      </w:r>
      <w:r w:rsidRPr="001D6CB4">
        <w:rPr>
          <w:rFonts w:cs="Calibri"/>
          <w:lang w:val="en-US"/>
        </w:rPr>
        <w:t xml:space="preserve"> The politics in which interracialized relationships between VOC</w:t>
      </w:r>
      <w:r>
        <w:rPr>
          <w:rFonts w:cs="Calibri"/>
          <w:lang w:val="en-US"/>
        </w:rPr>
        <w:t>-</w:t>
      </w:r>
      <w:r w:rsidRPr="001D6CB4">
        <w:rPr>
          <w:rFonts w:cs="Calibri"/>
          <w:lang w:val="en-US"/>
        </w:rPr>
        <w:t xml:space="preserve">personnel and Asian or Eurasian </w:t>
      </w:r>
      <w:r>
        <w:rPr>
          <w:rFonts w:cs="Calibri"/>
          <w:lang w:val="en-US"/>
        </w:rPr>
        <w:t xml:space="preserve">women </w:t>
      </w:r>
      <w:r w:rsidRPr="001D6CB4">
        <w:rPr>
          <w:rFonts w:cs="Calibri"/>
          <w:lang w:val="en-US"/>
        </w:rPr>
        <w:t>were promoted remained until the end of the VOC</w:t>
      </w:r>
      <w:r>
        <w:rPr>
          <w:rFonts w:cs="Calibri"/>
          <w:lang w:val="en-US"/>
        </w:rPr>
        <w:t>-</w:t>
      </w:r>
      <w:r w:rsidRPr="001D6CB4">
        <w:rPr>
          <w:rFonts w:cs="Calibri"/>
          <w:lang w:val="en-US"/>
        </w:rPr>
        <w:t>society.</w:t>
      </w:r>
      <w:r w:rsidRPr="001D6CB4">
        <w:rPr>
          <w:rStyle w:val="FootnoteReference"/>
          <w:rFonts w:cs="Calibri"/>
          <w:lang w:val="en-US"/>
        </w:rPr>
        <w:footnoteReference w:id="122"/>
      </w:r>
      <w:r w:rsidRPr="001D6CB4">
        <w:rPr>
          <w:rFonts w:cs="Calibri"/>
          <w:lang w:val="en-US"/>
        </w:rPr>
        <w:t xml:space="preserve"> </w:t>
      </w:r>
    </w:p>
    <w:p w14:paraId="076AF6F5" w14:textId="77777777" w:rsidR="009847E8" w:rsidRPr="001D6CB4" w:rsidRDefault="009847E8" w:rsidP="000D6B84">
      <w:pPr>
        <w:pStyle w:val="Maxhoofdtekst"/>
        <w:spacing w:line="276" w:lineRule="auto"/>
        <w:ind w:firstLine="284"/>
        <w:rPr>
          <w:rFonts w:cs="Calibri"/>
          <w:color w:val="FF0000"/>
          <w:lang w:val="en-US"/>
        </w:rPr>
      </w:pPr>
      <w:r w:rsidRPr="001D6CB4">
        <w:rPr>
          <w:rFonts w:cs="Calibri"/>
          <w:lang w:val="en-US"/>
        </w:rPr>
        <w:t xml:space="preserve">In 1796, the VOC went bankrupt, ultimately leading to the Indies being under British rule between 1811 </w:t>
      </w:r>
      <w:r>
        <w:rPr>
          <w:rFonts w:cs="Calibri"/>
          <w:lang w:val="en-US"/>
        </w:rPr>
        <w:t>and</w:t>
      </w:r>
      <w:r w:rsidRPr="001D6CB4">
        <w:rPr>
          <w:rFonts w:cs="Calibri"/>
          <w:lang w:val="en-US"/>
        </w:rPr>
        <w:t xml:space="preserve"> 1816.</w:t>
      </w:r>
      <w:r w:rsidRPr="001D6CB4">
        <w:rPr>
          <w:rStyle w:val="FootnoteReference"/>
          <w:rFonts w:cs="Calibri"/>
          <w:lang w:val="en-US"/>
        </w:rPr>
        <w:footnoteReference w:id="123"/>
      </w:r>
      <w:r w:rsidRPr="001D6CB4">
        <w:rPr>
          <w:rFonts w:cs="Calibri"/>
          <w:lang w:val="en-US"/>
        </w:rPr>
        <w:t xml:space="preserve"> </w:t>
      </w:r>
      <w:r>
        <w:rPr>
          <w:rFonts w:cs="Calibri"/>
          <w:lang w:val="en-US"/>
        </w:rPr>
        <w:t>After this short but influential British interregnum, the Indies returned to Dutch colonial rule.</w:t>
      </w:r>
    </w:p>
    <w:p w14:paraId="2D90C57C" w14:textId="77777777" w:rsidR="009847E8" w:rsidRPr="001D6CB4" w:rsidRDefault="009847E8">
      <w:pPr>
        <w:pStyle w:val="Maxhoofdtekst"/>
        <w:numPr>
          <w:ilvl w:val="1"/>
          <w:numId w:val="5"/>
        </w:numPr>
        <w:spacing w:line="276" w:lineRule="auto"/>
        <w:outlineLvl w:val="1"/>
        <w:rPr>
          <w:rFonts w:cs="Calibri"/>
          <w:b/>
          <w:bCs/>
          <w:lang w:val="en-US"/>
        </w:rPr>
      </w:pPr>
      <w:bookmarkStart w:id="21" w:name="_Toc234183611"/>
      <w:r>
        <w:rPr>
          <w:rFonts w:cs="Calibri"/>
          <w:b/>
          <w:bCs/>
          <w:lang w:val="en-US"/>
        </w:rPr>
        <w:t>Nineteenth and twentieth century Indies society: concubinage and a civilizing offensive</w:t>
      </w:r>
      <w:bookmarkEnd w:id="21"/>
      <w:r>
        <w:rPr>
          <w:rFonts w:cs="Calibri"/>
          <w:b/>
          <w:bCs/>
          <w:lang w:val="en-US"/>
        </w:rPr>
        <w:t xml:space="preserve"> </w:t>
      </w:r>
    </w:p>
    <w:p w14:paraId="25F4ED88" w14:textId="77777777" w:rsidR="009847E8" w:rsidRPr="00A11F50" w:rsidRDefault="009847E8">
      <w:pPr>
        <w:pStyle w:val="Maxhoofdtekst"/>
        <w:numPr>
          <w:ilvl w:val="2"/>
          <w:numId w:val="5"/>
        </w:numPr>
        <w:spacing w:line="276" w:lineRule="auto"/>
        <w:outlineLvl w:val="2"/>
        <w:rPr>
          <w:rFonts w:cs="Calibri"/>
          <w:lang w:val="en-US"/>
        </w:rPr>
      </w:pPr>
      <w:bookmarkStart w:id="22" w:name="_Toc234183612"/>
      <w:r>
        <w:rPr>
          <w:rFonts w:cs="Calibri"/>
          <w:lang w:val="en-US"/>
        </w:rPr>
        <w:t>Concubinage after the British interregnum</w:t>
      </w:r>
      <w:bookmarkEnd w:id="22"/>
    </w:p>
    <w:p w14:paraId="404938D2" w14:textId="77777777" w:rsidR="009847E8" w:rsidRDefault="009847E8" w:rsidP="000D6B84">
      <w:pPr>
        <w:pStyle w:val="Maxhoofdtekst"/>
        <w:spacing w:line="276" w:lineRule="auto"/>
        <w:ind w:firstLine="284"/>
        <w:rPr>
          <w:rFonts w:cs="Calibri"/>
          <w:lang w:val="en-US"/>
        </w:rPr>
      </w:pPr>
      <w:r w:rsidRPr="001D6CB4">
        <w:rPr>
          <w:rFonts w:cs="Calibri"/>
          <w:lang w:val="en-US"/>
        </w:rPr>
        <w:t>Although the British interim administration only lasted five years, it had a significant influence on how the colonial society viewed practices of concubinage, interracialized sex and marriage.</w:t>
      </w:r>
      <w:r w:rsidRPr="001D6CB4">
        <w:rPr>
          <w:rStyle w:val="FootnoteReference"/>
          <w:rFonts w:cs="Calibri"/>
          <w:lang w:val="en-US"/>
        </w:rPr>
        <w:footnoteReference w:id="124"/>
      </w:r>
      <w:r w:rsidRPr="001D6CB4">
        <w:rPr>
          <w:rFonts w:cs="Calibri"/>
          <w:lang w:val="en-US"/>
        </w:rPr>
        <w:t xml:space="preserve"> The British were shocked by the public nature of intimate relationships between European men and </w:t>
      </w:r>
      <w:r>
        <w:rPr>
          <w:rFonts w:cs="Calibri"/>
          <w:lang w:val="en-US"/>
        </w:rPr>
        <w:t>Indonesian</w:t>
      </w:r>
      <w:r w:rsidRPr="001D6CB4">
        <w:rPr>
          <w:rFonts w:cs="Calibri"/>
          <w:lang w:val="en-US"/>
        </w:rPr>
        <w:t xml:space="preserve"> women, considering the practice to be uncivilized and vulgar.</w:t>
      </w:r>
      <w:r w:rsidRPr="001D6CB4">
        <w:rPr>
          <w:rStyle w:val="FootnoteReference"/>
          <w:rFonts w:cs="Calibri"/>
          <w:lang w:val="en-US"/>
        </w:rPr>
        <w:footnoteReference w:id="125"/>
      </w:r>
      <w:r w:rsidRPr="001D6CB4">
        <w:rPr>
          <w:rFonts w:cs="Calibri"/>
          <w:lang w:val="en-US"/>
        </w:rPr>
        <w:t xml:space="preserve"> </w:t>
      </w:r>
      <w:r>
        <w:rPr>
          <w:rFonts w:cs="Calibri"/>
          <w:lang w:val="en-US"/>
        </w:rPr>
        <w:t>Such interracialized relationships, along with the state’s concern for these sentiments, were reason behind the British ruler’s</w:t>
      </w:r>
      <w:r w:rsidRPr="001D6CB4">
        <w:rPr>
          <w:rFonts w:cs="Calibri"/>
          <w:lang w:val="en-US"/>
        </w:rPr>
        <w:t xml:space="preserve"> campaign to ‘civilize’ the community. The British embraced their ‘white man’s burden’ and </w:t>
      </w:r>
      <w:r w:rsidRPr="001D6CB4">
        <w:rPr>
          <w:rFonts w:cs="Calibri"/>
          <w:lang w:val="en-US"/>
        </w:rPr>
        <w:lastRenderedPageBreak/>
        <w:t xml:space="preserve">sought to instill modern European values in the </w:t>
      </w:r>
      <w:r>
        <w:rPr>
          <w:rFonts w:cs="Calibri"/>
          <w:lang w:val="en-US"/>
        </w:rPr>
        <w:t xml:space="preserve">Indies </w:t>
      </w:r>
      <w:r w:rsidRPr="001D6CB4">
        <w:rPr>
          <w:rFonts w:cs="Calibri"/>
          <w:lang w:val="en-US"/>
        </w:rPr>
        <w:t>community</w:t>
      </w:r>
      <w:r>
        <w:rPr>
          <w:rFonts w:cs="Calibri"/>
          <w:lang w:val="en-US"/>
        </w:rPr>
        <w:t xml:space="preserve"> and</w:t>
      </w:r>
      <w:r w:rsidRPr="001D6CB4">
        <w:rPr>
          <w:rFonts w:cs="Calibri"/>
          <w:lang w:val="en-US"/>
        </w:rPr>
        <w:t xml:space="preserve"> strengthen the European identity.</w:t>
      </w:r>
      <w:r w:rsidRPr="001D6CB4">
        <w:rPr>
          <w:rStyle w:val="FootnoteReference"/>
          <w:rFonts w:cs="Calibri"/>
          <w:lang w:val="en-US"/>
        </w:rPr>
        <w:footnoteReference w:id="126"/>
      </w:r>
      <w:r w:rsidRPr="001D6CB4">
        <w:rPr>
          <w:rFonts w:cs="Calibri"/>
          <w:lang w:val="en-US"/>
        </w:rPr>
        <w:t xml:space="preserve"> </w:t>
      </w:r>
    </w:p>
    <w:p w14:paraId="5415B5E4"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 xml:space="preserve">Upon the return of Dutch rule in 1816, the </w:t>
      </w:r>
      <w:r>
        <w:rPr>
          <w:rFonts w:cs="Calibri"/>
          <w:lang w:val="en-US"/>
        </w:rPr>
        <w:t xml:space="preserve">changes that the </w:t>
      </w:r>
      <w:r w:rsidRPr="001D6CB4">
        <w:rPr>
          <w:rFonts w:cs="Calibri"/>
          <w:lang w:val="en-US"/>
        </w:rPr>
        <w:t xml:space="preserve">British </w:t>
      </w:r>
      <w:r>
        <w:rPr>
          <w:rFonts w:cs="Calibri"/>
          <w:lang w:val="en-US"/>
        </w:rPr>
        <w:t>had made</w:t>
      </w:r>
      <w:r w:rsidRPr="001D6CB4">
        <w:rPr>
          <w:rFonts w:cs="Calibri"/>
          <w:lang w:val="en-US"/>
        </w:rPr>
        <w:t xml:space="preserve"> to society proved irreversible</w:t>
      </w:r>
      <w:r>
        <w:rPr>
          <w:rFonts w:cs="Calibri"/>
          <w:lang w:val="en-US"/>
        </w:rPr>
        <w:t>. A</w:t>
      </w:r>
      <w:r w:rsidRPr="001D6CB4">
        <w:rPr>
          <w:rFonts w:cs="Calibri"/>
          <w:lang w:val="en-US"/>
        </w:rPr>
        <w:t>s Kees van Dijk notes, ‘English dress and the idea of Western superiority were there to stay’.</w:t>
      </w:r>
      <w:r w:rsidRPr="001D6CB4">
        <w:rPr>
          <w:rStyle w:val="FootnoteReference"/>
          <w:rFonts w:cs="Calibri"/>
          <w:lang w:val="en-US"/>
        </w:rPr>
        <w:footnoteReference w:id="127"/>
      </w:r>
      <w:r w:rsidRPr="001D6CB4">
        <w:rPr>
          <w:rFonts w:cs="Calibri"/>
          <w:lang w:val="en-US"/>
        </w:rPr>
        <w:t xml:space="preserve"> A new ruling class emerged as migration from the Dutch metropole to the colony increased.</w:t>
      </w:r>
      <w:r w:rsidRPr="001D6CB4">
        <w:rPr>
          <w:rStyle w:val="FootnoteReference"/>
          <w:rFonts w:cs="Calibri"/>
          <w:lang w:val="en-US"/>
        </w:rPr>
        <w:footnoteReference w:id="128"/>
      </w:r>
      <w:r w:rsidRPr="001D6CB4">
        <w:rPr>
          <w:rFonts w:cs="Calibri"/>
          <w:lang w:val="en-US"/>
        </w:rPr>
        <w:t xml:space="preserve"> The Europeans now migrating to the East did not feel any loyalty or sense of community with the VOC, nor to the settled Indo-European community and its culture. Instead, </w:t>
      </w:r>
      <w:r>
        <w:rPr>
          <w:rFonts w:cs="Calibri"/>
          <w:lang w:val="en-US"/>
        </w:rPr>
        <w:t>they</w:t>
      </w:r>
      <w:r w:rsidRPr="001D6CB4">
        <w:rPr>
          <w:rFonts w:cs="Calibri"/>
          <w:lang w:val="en-US"/>
        </w:rPr>
        <w:t xml:space="preserve"> attached great value to the Dutch culture and felt patriotic sentiments for the Dutch Kingdom</w:t>
      </w:r>
      <w:r>
        <w:rPr>
          <w:rFonts w:cs="Calibri"/>
          <w:lang w:val="en-US"/>
        </w:rPr>
        <w:t xml:space="preserve"> and Europe</w:t>
      </w:r>
      <w:r w:rsidRPr="001D6CB4">
        <w:rPr>
          <w:rFonts w:cs="Calibri"/>
          <w:lang w:val="en-US"/>
        </w:rPr>
        <w:t>.</w:t>
      </w:r>
      <w:r w:rsidRPr="001D6CB4">
        <w:rPr>
          <w:rStyle w:val="FootnoteReference"/>
          <w:rFonts w:cs="Calibri"/>
          <w:lang w:val="en-US"/>
        </w:rPr>
        <w:footnoteReference w:id="129"/>
      </w:r>
      <w:r w:rsidRPr="001D6CB4">
        <w:rPr>
          <w:rFonts w:cs="Calibri"/>
          <w:lang w:val="en-US"/>
        </w:rPr>
        <w:t xml:space="preserve"> </w:t>
      </w:r>
      <w:r>
        <w:rPr>
          <w:rFonts w:cs="Calibri"/>
          <w:lang w:val="en-US"/>
        </w:rPr>
        <w:t>These new migrants embodied what Stoler calls the ‘bourgeois European’ identity, which colonial, biopolitical interventions sought to preserve. Consequently</w:t>
      </w:r>
      <w:r w:rsidRPr="001D6CB4">
        <w:rPr>
          <w:rFonts w:cs="Calibri"/>
          <w:lang w:val="en-US"/>
        </w:rPr>
        <w:t>, the British objective of civilizing the Indies community and preserving whit</w:t>
      </w:r>
      <w:r>
        <w:rPr>
          <w:rFonts w:cs="Calibri"/>
          <w:lang w:val="en-US"/>
        </w:rPr>
        <w:t>e</w:t>
      </w:r>
      <w:r w:rsidRPr="001D6CB4">
        <w:rPr>
          <w:rFonts w:cs="Calibri"/>
          <w:lang w:val="en-US"/>
        </w:rPr>
        <w:t xml:space="preserve"> European prestige in the colony </w:t>
      </w:r>
      <w:r>
        <w:rPr>
          <w:rFonts w:cs="Calibri"/>
          <w:lang w:val="en-US"/>
        </w:rPr>
        <w:t xml:space="preserve">persisted </w:t>
      </w:r>
      <w:r w:rsidRPr="001D6CB4">
        <w:rPr>
          <w:rFonts w:cs="Calibri"/>
          <w:lang w:val="en-US"/>
        </w:rPr>
        <w:t>from 1816 onward.</w:t>
      </w:r>
      <w:r w:rsidRPr="001D6CB4">
        <w:rPr>
          <w:rStyle w:val="FootnoteReference"/>
          <w:rFonts w:cs="Calibri"/>
          <w:lang w:val="en-US"/>
        </w:rPr>
        <w:footnoteReference w:id="130"/>
      </w:r>
      <w:r w:rsidRPr="001D6CB4">
        <w:rPr>
          <w:rFonts w:cs="Calibri"/>
          <w:lang w:val="en-US"/>
        </w:rPr>
        <w:t xml:space="preserve"> </w:t>
      </w:r>
    </w:p>
    <w:p w14:paraId="5FEFD15B"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The social rejection of concubinage was an important part of th</w:t>
      </w:r>
      <w:r>
        <w:rPr>
          <w:rFonts w:cs="Calibri"/>
          <w:lang w:val="en-US"/>
        </w:rPr>
        <w:t>e</w:t>
      </w:r>
      <w:r w:rsidRPr="001D6CB4">
        <w:rPr>
          <w:rFonts w:cs="Calibri"/>
          <w:lang w:val="en-US"/>
        </w:rPr>
        <w:t xml:space="preserve"> European civilizing project.</w:t>
      </w:r>
      <w:r w:rsidRPr="001D6CB4">
        <w:rPr>
          <w:rStyle w:val="FootnoteReference"/>
          <w:rFonts w:cs="Calibri"/>
          <w:lang w:val="en-US"/>
        </w:rPr>
        <w:footnoteReference w:id="131"/>
      </w:r>
      <w:r w:rsidRPr="001D6CB4">
        <w:rPr>
          <w:rFonts w:cs="Calibri"/>
          <w:lang w:val="en-US"/>
        </w:rPr>
        <w:t xml:space="preserve"> </w:t>
      </w:r>
      <w:r>
        <w:rPr>
          <w:rFonts w:cs="Calibri"/>
          <w:lang w:val="en-US"/>
        </w:rPr>
        <w:t>Two</w:t>
      </w:r>
      <w:r w:rsidRPr="001D6CB4">
        <w:rPr>
          <w:rFonts w:cs="Calibri"/>
          <w:lang w:val="en-US"/>
        </w:rPr>
        <w:t xml:space="preserve"> possible implications followed</w:t>
      </w:r>
      <w:r>
        <w:rPr>
          <w:rFonts w:cs="Calibri"/>
          <w:lang w:val="en-US"/>
        </w:rPr>
        <w:t xml:space="preserve"> from this rejection</w:t>
      </w:r>
      <w:r w:rsidRPr="001D6CB4">
        <w:rPr>
          <w:rFonts w:cs="Calibri"/>
          <w:lang w:val="en-US"/>
        </w:rPr>
        <w:t xml:space="preserve">: (1) the concubine was promoted to the European social status through marriage and cultural assimilation; or (2) the concubine arrangement was kept </w:t>
      </w:r>
      <w:r>
        <w:rPr>
          <w:rFonts w:cs="Calibri"/>
          <w:lang w:val="en-US"/>
        </w:rPr>
        <w:t>hidden</w:t>
      </w:r>
      <w:r w:rsidRPr="001D6CB4">
        <w:rPr>
          <w:rFonts w:cs="Calibri"/>
          <w:lang w:val="en-US"/>
        </w:rPr>
        <w:t xml:space="preserve"> even further, and the njai pushed down even further.</w:t>
      </w:r>
      <w:r w:rsidRPr="001D6CB4">
        <w:rPr>
          <w:rStyle w:val="FootnoteReference"/>
          <w:rFonts w:cs="Calibri"/>
          <w:lang w:val="en-US"/>
        </w:rPr>
        <w:footnoteReference w:id="132"/>
      </w:r>
      <w:r w:rsidRPr="001D6CB4">
        <w:rPr>
          <w:rFonts w:cs="Calibri"/>
          <w:lang w:val="en-US"/>
        </w:rPr>
        <w:t xml:space="preserve"> </w:t>
      </w:r>
      <w:r w:rsidRPr="00DA61CC">
        <w:rPr>
          <w:rFonts w:cs="Calibri"/>
          <w:lang w:val="en-US"/>
        </w:rPr>
        <w:t xml:space="preserve">In the first half of the </w:t>
      </w:r>
      <w:r>
        <w:rPr>
          <w:rFonts w:cs="Calibri"/>
          <w:lang w:val="en-US"/>
        </w:rPr>
        <w:t>nineteenth</w:t>
      </w:r>
      <w:r w:rsidRPr="00DA61CC">
        <w:rPr>
          <w:rFonts w:cs="Calibri"/>
          <w:lang w:val="en-US"/>
        </w:rPr>
        <w:t xml:space="preserve"> century, the latter occurred most frequent</w:t>
      </w:r>
      <w:r>
        <w:rPr>
          <w:rFonts w:cs="Calibri"/>
          <w:lang w:val="en-US"/>
        </w:rPr>
        <w:t>ly</w:t>
      </w:r>
      <w:r w:rsidRPr="00DA61CC">
        <w:rPr>
          <w:rFonts w:cs="Calibri"/>
          <w:lang w:val="en-US"/>
        </w:rPr>
        <w:t xml:space="preserve">, as concubinage mainly </w:t>
      </w:r>
      <w:r>
        <w:rPr>
          <w:rFonts w:cs="Calibri"/>
          <w:lang w:val="en-US"/>
        </w:rPr>
        <w:t>took the</w:t>
      </w:r>
      <w:r w:rsidRPr="00DA61CC">
        <w:rPr>
          <w:rFonts w:cs="Calibri"/>
          <w:lang w:val="en-US"/>
        </w:rPr>
        <w:t xml:space="preserve"> form of enslavement. This changed in 1860, when slavery was abolished in the Dutch East Indies.</w:t>
      </w:r>
      <w:r w:rsidRPr="00DA61CC">
        <w:rPr>
          <w:rStyle w:val="FootnoteReference"/>
          <w:rFonts w:cs="Calibri"/>
          <w:lang w:val="en-US"/>
        </w:rPr>
        <w:footnoteReference w:id="133"/>
      </w:r>
      <w:r w:rsidRPr="00DA61CC">
        <w:rPr>
          <w:rFonts w:cs="Calibri"/>
          <w:lang w:val="en-US"/>
        </w:rPr>
        <w:t xml:space="preserve"> The abolition of slavery </w:t>
      </w:r>
      <w:r>
        <w:rPr>
          <w:rFonts w:cs="Calibri"/>
          <w:lang w:val="en-US"/>
        </w:rPr>
        <w:t xml:space="preserve">changed the nature of </w:t>
      </w:r>
      <w:r w:rsidRPr="00DA61CC">
        <w:rPr>
          <w:rFonts w:cs="Calibri"/>
          <w:lang w:val="en-US"/>
        </w:rPr>
        <w:t xml:space="preserve">concubinage: from then on, </w:t>
      </w:r>
      <w:r>
        <w:rPr>
          <w:rFonts w:cs="Calibri"/>
          <w:lang w:val="en-US"/>
        </w:rPr>
        <w:t>such a</w:t>
      </w:r>
      <w:r w:rsidRPr="00DA61CC">
        <w:rPr>
          <w:rFonts w:cs="Calibri"/>
          <w:lang w:val="en-US"/>
        </w:rPr>
        <w:t xml:space="preserve"> relationship could only come about</w:t>
      </w:r>
      <w:r>
        <w:rPr>
          <w:rFonts w:cs="Calibri"/>
          <w:lang w:val="en-US"/>
        </w:rPr>
        <w:t xml:space="preserve"> if </w:t>
      </w:r>
      <w:r w:rsidRPr="00DA61CC">
        <w:rPr>
          <w:rFonts w:cs="Calibri"/>
          <w:lang w:val="en-US"/>
        </w:rPr>
        <w:t xml:space="preserve">a </w:t>
      </w:r>
      <w:r w:rsidRPr="00E30012">
        <w:rPr>
          <w:rFonts w:cs="Calibri"/>
          <w:lang w:val="en-US"/>
        </w:rPr>
        <w:t>free</w:t>
      </w:r>
      <w:r w:rsidRPr="00DA61CC">
        <w:rPr>
          <w:rFonts w:cs="Calibri"/>
          <w:lang w:val="en-US"/>
        </w:rPr>
        <w:t xml:space="preserve"> </w:t>
      </w:r>
      <w:r>
        <w:rPr>
          <w:rFonts w:cs="Calibri"/>
          <w:lang w:val="en-US"/>
        </w:rPr>
        <w:t>Indonesian</w:t>
      </w:r>
      <w:r w:rsidRPr="00DA61CC">
        <w:rPr>
          <w:rFonts w:cs="Calibri"/>
          <w:lang w:val="en-US"/>
        </w:rPr>
        <w:t xml:space="preserve"> woman willingly </w:t>
      </w:r>
      <w:r>
        <w:rPr>
          <w:rFonts w:cs="Calibri"/>
          <w:lang w:val="en-US"/>
        </w:rPr>
        <w:t>chose to</w:t>
      </w:r>
      <w:r w:rsidRPr="00DA61CC">
        <w:rPr>
          <w:rFonts w:cs="Calibri"/>
          <w:lang w:val="en-US"/>
        </w:rPr>
        <w:t xml:space="preserve"> live with a European man as, for instance, a housekeeper.</w:t>
      </w:r>
      <w:r w:rsidRPr="00DA61CC">
        <w:rPr>
          <w:rStyle w:val="FootnoteReference"/>
          <w:rFonts w:cs="Calibri"/>
          <w:lang w:val="en-US"/>
        </w:rPr>
        <w:footnoteReference w:id="134"/>
      </w:r>
    </w:p>
    <w:p w14:paraId="0E3F6E9F" w14:textId="77777777" w:rsidR="009847E8" w:rsidRPr="00A11F50" w:rsidRDefault="009847E8">
      <w:pPr>
        <w:pStyle w:val="Maxhoofdtekst"/>
        <w:numPr>
          <w:ilvl w:val="2"/>
          <w:numId w:val="5"/>
        </w:numPr>
        <w:spacing w:line="276" w:lineRule="auto"/>
        <w:outlineLvl w:val="2"/>
        <w:rPr>
          <w:rFonts w:cs="Calibri"/>
          <w:lang w:val="en-US"/>
        </w:rPr>
      </w:pPr>
      <w:bookmarkStart w:id="23" w:name="_Toc234183613"/>
      <w:r w:rsidRPr="00A11F50">
        <w:rPr>
          <w:rFonts w:cs="Calibri"/>
          <w:lang w:val="en-US"/>
        </w:rPr>
        <w:t>KNIL Barrack-concubinage</w:t>
      </w:r>
      <w:bookmarkEnd w:id="23"/>
      <w:r w:rsidRPr="00A11F50">
        <w:rPr>
          <w:rFonts w:cs="Calibri"/>
          <w:lang w:val="en-US"/>
        </w:rPr>
        <w:t xml:space="preserve"> </w:t>
      </w:r>
    </w:p>
    <w:p w14:paraId="32838615"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 xml:space="preserve">Concubinage occurred </w:t>
      </w:r>
      <w:r>
        <w:rPr>
          <w:rFonts w:cs="Calibri"/>
          <w:lang w:val="en-US"/>
        </w:rPr>
        <w:t xml:space="preserve">not only </w:t>
      </w:r>
      <w:r w:rsidRPr="001D6CB4">
        <w:rPr>
          <w:rFonts w:cs="Calibri"/>
          <w:lang w:val="en-US"/>
        </w:rPr>
        <w:t>in civil society</w:t>
      </w:r>
      <w:r>
        <w:rPr>
          <w:rFonts w:cs="Calibri"/>
          <w:lang w:val="en-US"/>
        </w:rPr>
        <w:t>,</w:t>
      </w:r>
      <w:r w:rsidRPr="001D6CB4">
        <w:rPr>
          <w:rFonts w:cs="Calibri"/>
          <w:lang w:val="en-US"/>
        </w:rPr>
        <w:t xml:space="preserve"> but also within the </w:t>
      </w:r>
      <w:r>
        <w:rPr>
          <w:rFonts w:cs="Calibri"/>
          <w:lang w:val="en-US"/>
        </w:rPr>
        <w:t xml:space="preserve">colonial ruler’s </w:t>
      </w:r>
      <w:r w:rsidRPr="001D6CB4">
        <w:rPr>
          <w:rFonts w:cs="Calibri"/>
          <w:lang w:val="en-US"/>
        </w:rPr>
        <w:t>army.</w:t>
      </w:r>
      <w:r w:rsidRPr="001D6CB4">
        <w:rPr>
          <w:rStyle w:val="FootnoteReference"/>
          <w:rFonts w:cs="Calibri"/>
          <w:lang w:val="en-US"/>
        </w:rPr>
        <w:footnoteReference w:id="135"/>
      </w:r>
      <w:r w:rsidRPr="001D6CB4">
        <w:rPr>
          <w:rFonts w:cs="Calibri"/>
          <w:lang w:val="en-US"/>
        </w:rPr>
        <w:t xml:space="preserve"> The army barracks</w:t>
      </w:r>
      <w:r>
        <w:rPr>
          <w:rFonts w:cs="Calibri"/>
          <w:lang w:val="en-US"/>
        </w:rPr>
        <w:t xml:space="preserve">, known as </w:t>
      </w:r>
      <w:r w:rsidRPr="009458E2">
        <w:rPr>
          <w:rFonts w:cs="Calibri"/>
          <w:i/>
          <w:iCs/>
          <w:lang w:val="en-US"/>
        </w:rPr>
        <w:t>tangsi</w:t>
      </w:r>
      <w:r>
        <w:rPr>
          <w:rFonts w:cs="Calibri"/>
          <w:lang w:val="en-US"/>
        </w:rPr>
        <w:t>,</w:t>
      </w:r>
      <w:r w:rsidRPr="001D6CB4">
        <w:rPr>
          <w:rFonts w:cs="Calibri"/>
          <w:lang w:val="en-US"/>
        </w:rPr>
        <w:t xml:space="preserve"> were installed as part of the establishment of an independent colonial army in the Dutch East Indies </w:t>
      </w:r>
      <w:r>
        <w:rPr>
          <w:rFonts w:cs="Calibri"/>
          <w:lang w:val="en-US"/>
        </w:rPr>
        <w:t>following</w:t>
      </w:r>
      <w:r w:rsidRPr="001D6CB4">
        <w:rPr>
          <w:rFonts w:cs="Calibri"/>
          <w:lang w:val="en-US"/>
        </w:rPr>
        <w:t xml:space="preserve"> the Java War (1825-1830). The Dutch army in the East Indies became a separate organization from the army in the metropole and </w:t>
      </w:r>
      <w:r>
        <w:rPr>
          <w:rFonts w:cs="Calibri"/>
          <w:lang w:val="en-US"/>
        </w:rPr>
        <w:t>was known as</w:t>
      </w:r>
      <w:r w:rsidRPr="001D6CB4">
        <w:rPr>
          <w:rFonts w:cs="Calibri"/>
          <w:lang w:val="en-US"/>
        </w:rPr>
        <w:t xml:space="preserve"> the Royal Dutch East Indies Army (Koninklijk Nederlands Indisch Leger, </w:t>
      </w:r>
      <w:r>
        <w:rPr>
          <w:rFonts w:cs="Calibri"/>
          <w:lang w:val="en-US"/>
        </w:rPr>
        <w:t>or</w:t>
      </w:r>
      <w:r w:rsidRPr="001D6CB4">
        <w:rPr>
          <w:rFonts w:cs="Calibri"/>
          <w:lang w:val="en-US"/>
        </w:rPr>
        <w:t xml:space="preserve"> KNIL).</w:t>
      </w:r>
      <w:r w:rsidRPr="001D6CB4">
        <w:rPr>
          <w:rStyle w:val="FootnoteReference"/>
          <w:rFonts w:cs="Calibri"/>
          <w:lang w:val="en-US"/>
        </w:rPr>
        <w:footnoteReference w:id="136"/>
      </w:r>
      <w:r w:rsidRPr="001D6CB4">
        <w:rPr>
          <w:rFonts w:cs="Calibri"/>
          <w:lang w:val="en-US"/>
        </w:rPr>
        <w:t xml:space="preserve"> The army consisted of both European men recruited in the Netherlands, subsequently brought to the East, and </w:t>
      </w:r>
      <w:r>
        <w:rPr>
          <w:rFonts w:cs="Calibri"/>
          <w:lang w:val="en-US"/>
        </w:rPr>
        <w:t>Indonesian</w:t>
      </w:r>
      <w:r w:rsidRPr="001D6CB4">
        <w:rPr>
          <w:rFonts w:cs="Calibri"/>
          <w:lang w:val="en-US"/>
        </w:rPr>
        <w:t xml:space="preserve"> men from lower</w:t>
      </w:r>
      <w:r>
        <w:rPr>
          <w:rFonts w:cs="Calibri"/>
          <w:lang w:val="en-US"/>
        </w:rPr>
        <w:t>-</w:t>
      </w:r>
      <w:r w:rsidRPr="001D6CB4">
        <w:rPr>
          <w:rFonts w:cs="Calibri"/>
          <w:lang w:val="en-US"/>
        </w:rPr>
        <w:t xml:space="preserve">class villages, </w:t>
      </w:r>
      <w:r>
        <w:rPr>
          <w:rFonts w:cs="Calibri"/>
          <w:lang w:val="en-US"/>
        </w:rPr>
        <w:t>enticed by</w:t>
      </w:r>
      <w:r w:rsidRPr="001D6CB4">
        <w:rPr>
          <w:rFonts w:cs="Calibri"/>
          <w:lang w:val="en-US"/>
        </w:rPr>
        <w:t xml:space="preserve"> the chance of escaping poverty.</w:t>
      </w:r>
      <w:r w:rsidRPr="001D6CB4">
        <w:rPr>
          <w:rStyle w:val="FootnoteReference"/>
          <w:rFonts w:cs="Calibri"/>
          <w:lang w:val="en-US"/>
        </w:rPr>
        <w:footnoteReference w:id="137"/>
      </w:r>
    </w:p>
    <w:p w14:paraId="7ABB8F91" w14:textId="77777777" w:rsidR="009847E8" w:rsidRPr="001D6CB4" w:rsidRDefault="009847E8" w:rsidP="00FE2222">
      <w:pPr>
        <w:pStyle w:val="Maxhoofdtekst"/>
        <w:spacing w:line="276" w:lineRule="auto"/>
        <w:ind w:firstLine="284"/>
        <w:rPr>
          <w:rFonts w:cs="Calibri"/>
          <w:lang w:val="en-US"/>
        </w:rPr>
      </w:pPr>
      <w:r w:rsidRPr="001D6CB4">
        <w:rPr>
          <w:rFonts w:cs="Calibri"/>
          <w:lang w:val="en-US"/>
        </w:rPr>
        <w:lastRenderedPageBreak/>
        <w:t>A</w:t>
      </w:r>
      <w:r>
        <w:rPr>
          <w:rFonts w:cs="Calibri"/>
          <w:lang w:val="en-US"/>
        </w:rPr>
        <w:t>lthough a</w:t>
      </w:r>
      <w:r w:rsidRPr="001D6CB4">
        <w:rPr>
          <w:rFonts w:cs="Calibri"/>
          <w:lang w:val="en-US"/>
        </w:rPr>
        <w:t>rrangements of barrack-concubinage were morally condemned</w:t>
      </w:r>
      <w:r>
        <w:rPr>
          <w:rFonts w:cs="Calibri"/>
          <w:lang w:val="en-US"/>
        </w:rPr>
        <w:t xml:space="preserve">, they were </w:t>
      </w:r>
      <w:r w:rsidRPr="001D6CB4">
        <w:rPr>
          <w:rFonts w:cs="Calibri"/>
          <w:lang w:val="en-US"/>
        </w:rPr>
        <w:t xml:space="preserve">considered a ‘necessary evil’ </w:t>
      </w:r>
      <w:r>
        <w:rPr>
          <w:rFonts w:cs="Calibri"/>
          <w:lang w:val="en-US"/>
        </w:rPr>
        <w:t>by</w:t>
      </w:r>
      <w:r w:rsidRPr="001D6CB4">
        <w:rPr>
          <w:rFonts w:cs="Calibri"/>
          <w:lang w:val="en-US"/>
        </w:rPr>
        <w:t xml:space="preserve"> the colonial government.</w:t>
      </w:r>
      <w:r w:rsidRPr="001D6CB4">
        <w:rPr>
          <w:rStyle w:val="FootnoteReference"/>
          <w:rFonts w:cs="Calibri"/>
          <w:lang w:val="en-US"/>
        </w:rPr>
        <w:footnoteReference w:id="138"/>
      </w:r>
      <w:r w:rsidRPr="001D6CB4">
        <w:rPr>
          <w:rFonts w:cs="Calibri"/>
          <w:lang w:val="en-US"/>
        </w:rPr>
        <w:t xml:space="preserve"> It was believed that sexual abstinence was unhealthy.</w:t>
      </w:r>
      <w:r w:rsidRPr="001D6CB4">
        <w:rPr>
          <w:rStyle w:val="FootnoteReference"/>
          <w:rFonts w:cs="Calibri"/>
          <w:lang w:val="en-US"/>
        </w:rPr>
        <w:footnoteReference w:id="139"/>
      </w:r>
      <w:r w:rsidRPr="001D6CB4">
        <w:rPr>
          <w:rFonts w:cs="Calibri"/>
          <w:lang w:val="en-US"/>
        </w:rPr>
        <w:t xml:space="preserve"> Furthermore, many of the </w:t>
      </w:r>
      <w:r>
        <w:rPr>
          <w:rFonts w:cs="Calibri"/>
          <w:lang w:val="en-US"/>
        </w:rPr>
        <w:t>Indonesian</w:t>
      </w:r>
      <w:r w:rsidRPr="001D6CB4">
        <w:rPr>
          <w:rFonts w:cs="Calibri"/>
          <w:lang w:val="en-US"/>
        </w:rPr>
        <w:t xml:space="preserve"> recruits had married young, so it was essential that they were able to maintain their </w:t>
      </w:r>
      <w:r>
        <w:rPr>
          <w:rFonts w:cs="Calibri"/>
          <w:lang w:val="en-US"/>
        </w:rPr>
        <w:t>marriages</w:t>
      </w:r>
      <w:r w:rsidRPr="001D6CB4">
        <w:rPr>
          <w:rFonts w:cs="Calibri"/>
          <w:lang w:val="en-US"/>
        </w:rPr>
        <w:t xml:space="preserve"> within the barracks.</w:t>
      </w:r>
      <w:r w:rsidRPr="001D6CB4">
        <w:rPr>
          <w:rStyle w:val="FootnoteReference"/>
          <w:rFonts w:cs="Calibri"/>
          <w:lang w:val="en-US"/>
        </w:rPr>
        <w:footnoteReference w:id="140"/>
      </w:r>
      <w:r w:rsidRPr="001D6CB4">
        <w:rPr>
          <w:rFonts w:cs="Calibri"/>
          <w:lang w:val="en-US"/>
        </w:rPr>
        <w:t xml:space="preserve"> Ultimately, both single</w:t>
      </w:r>
      <w:r>
        <w:rPr>
          <w:rFonts w:cs="Calibri"/>
          <w:lang w:val="en-US"/>
        </w:rPr>
        <w:t xml:space="preserve"> Indonesian</w:t>
      </w:r>
      <w:r w:rsidRPr="001D6CB4">
        <w:rPr>
          <w:rFonts w:cs="Calibri"/>
          <w:lang w:val="en-US"/>
        </w:rPr>
        <w:t xml:space="preserve"> soldiers and European soldiers were allowed a concubine</w:t>
      </w:r>
      <w:r>
        <w:rPr>
          <w:rFonts w:cs="Calibri"/>
          <w:lang w:val="en-US"/>
        </w:rPr>
        <w:t xml:space="preserve"> </w:t>
      </w:r>
      <w:r w:rsidRPr="001D6CB4">
        <w:rPr>
          <w:rFonts w:cs="Calibri"/>
          <w:lang w:val="en-US"/>
        </w:rPr>
        <w:t>–</w:t>
      </w:r>
      <w:r>
        <w:rPr>
          <w:rFonts w:cs="Calibri"/>
          <w:lang w:val="en-US"/>
        </w:rPr>
        <w:t xml:space="preserve"> in the barracks known as </w:t>
      </w:r>
      <w:r>
        <w:rPr>
          <w:rFonts w:cs="Calibri"/>
          <w:i/>
          <w:iCs/>
          <w:lang w:val="en-US"/>
        </w:rPr>
        <w:t>m</w:t>
      </w:r>
      <w:r w:rsidRPr="009458E2">
        <w:rPr>
          <w:rFonts w:cs="Calibri"/>
          <w:i/>
          <w:iCs/>
          <w:lang w:val="en-US"/>
        </w:rPr>
        <w:t>oentji</w:t>
      </w:r>
      <w:r>
        <w:rPr>
          <w:rFonts w:cs="Calibri"/>
          <w:lang w:val="en-US"/>
        </w:rPr>
        <w:t xml:space="preserve"> </w:t>
      </w:r>
      <w:r w:rsidRPr="001D6CB4">
        <w:rPr>
          <w:rFonts w:cs="Calibri"/>
          <w:lang w:val="en-US"/>
        </w:rPr>
        <w:t>–</w:t>
      </w:r>
      <w:r>
        <w:rPr>
          <w:rFonts w:cs="Calibri"/>
          <w:lang w:val="en-US"/>
        </w:rPr>
        <w:t xml:space="preserve"> </w:t>
      </w:r>
      <w:r w:rsidRPr="001D6CB4">
        <w:rPr>
          <w:rFonts w:cs="Calibri"/>
          <w:lang w:val="en-US"/>
        </w:rPr>
        <w:t>leading to the institutionalized practice of barrack-concubinage.</w:t>
      </w:r>
      <w:r w:rsidRPr="001D6CB4">
        <w:rPr>
          <w:rStyle w:val="FootnoteReference"/>
          <w:rFonts w:cs="Calibri"/>
          <w:lang w:val="en-US"/>
        </w:rPr>
        <w:footnoteReference w:id="141"/>
      </w:r>
      <w:r w:rsidRPr="001D6CB4">
        <w:rPr>
          <w:rFonts w:cs="Calibri"/>
          <w:lang w:val="en-US"/>
        </w:rPr>
        <w:t xml:space="preserve"> </w:t>
      </w:r>
      <w:r>
        <w:rPr>
          <w:rFonts w:cs="Calibri"/>
          <w:lang w:val="en-US"/>
        </w:rPr>
        <w:t>Life</w:t>
      </w:r>
      <w:r w:rsidRPr="001D6CB4">
        <w:rPr>
          <w:rFonts w:cs="Calibri"/>
          <w:lang w:val="en-US"/>
        </w:rPr>
        <w:t xml:space="preserve"> in the </w:t>
      </w:r>
      <w:r>
        <w:rPr>
          <w:rFonts w:cs="Calibri"/>
          <w:lang w:val="en-US"/>
        </w:rPr>
        <w:t xml:space="preserve">barracks </w:t>
      </w:r>
      <w:r w:rsidRPr="001D6CB4">
        <w:rPr>
          <w:rFonts w:cs="Calibri"/>
          <w:lang w:val="en-US"/>
        </w:rPr>
        <w:t xml:space="preserve">was often </w:t>
      </w:r>
      <w:r>
        <w:rPr>
          <w:rFonts w:cs="Calibri"/>
          <w:lang w:val="en-US"/>
        </w:rPr>
        <w:t xml:space="preserve">quite </w:t>
      </w:r>
      <w:r w:rsidRPr="001D6CB4">
        <w:rPr>
          <w:rFonts w:cs="Calibri"/>
          <w:lang w:val="en-US"/>
        </w:rPr>
        <w:t>undesirable, as described by writer and military</w:t>
      </w:r>
      <w:r w:rsidRPr="001D6CB4">
        <w:rPr>
          <w:rFonts w:cs="Calibri"/>
          <w:color w:val="FF0000"/>
          <w:lang w:val="en-US"/>
        </w:rPr>
        <w:t xml:space="preserve"> </w:t>
      </w:r>
      <w:r w:rsidRPr="00D03C40">
        <w:rPr>
          <w:rFonts w:cs="Calibri"/>
          <w:color w:val="000000" w:themeColor="text1"/>
          <w:lang w:val="en-US"/>
        </w:rPr>
        <w:t xml:space="preserve">officer </w:t>
      </w:r>
      <w:r w:rsidRPr="001D6CB4">
        <w:rPr>
          <w:rFonts w:cs="Calibri"/>
          <w:lang w:val="en-US"/>
        </w:rPr>
        <w:t>Sicco Roorda van Eysinga: ‘In the barracks, as many as a hundred soldiers sometimes sleep in a single room with their girlfriends or housekeepers on cots without curtains</w:t>
      </w:r>
      <w:r>
        <w:rPr>
          <w:rFonts w:cs="Calibri"/>
          <w:lang w:val="en-US"/>
        </w:rPr>
        <w:t>. T</w:t>
      </w:r>
      <w:r w:rsidRPr="001D6CB4">
        <w:rPr>
          <w:rFonts w:cs="Calibri"/>
          <w:lang w:val="en-US"/>
        </w:rPr>
        <w:t>here, in full view of everyone, they engage in sexual intercourse without any sense of propriety.’</w:t>
      </w:r>
      <w:r w:rsidRPr="001D6CB4">
        <w:rPr>
          <w:rStyle w:val="FootnoteReference"/>
          <w:rFonts w:cs="Calibri"/>
          <w:lang w:val="en-US"/>
        </w:rPr>
        <w:footnoteReference w:id="142"/>
      </w:r>
      <w:r w:rsidRPr="001D6CB4">
        <w:rPr>
          <w:rFonts w:cs="Calibri"/>
          <w:lang w:val="en-US"/>
        </w:rPr>
        <w:t xml:space="preserve"> This image corresponds </w:t>
      </w:r>
      <w:r>
        <w:rPr>
          <w:rFonts w:cs="Calibri"/>
          <w:lang w:val="en-US"/>
        </w:rPr>
        <w:t>with the description of the barracks provided by</w:t>
      </w:r>
      <w:r w:rsidRPr="001D6CB4">
        <w:rPr>
          <w:rFonts w:cs="Calibri"/>
          <w:lang w:val="en-US"/>
        </w:rPr>
        <w:t xml:space="preserve"> writer Lin Scholte</w:t>
      </w:r>
      <w:r>
        <w:rPr>
          <w:rFonts w:cs="Calibri"/>
          <w:lang w:val="en-US"/>
        </w:rPr>
        <w:t>,</w:t>
      </w:r>
      <w:r w:rsidRPr="001D6CB4">
        <w:rPr>
          <w:rFonts w:cs="Calibri"/>
          <w:lang w:val="en-US"/>
        </w:rPr>
        <w:t xml:space="preserve"> who </w:t>
      </w:r>
      <w:r>
        <w:rPr>
          <w:rFonts w:cs="Calibri"/>
          <w:lang w:val="en-US"/>
        </w:rPr>
        <w:t xml:space="preserve">likened them to </w:t>
      </w:r>
      <w:r w:rsidRPr="001D6CB4">
        <w:rPr>
          <w:rFonts w:cs="Calibri"/>
          <w:lang w:val="en-US"/>
        </w:rPr>
        <w:t>‘old-fashioned hospital wards’.</w:t>
      </w:r>
      <w:r w:rsidRPr="001D6CB4">
        <w:rPr>
          <w:rStyle w:val="FootnoteReference"/>
          <w:rFonts w:cs="Calibri"/>
          <w:lang w:val="en-US"/>
        </w:rPr>
        <w:footnoteReference w:id="143"/>
      </w:r>
      <w:r>
        <w:rPr>
          <w:rFonts w:cs="Calibri"/>
          <w:lang w:val="en-US"/>
        </w:rPr>
        <w:t xml:space="preserve"> For these reasons, barrack-concubinage was heavily frowned upon and considered an uncivilized practice, but it remained tolerated until 1928, when it was prohibited for the entire KNIL.</w:t>
      </w:r>
      <w:r>
        <w:rPr>
          <w:rStyle w:val="FootnoteReference"/>
          <w:rFonts w:cs="Calibri"/>
          <w:lang w:val="en-US"/>
        </w:rPr>
        <w:footnoteReference w:id="144"/>
      </w:r>
      <w:r>
        <w:rPr>
          <w:rFonts w:cs="Calibri"/>
          <w:lang w:val="en-US"/>
        </w:rPr>
        <w:t xml:space="preserve"> </w:t>
      </w:r>
    </w:p>
    <w:p w14:paraId="087FB9DF" w14:textId="77777777" w:rsidR="009847E8" w:rsidRPr="00A11F50" w:rsidRDefault="009847E8">
      <w:pPr>
        <w:pStyle w:val="Maxhoofdtekst"/>
        <w:numPr>
          <w:ilvl w:val="2"/>
          <w:numId w:val="5"/>
        </w:numPr>
        <w:spacing w:line="276" w:lineRule="auto"/>
        <w:outlineLvl w:val="2"/>
        <w:rPr>
          <w:rFonts w:cs="Calibri"/>
          <w:lang w:val="en-US"/>
        </w:rPr>
      </w:pPr>
      <w:bookmarkStart w:id="24" w:name="_Toc234183614"/>
      <w:r w:rsidRPr="00A11F50">
        <w:rPr>
          <w:rFonts w:cs="Calibri"/>
          <w:lang w:val="en-US"/>
        </w:rPr>
        <w:t xml:space="preserve">Who </w:t>
      </w:r>
      <w:r>
        <w:rPr>
          <w:rFonts w:cs="Calibri"/>
          <w:lang w:val="en-US"/>
        </w:rPr>
        <w:t>is</w:t>
      </w:r>
      <w:r w:rsidRPr="00A11F50">
        <w:rPr>
          <w:rFonts w:cs="Calibri"/>
          <w:lang w:val="en-US"/>
        </w:rPr>
        <w:t xml:space="preserve"> the njai?</w:t>
      </w:r>
      <w:r>
        <w:rPr>
          <w:rStyle w:val="FootnoteReference"/>
          <w:rFonts w:cs="Calibri"/>
          <w:lang w:val="en-US"/>
        </w:rPr>
        <w:footnoteReference w:id="145"/>
      </w:r>
      <w:bookmarkEnd w:id="24"/>
      <w:r w:rsidRPr="00A11F50">
        <w:rPr>
          <w:rFonts w:cs="Calibri"/>
          <w:lang w:val="en-US"/>
        </w:rPr>
        <w:t xml:space="preserve"> </w:t>
      </w:r>
    </w:p>
    <w:p w14:paraId="270A4DCB" w14:textId="77777777" w:rsidR="009847E8" w:rsidRPr="001D6CB4" w:rsidRDefault="009847E8" w:rsidP="000D6B84">
      <w:pPr>
        <w:pStyle w:val="Maxhoofdtekst"/>
        <w:spacing w:line="276" w:lineRule="auto"/>
        <w:ind w:firstLine="284"/>
        <w:rPr>
          <w:rFonts w:cs="Calibri"/>
          <w:lang w:val="en-US"/>
        </w:rPr>
      </w:pPr>
      <w:r>
        <w:rPr>
          <w:rFonts w:cs="Calibri"/>
          <w:lang w:val="en-US"/>
        </w:rPr>
        <w:t xml:space="preserve">What do we know about the social and legal position of the njai within the Dutch East Indies society? </w:t>
      </w:r>
      <w:r w:rsidRPr="001D6CB4">
        <w:rPr>
          <w:rFonts w:cs="Calibri"/>
          <w:lang w:val="en-US"/>
        </w:rPr>
        <w:t xml:space="preserve">The njai was </w:t>
      </w:r>
      <w:r>
        <w:rPr>
          <w:rFonts w:cs="Calibri"/>
          <w:lang w:val="en-US"/>
        </w:rPr>
        <w:t>typically</w:t>
      </w:r>
      <w:r w:rsidRPr="001D6CB4">
        <w:rPr>
          <w:rFonts w:cs="Calibri"/>
          <w:lang w:val="en-US"/>
        </w:rPr>
        <w:t xml:space="preserve"> an Asian woman who took on various roles within </w:t>
      </w:r>
      <w:r>
        <w:rPr>
          <w:rFonts w:cs="Calibri"/>
          <w:lang w:val="en-US"/>
        </w:rPr>
        <w:t>a</w:t>
      </w:r>
      <w:r w:rsidRPr="001D6CB4">
        <w:rPr>
          <w:rFonts w:cs="Calibri"/>
          <w:lang w:val="en-US"/>
        </w:rPr>
        <w:t xml:space="preserve"> household shared with a European male partner and who had sexual, domestic and cultural responsibilities.</w:t>
      </w:r>
      <w:r w:rsidRPr="001D6CB4">
        <w:rPr>
          <w:rStyle w:val="FootnoteReference"/>
          <w:rFonts w:cs="Calibri"/>
          <w:lang w:val="en-US"/>
        </w:rPr>
        <w:footnoteReference w:id="146"/>
      </w:r>
      <w:r w:rsidRPr="001D6CB4">
        <w:rPr>
          <w:rFonts w:cs="Calibri"/>
          <w:lang w:val="en-US"/>
        </w:rPr>
        <w:t xml:space="preserve"> Her legal position was extremely precarious. Although she was a ‘free person’ </w:t>
      </w:r>
      <w:r>
        <w:rPr>
          <w:rFonts w:cs="Calibri"/>
          <w:lang w:val="en-US"/>
        </w:rPr>
        <w:t>following</w:t>
      </w:r>
      <w:r w:rsidRPr="001D6CB4">
        <w:rPr>
          <w:rFonts w:cs="Calibri"/>
          <w:lang w:val="en-US"/>
        </w:rPr>
        <w:t xml:space="preserve"> the abolition of slavery, she was nevertheless excluded from citizenship and was deprived of custody rights over her children.</w:t>
      </w:r>
      <w:r w:rsidRPr="001D6CB4">
        <w:rPr>
          <w:rStyle w:val="FootnoteReference"/>
          <w:rFonts w:cs="Calibri"/>
          <w:lang w:val="en-US"/>
        </w:rPr>
        <w:footnoteReference w:id="147"/>
      </w:r>
      <w:r w:rsidRPr="001D6CB4">
        <w:rPr>
          <w:rFonts w:cs="Calibri"/>
          <w:lang w:val="en-US"/>
        </w:rPr>
        <w:t xml:space="preserve"> </w:t>
      </w:r>
      <w:r>
        <w:rPr>
          <w:rFonts w:cs="Calibri"/>
          <w:lang w:val="en-US"/>
        </w:rPr>
        <w:t xml:space="preserve">This was </w:t>
      </w:r>
      <w:r w:rsidRPr="001D6CB4">
        <w:rPr>
          <w:rFonts w:cs="Calibri"/>
          <w:lang w:val="en-US"/>
        </w:rPr>
        <w:t xml:space="preserve">diametrically opposed to her European partner’s position – </w:t>
      </w:r>
      <w:r>
        <w:rPr>
          <w:rFonts w:cs="Calibri"/>
          <w:lang w:val="en-US"/>
        </w:rPr>
        <w:t>to</w:t>
      </w:r>
      <w:r w:rsidRPr="001D6CB4">
        <w:rPr>
          <w:rFonts w:cs="Calibri"/>
          <w:lang w:val="en-US"/>
        </w:rPr>
        <w:t xml:space="preserve"> him, the njai often served merely as a temporary surrogate until he found a suitable European wife to replace her.</w:t>
      </w:r>
      <w:r w:rsidRPr="001D6CB4">
        <w:rPr>
          <w:rStyle w:val="FootnoteReference"/>
          <w:rFonts w:cs="Calibri"/>
          <w:lang w:val="en-US"/>
        </w:rPr>
        <w:footnoteReference w:id="148"/>
      </w:r>
      <w:r w:rsidRPr="001D6CB4">
        <w:rPr>
          <w:rFonts w:cs="Calibri"/>
          <w:lang w:val="en-US"/>
        </w:rPr>
        <w:t xml:space="preserve"> If the njai was abandoned by her partner, she w</w:t>
      </w:r>
      <w:r>
        <w:rPr>
          <w:rFonts w:cs="Calibri"/>
          <w:lang w:val="en-US"/>
        </w:rPr>
        <w:t>ould</w:t>
      </w:r>
      <w:r w:rsidRPr="001D6CB4">
        <w:rPr>
          <w:rFonts w:cs="Calibri"/>
          <w:lang w:val="en-US"/>
        </w:rPr>
        <w:t xml:space="preserve"> suddenly </w:t>
      </w:r>
      <w:r>
        <w:rPr>
          <w:rFonts w:cs="Calibri"/>
          <w:lang w:val="en-US"/>
        </w:rPr>
        <w:t>find herself</w:t>
      </w:r>
      <w:r w:rsidRPr="001D6CB4">
        <w:rPr>
          <w:rFonts w:cs="Calibri"/>
          <w:lang w:val="en-US"/>
        </w:rPr>
        <w:t xml:space="preserve"> alone, without her children or </w:t>
      </w:r>
      <w:r w:rsidRPr="001D6CB4">
        <w:rPr>
          <w:rFonts w:cs="Calibri"/>
          <w:lang w:val="en-US"/>
        </w:rPr>
        <w:lastRenderedPageBreak/>
        <w:t>family life, socially isolated from her Indonesian society which rejected her for living in concubinage.</w:t>
      </w:r>
      <w:r w:rsidRPr="001D6CB4">
        <w:rPr>
          <w:rStyle w:val="FootnoteReference"/>
          <w:rFonts w:cs="Calibri"/>
          <w:lang w:val="en-US"/>
        </w:rPr>
        <w:footnoteReference w:id="149"/>
      </w:r>
      <w:r w:rsidRPr="001D6CB4">
        <w:rPr>
          <w:rFonts w:cs="Calibri"/>
          <w:lang w:val="en-US"/>
        </w:rPr>
        <w:t xml:space="preserve"> </w:t>
      </w:r>
      <w:r>
        <w:rPr>
          <w:rFonts w:cs="Calibri"/>
          <w:lang w:val="en-US"/>
        </w:rPr>
        <w:t>Furthermore, if she was not married to her European partner and he died, she would have no right to pension, as their relationship was extramarital.</w:t>
      </w:r>
      <w:r>
        <w:rPr>
          <w:rStyle w:val="FootnoteReference"/>
          <w:rFonts w:cs="Calibri"/>
          <w:lang w:val="en-US"/>
        </w:rPr>
        <w:footnoteReference w:id="150"/>
      </w:r>
    </w:p>
    <w:p w14:paraId="51573DE9"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t>From the Dutch</w:t>
      </w:r>
      <w:r>
        <w:rPr>
          <w:rFonts w:cs="Calibri"/>
          <w:lang w:val="en-US"/>
        </w:rPr>
        <w:t xml:space="preserve"> perspective</w:t>
      </w:r>
      <w:r w:rsidRPr="001D6CB4">
        <w:rPr>
          <w:rFonts w:cs="Calibri"/>
          <w:lang w:val="en-US"/>
        </w:rPr>
        <w:t>, concubina</w:t>
      </w:r>
      <w:r>
        <w:rPr>
          <w:rFonts w:cs="Calibri"/>
          <w:lang w:val="en-US"/>
        </w:rPr>
        <w:t>ge was</w:t>
      </w:r>
      <w:r w:rsidRPr="001D6CB4">
        <w:rPr>
          <w:rFonts w:cs="Calibri"/>
          <w:lang w:val="en-US"/>
        </w:rPr>
        <w:t xml:space="preserve"> </w:t>
      </w:r>
      <w:r>
        <w:rPr>
          <w:rFonts w:cs="Calibri"/>
          <w:lang w:val="en-US"/>
        </w:rPr>
        <w:t>viewed as a purely sexual</w:t>
      </w:r>
      <w:r w:rsidRPr="001D6CB4">
        <w:rPr>
          <w:rFonts w:cs="Calibri"/>
          <w:lang w:val="en-US"/>
        </w:rPr>
        <w:t xml:space="preserve"> relations</w:t>
      </w:r>
      <w:r>
        <w:rPr>
          <w:rFonts w:cs="Calibri"/>
          <w:lang w:val="en-US"/>
        </w:rPr>
        <w:t>hip</w:t>
      </w:r>
      <w:r w:rsidRPr="001D6CB4">
        <w:rPr>
          <w:rFonts w:cs="Calibri"/>
          <w:lang w:val="en-US"/>
        </w:rPr>
        <w:t xml:space="preserve"> </w:t>
      </w:r>
      <w:r>
        <w:rPr>
          <w:rFonts w:cs="Calibri"/>
          <w:lang w:val="en-US"/>
        </w:rPr>
        <w:t>devoid of</w:t>
      </w:r>
      <w:r w:rsidRPr="001D6CB4">
        <w:rPr>
          <w:rFonts w:cs="Calibri"/>
          <w:lang w:val="en-US"/>
        </w:rPr>
        <w:t xml:space="preserve"> emotional ties. For instance, W.L. Ritter, a Dutch officer and writer </w:t>
      </w:r>
      <w:r>
        <w:rPr>
          <w:rFonts w:cs="Calibri"/>
          <w:lang w:val="en-US"/>
        </w:rPr>
        <w:t xml:space="preserve">based </w:t>
      </w:r>
      <w:r w:rsidRPr="001D6CB4">
        <w:rPr>
          <w:rFonts w:cs="Calibri"/>
          <w:lang w:val="en-US"/>
        </w:rPr>
        <w:t>in Batavia, wrote</w:t>
      </w:r>
      <w:r>
        <w:rPr>
          <w:rFonts w:cs="Calibri"/>
          <w:lang w:val="en-US"/>
        </w:rPr>
        <w:t xml:space="preserve"> in 1865</w:t>
      </w:r>
      <w:r w:rsidRPr="001D6CB4">
        <w:rPr>
          <w:rFonts w:cs="Calibri"/>
          <w:lang w:val="en-US"/>
        </w:rPr>
        <w:t xml:space="preserve"> that the cohabitation of Europeans with </w:t>
      </w:r>
      <w:r>
        <w:rPr>
          <w:rFonts w:cs="Calibri"/>
          <w:lang w:val="en-US"/>
        </w:rPr>
        <w:t>Indonesians</w:t>
      </w:r>
      <w:r w:rsidRPr="001D6CB4">
        <w:rPr>
          <w:rFonts w:cs="Calibri"/>
          <w:lang w:val="en-US"/>
        </w:rPr>
        <w:t xml:space="preserve"> </w:t>
      </w:r>
      <w:r>
        <w:rPr>
          <w:rFonts w:cs="Calibri"/>
          <w:lang w:val="en-US"/>
        </w:rPr>
        <w:t>was</w:t>
      </w:r>
      <w:r w:rsidRPr="001D6CB4">
        <w:rPr>
          <w:rFonts w:cs="Calibri"/>
          <w:lang w:val="en-US"/>
        </w:rPr>
        <w:t xml:space="preserve"> a ‘thorn in the side’ of the Indies society.</w:t>
      </w:r>
      <w:r w:rsidRPr="001D6CB4">
        <w:rPr>
          <w:rStyle w:val="FootnoteReference"/>
          <w:rFonts w:cs="Calibri"/>
          <w:lang w:val="en-US"/>
        </w:rPr>
        <w:footnoteReference w:id="151"/>
      </w:r>
      <w:r w:rsidRPr="001D6CB4">
        <w:rPr>
          <w:rFonts w:cs="Calibri"/>
          <w:lang w:val="en-US"/>
        </w:rPr>
        <w:t xml:space="preserve"> Indeed, ‘the meaning of our word ‘love’ is completely unknown to</w:t>
      </w:r>
      <w:r>
        <w:rPr>
          <w:rFonts w:cs="Calibri"/>
          <w:lang w:val="en-US"/>
        </w:rPr>
        <w:t xml:space="preserve"> the native</w:t>
      </w:r>
      <w:r w:rsidRPr="001D6CB4">
        <w:rPr>
          <w:rFonts w:cs="Calibri"/>
          <w:lang w:val="en-US"/>
        </w:rPr>
        <w:t>.</w:t>
      </w:r>
      <w:r>
        <w:rPr>
          <w:rFonts w:cs="Calibri"/>
          <w:lang w:val="en-US"/>
        </w:rPr>
        <w:t>’</w:t>
      </w:r>
      <w:r w:rsidRPr="001D6CB4">
        <w:rPr>
          <w:rStyle w:val="FootnoteReference"/>
          <w:rFonts w:cs="Calibri"/>
          <w:lang w:val="en-US"/>
        </w:rPr>
        <w:footnoteReference w:id="152"/>
      </w:r>
      <w:r w:rsidRPr="001D6CB4">
        <w:rPr>
          <w:rFonts w:cs="Calibri"/>
          <w:lang w:val="en-US"/>
        </w:rPr>
        <w:t xml:space="preserve"> According to Baay, this absence of love must have </w:t>
      </w:r>
      <w:r>
        <w:rPr>
          <w:rFonts w:cs="Calibri"/>
          <w:lang w:val="en-US"/>
        </w:rPr>
        <w:t>applied to</w:t>
      </w:r>
      <w:r w:rsidRPr="001D6CB4">
        <w:rPr>
          <w:rFonts w:cs="Calibri"/>
          <w:lang w:val="en-US"/>
        </w:rPr>
        <w:t xml:space="preserve"> most concubinage</w:t>
      </w:r>
      <w:r w:rsidRPr="00910696">
        <w:rPr>
          <w:rFonts w:cs="Calibri"/>
          <w:lang w:val="en-US"/>
        </w:rPr>
        <w:t xml:space="preserve"> </w:t>
      </w:r>
      <w:r w:rsidRPr="001D6CB4">
        <w:rPr>
          <w:rFonts w:cs="Calibri"/>
          <w:lang w:val="en-US"/>
        </w:rPr>
        <w:t>relationships</w:t>
      </w:r>
      <w:r>
        <w:rPr>
          <w:rFonts w:cs="Calibri"/>
          <w:lang w:val="en-US"/>
        </w:rPr>
        <w:t xml:space="preserve"> at the outset</w:t>
      </w:r>
      <w:r w:rsidRPr="001D6CB4">
        <w:rPr>
          <w:rFonts w:cs="Calibri"/>
          <w:lang w:val="en-US"/>
        </w:rPr>
        <w:t>. The relationship resulted from a pragmati</w:t>
      </w:r>
      <w:r>
        <w:rPr>
          <w:rFonts w:cs="Calibri"/>
          <w:lang w:val="en-US"/>
        </w:rPr>
        <w:t>c</w:t>
      </w:r>
      <w:r w:rsidRPr="001D6CB4">
        <w:rPr>
          <w:rFonts w:cs="Calibri"/>
          <w:lang w:val="en-US"/>
        </w:rPr>
        <w:t xml:space="preserve"> attitude </w:t>
      </w:r>
      <w:r>
        <w:rPr>
          <w:rFonts w:cs="Calibri"/>
          <w:lang w:val="en-US"/>
        </w:rPr>
        <w:t>on</w:t>
      </w:r>
      <w:r w:rsidRPr="001D6CB4">
        <w:rPr>
          <w:rFonts w:cs="Calibri"/>
          <w:lang w:val="en-US"/>
        </w:rPr>
        <w:t xml:space="preserve"> both </w:t>
      </w:r>
      <w:r>
        <w:rPr>
          <w:rFonts w:cs="Calibri"/>
          <w:lang w:val="en-US"/>
        </w:rPr>
        <w:t>sides</w:t>
      </w:r>
      <w:r w:rsidRPr="001D6CB4">
        <w:rPr>
          <w:rFonts w:cs="Calibri"/>
          <w:lang w:val="en-US"/>
        </w:rPr>
        <w:t xml:space="preserve">: for European men the njai was someone to </w:t>
      </w:r>
      <w:r>
        <w:rPr>
          <w:rFonts w:cs="Calibri"/>
          <w:lang w:val="en-US"/>
        </w:rPr>
        <w:t>alleviate</w:t>
      </w:r>
      <w:r w:rsidRPr="001D6CB4">
        <w:rPr>
          <w:rFonts w:cs="Calibri"/>
          <w:lang w:val="en-US"/>
        </w:rPr>
        <w:t xml:space="preserve"> loneliness, </w:t>
      </w:r>
      <w:r>
        <w:rPr>
          <w:rFonts w:cs="Calibri"/>
          <w:lang w:val="en-US"/>
        </w:rPr>
        <w:t>provide care</w:t>
      </w:r>
      <w:r w:rsidRPr="001D6CB4">
        <w:rPr>
          <w:rFonts w:cs="Calibri"/>
          <w:lang w:val="en-US"/>
        </w:rPr>
        <w:t xml:space="preserve"> and </w:t>
      </w:r>
      <w:r>
        <w:rPr>
          <w:rFonts w:cs="Calibri"/>
          <w:lang w:val="en-US"/>
        </w:rPr>
        <w:t>offer</w:t>
      </w:r>
      <w:r w:rsidRPr="001D6CB4">
        <w:rPr>
          <w:rFonts w:cs="Calibri"/>
          <w:lang w:val="en-US"/>
        </w:rPr>
        <w:t xml:space="preserve"> sexual services. For the njai, it was a matter of livelihood.</w:t>
      </w:r>
      <w:r w:rsidRPr="001D6CB4">
        <w:rPr>
          <w:rStyle w:val="FootnoteReference"/>
          <w:rFonts w:cs="Calibri"/>
          <w:lang w:val="en-US"/>
        </w:rPr>
        <w:footnoteReference w:id="153"/>
      </w:r>
      <w:r w:rsidRPr="001D6CB4">
        <w:rPr>
          <w:rFonts w:cs="Calibri"/>
          <w:lang w:val="en-US"/>
        </w:rPr>
        <w:t xml:space="preserve"> The power imbalance and the social differences between European men and their njai were probably too great to speak of love. Ne</w:t>
      </w:r>
      <w:r>
        <w:rPr>
          <w:rFonts w:cs="Calibri"/>
          <w:lang w:val="en-US"/>
        </w:rPr>
        <w:t>ver</w:t>
      </w:r>
      <w:r w:rsidRPr="001D6CB4">
        <w:rPr>
          <w:rFonts w:cs="Calibri"/>
          <w:lang w:val="en-US"/>
        </w:rPr>
        <w:t xml:space="preserve">theless, he </w:t>
      </w:r>
      <w:r>
        <w:rPr>
          <w:rFonts w:cs="Calibri"/>
          <w:lang w:val="en-US"/>
        </w:rPr>
        <w:t>suggests</w:t>
      </w:r>
      <w:r w:rsidRPr="001D6CB4">
        <w:rPr>
          <w:rFonts w:cs="Calibri"/>
          <w:lang w:val="en-US"/>
        </w:rPr>
        <w:t xml:space="preserve"> that t</w:t>
      </w:r>
      <w:r>
        <w:rPr>
          <w:rFonts w:cs="Calibri"/>
          <w:lang w:val="en-US"/>
        </w:rPr>
        <w:t xml:space="preserve">hese </w:t>
      </w:r>
      <w:r w:rsidRPr="001D6CB4">
        <w:rPr>
          <w:rFonts w:cs="Calibri"/>
          <w:lang w:val="en-US"/>
        </w:rPr>
        <w:t xml:space="preserve">arrangements could ultimately </w:t>
      </w:r>
      <w:r>
        <w:rPr>
          <w:rFonts w:cs="Calibri"/>
          <w:lang w:val="en-US"/>
        </w:rPr>
        <w:t>evolve</w:t>
      </w:r>
      <w:r w:rsidRPr="001D6CB4">
        <w:rPr>
          <w:rFonts w:cs="Calibri"/>
          <w:lang w:val="en-US"/>
        </w:rPr>
        <w:t xml:space="preserve"> into relationships </w:t>
      </w:r>
      <w:r>
        <w:rPr>
          <w:rFonts w:cs="Calibri"/>
          <w:lang w:val="en-US"/>
        </w:rPr>
        <w:t>based on</w:t>
      </w:r>
      <w:r w:rsidRPr="001D6CB4">
        <w:rPr>
          <w:rFonts w:cs="Calibri"/>
          <w:lang w:val="en-US"/>
        </w:rPr>
        <w:t xml:space="preserve"> respect and love.</w:t>
      </w:r>
      <w:r w:rsidRPr="001D6CB4">
        <w:rPr>
          <w:rStyle w:val="FootnoteReference"/>
          <w:rFonts w:cs="Calibri"/>
          <w:lang w:val="en-US"/>
        </w:rPr>
        <w:footnoteReference w:id="154"/>
      </w:r>
      <w:r w:rsidRPr="001D6CB4">
        <w:rPr>
          <w:rFonts w:cs="Calibri"/>
          <w:lang w:val="en-US"/>
        </w:rPr>
        <w:t xml:space="preserve"> </w:t>
      </w:r>
    </w:p>
    <w:p w14:paraId="1AEEF355" w14:textId="77777777" w:rsidR="009847E8" w:rsidRPr="001D6CB4" w:rsidRDefault="009847E8" w:rsidP="00E30012">
      <w:pPr>
        <w:pStyle w:val="Maxhoofdtekst"/>
        <w:spacing w:line="276" w:lineRule="auto"/>
        <w:ind w:firstLine="284"/>
        <w:rPr>
          <w:rFonts w:cs="Calibri"/>
          <w:lang w:val="en-US"/>
        </w:rPr>
      </w:pPr>
      <w:r w:rsidRPr="001D6CB4">
        <w:rPr>
          <w:rFonts w:cs="Calibri"/>
          <w:lang w:val="en-US"/>
        </w:rPr>
        <w:t>Little was known in public discourse about the njai, which led to ‘extravagant notions about the mistress’ in myths and stories.</w:t>
      </w:r>
      <w:r w:rsidRPr="001D6CB4">
        <w:rPr>
          <w:rStyle w:val="FootnoteReference"/>
          <w:rFonts w:cs="Calibri"/>
          <w:lang w:val="en-US"/>
        </w:rPr>
        <w:footnoteReference w:id="155"/>
      </w:r>
      <w:r w:rsidRPr="001D6CB4">
        <w:rPr>
          <w:rFonts w:cs="Calibri"/>
          <w:lang w:val="en-US"/>
        </w:rPr>
        <w:t xml:space="preserve"> The myth</w:t>
      </w:r>
      <w:r>
        <w:rPr>
          <w:rFonts w:cs="Calibri"/>
          <w:lang w:val="en-US"/>
        </w:rPr>
        <w:t xml:space="preserve">s surrounding </w:t>
      </w:r>
      <w:r w:rsidRPr="001D6CB4">
        <w:rPr>
          <w:rFonts w:cs="Calibri"/>
          <w:lang w:val="en-US"/>
        </w:rPr>
        <w:t xml:space="preserve">the njai entailed a variety of stereotypes. In some stories, she </w:t>
      </w:r>
      <w:r>
        <w:rPr>
          <w:rFonts w:cs="Calibri"/>
          <w:lang w:val="en-US"/>
        </w:rPr>
        <w:t>was depicted</w:t>
      </w:r>
      <w:r w:rsidRPr="001D6CB4">
        <w:rPr>
          <w:rFonts w:cs="Calibri"/>
          <w:lang w:val="en-US"/>
        </w:rPr>
        <w:t xml:space="preserve"> as a ‘seducer of hapless European men by means of potions and magic, and popularly suspect as poisoner of the rival or bride who replaced her’.</w:t>
      </w:r>
      <w:r w:rsidRPr="001D6CB4">
        <w:rPr>
          <w:rStyle w:val="FootnoteReference"/>
          <w:rFonts w:cs="Calibri"/>
          <w:lang w:val="en-US"/>
        </w:rPr>
        <w:footnoteReference w:id="156"/>
      </w:r>
      <w:r w:rsidRPr="001D6CB4">
        <w:rPr>
          <w:rFonts w:cs="Calibri"/>
          <w:lang w:val="en-US"/>
        </w:rPr>
        <w:t xml:space="preserve"> </w:t>
      </w:r>
      <w:r w:rsidRPr="00E30012">
        <w:rPr>
          <w:rFonts w:cs="Calibri"/>
          <w:lang w:val="en-US"/>
        </w:rPr>
        <w:t xml:space="preserve">Njai women were often </w:t>
      </w:r>
      <w:r>
        <w:rPr>
          <w:rFonts w:cs="Calibri"/>
          <w:lang w:val="en-US"/>
        </w:rPr>
        <w:t>depicted</w:t>
      </w:r>
      <w:r w:rsidRPr="00E30012">
        <w:rPr>
          <w:rFonts w:cs="Calibri"/>
          <w:lang w:val="en-US"/>
        </w:rPr>
        <w:t xml:space="preserve"> as erotic, exotic and savage beings. As Gerlov van Engelhoven notes: ‘Representing colonial subjects as sexualized savages reveals the project of colonization itself to be a sexual endeavor that involves conquering or ‘taming’ the colonized’.</w:t>
      </w:r>
      <w:r w:rsidRPr="00E30012">
        <w:rPr>
          <w:rStyle w:val="FootnoteReference"/>
          <w:rFonts w:cs="Calibri"/>
          <w:lang w:val="en-US"/>
        </w:rPr>
        <w:footnoteReference w:id="157"/>
      </w:r>
      <w:r w:rsidRPr="00E30012">
        <w:rPr>
          <w:rFonts w:cs="Calibri"/>
          <w:lang w:val="en-US"/>
        </w:rPr>
        <w:t xml:space="preserve"> </w:t>
      </w:r>
      <w:r>
        <w:rPr>
          <w:rFonts w:cs="Calibri"/>
          <w:lang w:val="en-US"/>
        </w:rPr>
        <w:t>At o</w:t>
      </w:r>
      <w:r w:rsidRPr="00E30012">
        <w:rPr>
          <w:rFonts w:cs="Calibri"/>
          <w:lang w:val="en-US"/>
        </w:rPr>
        <w:t>ther times, she is portra</w:t>
      </w:r>
      <w:r>
        <w:rPr>
          <w:rFonts w:cs="Calibri"/>
          <w:lang w:val="en-US"/>
        </w:rPr>
        <w:t>y</w:t>
      </w:r>
      <w:r w:rsidRPr="00E30012">
        <w:rPr>
          <w:rFonts w:cs="Calibri"/>
          <w:lang w:val="en-US"/>
        </w:rPr>
        <w:t>ed as a helpless young woman, unable to escape her inevitable fate of becoming a concubine.</w:t>
      </w:r>
      <w:r w:rsidRPr="00E30012">
        <w:rPr>
          <w:rStyle w:val="FootnoteReference"/>
          <w:rFonts w:cs="Calibri"/>
          <w:lang w:val="en-US"/>
        </w:rPr>
        <w:footnoteReference w:id="158"/>
      </w:r>
      <w:r>
        <w:rPr>
          <w:rFonts w:cs="Calibri"/>
          <w:lang w:val="en-US"/>
        </w:rPr>
        <w:t xml:space="preserve"> </w:t>
      </w:r>
      <w:r w:rsidRPr="00E30012">
        <w:rPr>
          <w:rFonts w:cs="Calibri"/>
          <w:lang w:val="en-US"/>
        </w:rPr>
        <w:t xml:space="preserve">Stoler </w:t>
      </w:r>
      <w:r>
        <w:rPr>
          <w:rFonts w:cs="Calibri"/>
          <w:lang w:val="en-US"/>
        </w:rPr>
        <w:t>reiterates this eroticization of ‘native bodies’, building on Edward Said’s argument that ‘the wide range of sexual and gendered metaphors in which the feminized colonies, and the women in it, were to be penetrated, raped, silenced and (dis)possessed’.</w:t>
      </w:r>
      <w:r>
        <w:rPr>
          <w:rStyle w:val="FootnoteReference"/>
          <w:rFonts w:cs="Calibri"/>
          <w:lang w:val="en-US"/>
        </w:rPr>
        <w:footnoteReference w:id="159"/>
      </w:r>
      <w:r>
        <w:rPr>
          <w:rFonts w:cs="Calibri"/>
          <w:lang w:val="en-US"/>
        </w:rPr>
        <w:t xml:space="preserve"> Taking a Foucauldian perspective </w:t>
      </w:r>
      <w:r w:rsidRPr="00F818E5">
        <w:rPr>
          <w:rFonts w:cs="Calibri"/>
          <w:i/>
          <w:iCs/>
          <w:lang w:val="en-US"/>
        </w:rPr>
        <w:t>and</w:t>
      </w:r>
      <w:r>
        <w:rPr>
          <w:rFonts w:cs="Calibri"/>
          <w:lang w:val="en-US"/>
        </w:rPr>
        <w:t xml:space="preserve"> taking into account gender, race and class, these colonial discourses of sexuality distinguished a self-restrained, self-disciplined and managed European sexuality from the stereotypical, illegitimate sexuality of Indonesian women. Sexual distinctions based on gender, race and class ultimately affirmed a notion of European culture, and ‘its prescriptions for white normality’.</w:t>
      </w:r>
      <w:r>
        <w:rPr>
          <w:rStyle w:val="FootnoteReference"/>
          <w:rFonts w:cs="Calibri"/>
          <w:lang w:val="en-US"/>
        </w:rPr>
        <w:footnoteReference w:id="160"/>
      </w:r>
    </w:p>
    <w:p w14:paraId="5BF9B5A1" w14:textId="77777777" w:rsidR="009847E8" w:rsidRPr="001D6CB4" w:rsidRDefault="009847E8">
      <w:pPr>
        <w:pStyle w:val="Maxhoofdtekst"/>
        <w:numPr>
          <w:ilvl w:val="1"/>
          <w:numId w:val="5"/>
        </w:numPr>
        <w:spacing w:line="276" w:lineRule="auto"/>
        <w:outlineLvl w:val="1"/>
        <w:rPr>
          <w:rFonts w:cs="Calibri"/>
          <w:b/>
          <w:bCs/>
          <w:lang w:val="en-US"/>
        </w:rPr>
      </w:pPr>
      <w:bookmarkStart w:id="25" w:name="_Toc234183615"/>
      <w:r w:rsidRPr="001D6CB4">
        <w:rPr>
          <w:rFonts w:cs="Calibri"/>
          <w:b/>
          <w:bCs/>
          <w:lang w:val="en-US"/>
        </w:rPr>
        <w:t xml:space="preserve">Colonial </w:t>
      </w:r>
      <w:r>
        <w:rPr>
          <w:rFonts w:cs="Calibri"/>
          <w:b/>
          <w:bCs/>
          <w:lang w:val="en-US"/>
        </w:rPr>
        <w:t>legal pluralism and racial classifications</w:t>
      </w:r>
      <w:bookmarkEnd w:id="25"/>
    </w:p>
    <w:p w14:paraId="15B9D2B5" w14:textId="77777777" w:rsidR="009847E8" w:rsidRPr="00884BC9" w:rsidRDefault="009847E8">
      <w:pPr>
        <w:pStyle w:val="Maxhoofdtekst"/>
        <w:numPr>
          <w:ilvl w:val="2"/>
          <w:numId w:val="5"/>
        </w:numPr>
        <w:spacing w:line="276" w:lineRule="auto"/>
        <w:outlineLvl w:val="2"/>
        <w:rPr>
          <w:rFonts w:cs="Calibri"/>
          <w:lang w:val="en-US"/>
        </w:rPr>
      </w:pPr>
      <w:bookmarkStart w:id="26" w:name="_Toc234183616"/>
      <w:r>
        <w:rPr>
          <w:rFonts w:cs="Calibri"/>
          <w:lang w:val="en-US"/>
        </w:rPr>
        <w:t>Racial classifications in the law</w:t>
      </w:r>
      <w:bookmarkEnd w:id="26"/>
      <w:r>
        <w:rPr>
          <w:rFonts w:cs="Calibri"/>
          <w:lang w:val="en-US"/>
        </w:rPr>
        <w:t xml:space="preserve"> </w:t>
      </w:r>
    </w:p>
    <w:p w14:paraId="14D52ED7" w14:textId="77777777" w:rsidR="009847E8" w:rsidRPr="001D6CB4" w:rsidRDefault="009847E8" w:rsidP="000D6B84">
      <w:pPr>
        <w:pStyle w:val="Maxhoofdtekst"/>
        <w:spacing w:line="276" w:lineRule="auto"/>
        <w:ind w:firstLine="284"/>
        <w:rPr>
          <w:rFonts w:cs="Calibri"/>
          <w:lang w:val="en-US"/>
        </w:rPr>
      </w:pPr>
      <w:r w:rsidRPr="001D6CB4">
        <w:rPr>
          <w:rFonts w:cs="Calibri"/>
          <w:lang w:val="en-US"/>
        </w:rPr>
        <w:lastRenderedPageBreak/>
        <w:t xml:space="preserve">Who </w:t>
      </w:r>
      <w:r w:rsidRPr="00D03C40">
        <w:rPr>
          <w:rFonts w:cs="Calibri"/>
          <w:color w:val="000000" w:themeColor="text1"/>
          <w:lang w:val="en-US"/>
        </w:rPr>
        <w:t xml:space="preserve">was </w:t>
      </w:r>
      <w:r w:rsidRPr="001D6CB4">
        <w:rPr>
          <w:rFonts w:cs="Calibri"/>
          <w:lang w:val="en-US"/>
        </w:rPr>
        <w:t xml:space="preserve">classified as a true European in the Dutch colonial society was not </w:t>
      </w:r>
      <w:r>
        <w:rPr>
          <w:rFonts w:cs="Calibri"/>
          <w:lang w:val="en-US"/>
        </w:rPr>
        <w:t xml:space="preserve">solely </w:t>
      </w:r>
      <w:r w:rsidRPr="001D6CB4">
        <w:rPr>
          <w:rFonts w:cs="Calibri"/>
          <w:lang w:val="en-US"/>
        </w:rPr>
        <w:t xml:space="preserve">decided by birth but </w:t>
      </w:r>
      <w:r>
        <w:rPr>
          <w:rFonts w:cs="Calibri"/>
          <w:lang w:val="en-US"/>
        </w:rPr>
        <w:t xml:space="preserve">also </w:t>
      </w:r>
      <w:r w:rsidRPr="001D6CB4">
        <w:rPr>
          <w:rFonts w:cs="Calibri"/>
          <w:lang w:val="en-US"/>
        </w:rPr>
        <w:t>contingent on class and environment.</w:t>
      </w:r>
      <w:r w:rsidRPr="001D6CB4">
        <w:rPr>
          <w:rStyle w:val="FootnoteReference"/>
          <w:rFonts w:cs="Calibri"/>
          <w:lang w:val="en-US"/>
        </w:rPr>
        <w:footnoteReference w:id="161"/>
      </w:r>
      <w:r w:rsidRPr="001D6CB4">
        <w:rPr>
          <w:rFonts w:cs="Calibri"/>
          <w:lang w:val="en-US"/>
        </w:rPr>
        <w:t xml:space="preserve"> This becomes clear from W.L. Ritter’s description of the ‘European in Dutch East Indies’</w:t>
      </w:r>
      <w:r>
        <w:rPr>
          <w:rFonts w:cs="Calibri"/>
          <w:lang w:val="en-US"/>
        </w:rPr>
        <w:t xml:space="preserve"> in 1856:</w:t>
      </w:r>
      <w:r w:rsidRPr="001D6CB4">
        <w:rPr>
          <w:rFonts w:cs="Calibri"/>
          <w:lang w:val="en-US"/>
        </w:rPr>
        <w:t xml:space="preserve"> </w:t>
      </w:r>
    </w:p>
    <w:p w14:paraId="5172B3B7" w14:textId="77777777" w:rsidR="009847E8" w:rsidRPr="001D6CB4" w:rsidRDefault="009847E8" w:rsidP="000D6B84">
      <w:pPr>
        <w:pStyle w:val="Maxhoofdtekst"/>
        <w:spacing w:line="276" w:lineRule="auto"/>
        <w:ind w:left="284"/>
        <w:rPr>
          <w:rFonts w:cs="Calibri"/>
          <w:lang w:val="en-US"/>
        </w:rPr>
      </w:pPr>
      <w:r w:rsidRPr="001D6CB4">
        <w:rPr>
          <w:rFonts w:cs="Calibri"/>
          <w:lang w:val="en-US"/>
        </w:rPr>
        <w:t xml:space="preserve">‘We count as European all those with white faces, who are not born in the Indies, all Dutch, English, French, Germans, even North Americans. (…) But you are greatly mistaken, readers, for a European in the Indies is an entirely different being than in his country (…) There, he identifies himself so much with all that surrounds him that he no longer can be considered as a European, at least for the duration of his stay in the </w:t>
      </w:r>
      <w:r>
        <w:rPr>
          <w:rFonts w:cs="Calibri"/>
          <w:lang w:val="en-US"/>
        </w:rPr>
        <w:t>I</w:t>
      </w:r>
      <w:r w:rsidRPr="001D6CB4">
        <w:rPr>
          <w:rFonts w:cs="Calibri"/>
          <w:lang w:val="en-US"/>
        </w:rPr>
        <w:t>ndies, but rather as belonging to a specific caste of the Indische population (…) whose morals, customs and habits are certainly worthy of close examination.’</w:t>
      </w:r>
      <w:r w:rsidRPr="001D6CB4">
        <w:rPr>
          <w:rStyle w:val="FootnoteReference"/>
          <w:rFonts w:cs="Calibri"/>
          <w:lang w:val="en-US"/>
        </w:rPr>
        <w:footnoteReference w:id="162"/>
      </w:r>
    </w:p>
    <w:p w14:paraId="38654381" w14:textId="77777777" w:rsidR="009847E8" w:rsidRDefault="009847E8" w:rsidP="004D444D">
      <w:pPr>
        <w:pStyle w:val="Maxhoofdtekst"/>
        <w:spacing w:line="276" w:lineRule="auto"/>
        <w:ind w:firstLine="284"/>
        <w:rPr>
          <w:rFonts w:cs="Calibri"/>
          <w:lang w:val="en-US"/>
        </w:rPr>
      </w:pPr>
      <w:r>
        <w:rPr>
          <w:rFonts w:cs="Calibri"/>
          <w:lang w:val="en-US"/>
        </w:rPr>
        <w:t>The</w:t>
      </w:r>
      <w:r w:rsidRPr="001D6CB4">
        <w:rPr>
          <w:rFonts w:cs="Calibri"/>
          <w:lang w:val="en-US"/>
        </w:rPr>
        <w:t xml:space="preserve"> Dutch colonial government tried to preserve the European identity </w:t>
      </w:r>
      <w:r>
        <w:rPr>
          <w:rFonts w:cs="Calibri"/>
          <w:lang w:val="en-US"/>
        </w:rPr>
        <w:t>by</w:t>
      </w:r>
      <w:r w:rsidRPr="001D6CB4">
        <w:rPr>
          <w:rFonts w:cs="Calibri"/>
          <w:lang w:val="en-US"/>
        </w:rPr>
        <w:t xml:space="preserve"> racial</w:t>
      </w:r>
      <w:r>
        <w:rPr>
          <w:rFonts w:cs="Calibri"/>
          <w:lang w:val="en-US"/>
        </w:rPr>
        <w:t>ly classifying</w:t>
      </w:r>
      <w:r w:rsidRPr="001D6CB4">
        <w:rPr>
          <w:rFonts w:cs="Calibri"/>
          <w:lang w:val="en-US"/>
        </w:rPr>
        <w:t xml:space="preserve"> its citizens.</w:t>
      </w:r>
      <w:r w:rsidRPr="001D6CB4">
        <w:rPr>
          <w:rStyle w:val="FootnoteReference"/>
          <w:rFonts w:cs="Calibri"/>
          <w:lang w:val="en-US"/>
        </w:rPr>
        <w:footnoteReference w:id="163"/>
      </w:r>
      <w:r w:rsidRPr="001D6CB4">
        <w:rPr>
          <w:rFonts w:cs="Calibri"/>
          <w:lang w:val="en-US"/>
        </w:rPr>
        <w:t xml:space="preserve"> </w:t>
      </w:r>
      <w:r>
        <w:rPr>
          <w:rFonts w:cs="Calibri"/>
          <w:lang w:val="en-US"/>
        </w:rPr>
        <w:t xml:space="preserve">Here, I depart from Foucault and Stoler’s </w:t>
      </w:r>
      <w:r w:rsidRPr="001841DA">
        <w:rPr>
          <w:lang w:val="en-US"/>
        </w:rPr>
        <w:t xml:space="preserve">privileging of </w:t>
      </w:r>
      <w:r>
        <w:rPr>
          <w:lang w:val="en-US"/>
        </w:rPr>
        <w:t xml:space="preserve">a </w:t>
      </w:r>
      <w:r w:rsidRPr="001841DA">
        <w:rPr>
          <w:lang w:val="en-US"/>
        </w:rPr>
        <w:t>disciplinary</w:t>
      </w:r>
      <w:r>
        <w:rPr>
          <w:lang w:val="en-US"/>
        </w:rPr>
        <w:t xml:space="preserve"> model of power</w:t>
      </w:r>
      <w:r w:rsidRPr="001841DA">
        <w:rPr>
          <w:lang w:val="en-US"/>
        </w:rPr>
        <w:t xml:space="preserve"> over </w:t>
      </w:r>
      <w:r>
        <w:rPr>
          <w:lang w:val="en-US"/>
        </w:rPr>
        <w:t xml:space="preserve">a </w:t>
      </w:r>
      <w:r w:rsidRPr="001841DA">
        <w:rPr>
          <w:lang w:val="en-US"/>
        </w:rPr>
        <w:t xml:space="preserve">juridical </w:t>
      </w:r>
      <w:r>
        <w:rPr>
          <w:lang w:val="en-US"/>
        </w:rPr>
        <w:t xml:space="preserve">model of </w:t>
      </w:r>
      <w:r w:rsidRPr="001841DA">
        <w:rPr>
          <w:lang w:val="en-US"/>
        </w:rPr>
        <w:t>power</w:t>
      </w:r>
      <w:r w:rsidRPr="001841DA">
        <w:rPr>
          <w:rFonts w:cs="Calibri"/>
          <w:lang w:val="en-US"/>
        </w:rPr>
        <w:t>.</w:t>
      </w:r>
      <w:r>
        <w:rPr>
          <w:rFonts w:cs="Calibri"/>
          <w:lang w:val="en-US"/>
        </w:rPr>
        <w:t xml:space="preserve"> </w:t>
      </w:r>
      <w:r w:rsidRPr="0001459B">
        <w:rPr>
          <w:rFonts w:cs="Calibri"/>
          <w:lang w:val="en-US"/>
        </w:rPr>
        <w:t>As discussed in the first chapter,</w:t>
      </w:r>
      <w:r w:rsidRPr="001841DA">
        <w:rPr>
          <w:rFonts w:cs="Calibri"/>
          <w:lang w:val="en-US"/>
        </w:rPr>
        <w:t xml:space="preserve"> </w:t>
      </w:r>
      <w:r>
        <w:rPr>
          <w:rFonts w:cs="Calibri"/>
          <w:lang w:val="en-US"/>
        </w:rPr>
        <w:t xml:space="preserve">Foucault argues </w:t>
      </w:r>
      <w:r w:rsidRPr="001D6CB4">
        <w:rPr>
          <w:rFonts w:cs="Calibri"/>
          <w:lang w:val="en-US"/>
        </w:rPr>
        <w:t>–</w:t>
      </w:r>
      <w:r>
        <w:rPr>
          <w:rFonts w:cs="Calibri"/>
          <w:lang w:val="en-US"/>
        </w:rPr>
        <w:t xml:space="preserve"> and Stoler concurs </w:t>
      </w:r>
      <w:r w:rsidRPr="001D6CB4">
        <w:rPr>
          <w:rFonts w:cs="Calibri"/>
          <w:lang w:val="en-US"/>
        </w:rPr>
        <w:t>–</w:t>
      </w:r>
      <w:r>
        <w:rPr>
          <w:rFonts w:cs="Calibri"/>
          <w:lang w:val="en-US"/>
        </w:rPr>
        <w:t xml:space="preserve"> </w:t>
      </w:r>
      <w:r w:rsidRPr="001841DA">
        <w:rPr>
          <w:lang w:val="en-US"/>
        </w:rPr>
        <w:t>that the juridico-repressive model of power is analytically insufficient for understanding the modern biopolitical state</w:t>
      </w:r>
      <w:r>
        <w:rPr>
          <w:rFonts w:cs="Calibri"/>
          <w:lang w:val="en-US"/>
        </w:rPr>
        <w:t>.</w:t>
      </w:r>
      <w:r>
        <w:rPr>
          <w:rStyle w:val="FootnoteReference"/>
          <w:rFonts w:cs="Calibri"/>
          <w:lang w:val="en-US"/>
        </w:rPr>
        <w:footnoteReference w:id="164"/>
      </w:r>
      <w:r>
        <w:rPr>
          <w:rFonts w:cs="Calibri"/>
          <w:lang w:val="en-US"/>
        </w:rPr>
        <w:t xml:space="preserve"> </w:t>
      </w:r>
      <w:r w:rsidRPr="0001459B">
        <w:rPr>
          <w:rFonts w:cs="Calibri"/>
          <w:lang w:val="en-US"/>
        </w:rPr>
        <w:t xml:space="preserve">Therefore, both </w:t>
      </w:r>
      <w:r>
        <w:rPr>
          <w:rFonts w:cs="Calibri"/>
          <w:lang w:val="en-US"/>
        </w:rPr>
        <w:t>discard</w:t>
      </w:r>
      <w:r w:rsidRPr="0001459B">
        <w:rPr>
          <w:rFonts w:cs="Calibri"/>
          <w:lang w:val="en-US"/>
        </w:rPr>
        <w:t xml:space="preserve"> a juridical form of power as a mode of analysis of modern power relations.</w:t>
      </w:r>
      <w:r>
        <w:rPr>
          <w:rFonts w:cs="Calibri"/>
          <w:lang w:val="en-US"/>
        </w:rPr>
        <w:t xml:space="preserve"> However, I argued that this view underestimates the law and reduces it to a mere repressive, dominating mechanism of power. In the colonial state, the law was often used to maintain a racial, gendered order, but can also be used to contest this ordering. By dismissing juridical power as irrelevant for analyzing colonial biopower, both Foucault and Stoler risk overlooking the role of law and litigation in colonial courts as sites of resistance and contestation of existing power relations, or the preservation of the colonial social order. In this section, I turn to the role of law in producing racial classifications in the Dutch East Indies.</w:t>
      </w:r>
    </w:p>
    <w:p w14:paraId="1FDB8568" w14:textId="77777777" w:rsidR="009847E8" w:rsidRDefault="009847E8" w:rsidP="004D444D">
      <w:pPr>
        <w:pStyle w:val="Maxhoofdtekst"/>
        <w:spacing w:line="276" w:lineRule="auto"/>
        <w:ind w:firstLine="284"/>
        <w:rPr>
          <w:rFonts w:cs="Calibri"/>
          <w:lang w:val="en-US"/>
        </w:rPr>
      </w:pPr>
      <w:r w:rsidRPr="001D6CB4">
        <w:rPr>
          <w:rFonts w:cs="Calibri"/>
          <w:lang w:val="en-US"/>
        </w:rPr>
        <w:t xml:space="preserve">Racial classifications were an inherent part </w:t>
      </w:r>
      <w:r>
        <w:rPr>
          <w:rFonts w:cs="Calibri"/>
          <w:lang w:val="en-US"/>
        </w:rPr>
        <w:t xml:space="preserve">of the legal system in </w:t>
      </w:r>
      <w:r w:rsidRPr="001D6CB4">
        <w:rPr>
          <w:rFonts w:cs="Calibri"/>
          <w:lang w:val="en-US"/>
        </w:rPr>
        <w:t>the Dutch East Indies</w:t>
      </w:r>
      <w:r>
        <w:rPr>
          <w:rFonts w:cs="Calibri"/>
          <w:lang w:val="en-US"/>
        </w:rPr>
        <w:t xml:space="preserve"> </w:t>
      </w:r>
      <w:r w:rsidRPr="001D6CB4">
        <w:rPr>
          <w:rFonts w:cs="Calibri"/>
          <w:lang w:val="en-US"/>
        </w:rPr>
        <w:t xml:space="preserve">during the second half of the </w:t>
      </w:r>
      <w:r>
        <w:rPr>
          <w:rFonts w:cs="Calibri"/>
          <w:lang w:val="en-US"/>
        </w:rPr>
        <w:t>nineteenth</w:t>
      </w:r>
      <w:r w:rsidRPr="001D6CB4">
        <w:rPr>
          <w:rFonts w:cs="Calibri"/>
          <w:lang w:val="en-US"/>
        </w:rPr>
        <w:t xml:space="preserve"> century and the </w:t>
      </w:r>
      <w:r>
        <w:rPr>
          <w:rFonts w:cs="Calibri"/>
          <w:lang w:val="en-US"/>
        </w:rPr>
        <w:t>early twentieth</w:t>
      </w:r>
      <w:r w:rsidRPr="001D6CB4">
        <w:rPr>
          <w:rFonts w:cs="Calibri"/>
          <w:lang w:val="en-US"/>
        </w:rPr>
        <w:t xml:space="preserve"> century</w:t>
      </w:r>
      <w:r>
        <w:rPr>
          <w:rFonts w:cs="Calibri"/>
          <w:lang w:val="en-US"/>
        </w:rPr>
        <w:t>. They were</w:t>
      </w:r>
      <w:r w:rsidRPr="001D6CB4">
        <w:rPr>
          <w:rFonts w:cs="Calibri"/>
          <w:lang w:val="en-US"/>
        </w:rPr>
        <w:t xml:space="preserve"> officially </w:t>
      </w:r>
      <w:r>
        <w:rPr>
          <w:rFonts w:cs="Calibri"/>
          <w:lang w:val="en-US"/>
        </w:rPr>
        <w:t>incorporated</w:t>
      </w:r>
      <w:r w:rsidRPr="001D6CB4">
        <w:rPr>
          <w:rFonts w:cs="Calibri"/>
          <w:lang w:val="en-US"/>
        </w:rPr>
        <w:t xml:space="preserve"> into th</w:t>
      </w:r>
      <w:r>
        <w:rPr>
          <w:rFonts w:cs="Calibri"/>
          <w:lang w:val="en-US"/>
        </w:rPr>
        <w:t xml:space="preserve">is </w:t>
      </w:r>
      <w:r w:rsidRPr="001D6CB4">
        <w:rPr>
          <w:rFonts w:cs="Calibri"/>
          <w:lang w:val="en-US"/>
        </w:rPr>
        <w:t>system in 1854.</w:t>
      </w:r>
      <w:r w:rsidRPr="001D6CB4">
        <w:rPr>
          <w:rStyle w:val="FootnoteReference"/>
          <w:rFonts w:cs="Calibri"/>
          <w:lang w:val="en-US"/>
        </w:rPr>
        <w:footnoteReference w:id="165"/>
      </w:r>
      <w:r w:rsidRPr="001D6CB4">
        <w:rPr>
          <w:rFonts w:cs="Calibri"/>
          <w:lang w:val="en-US"/>
        </w:rPr>
        <w:t xml:space="preserve"> </w:t>
      </w:r>
      <w:r>
        <w:rPr>
          <w:rFonts w:cs="Calibri"/>
          <w:lang w:val="en-US"/>
        </w:rPr>
        <w:t>T</w:t>
      </w:r>
      <w:r w:rsidRPr="001D6CB4">
        <w:rPr>
          <w:rFonts w:cs="Calibri"/>
          <w:lang w:val="en-US"/>
        </w:rPr>
        <w:t xml:space="preserve">he colony’s population </w:t>
      </w:r>
      <w:r>
        <w:rPr>
          <w:rFonts w:cs="Calibri"/>
          <w:lang w:val="en-US"/>
        </w:rPr>
        <w:t xml:space="preserve">was divided </w:t>
      </w:r>
      <w:r w:rsidRPr="001D6CB4">
        <w:rPr>
          <w:rFonts w:cs="Calibri"/>
          <w:lang w:val="en-US"/>
        </w:rPr>
        <w:t>into three racial</w:t>
      </w:r>
      <w:r>
        <w:rPr>
          <w:rFonts w:cs="Calibri"/>
          <w:lang w:val="en-US"/>
        </w:rPr>
        <w:t xml:space="preserve"> </w:t>
      </w:r>
      <w:r w:rsidRPr="001D6CB4">
        <w:rPr>
          <w:rFonts w:cs="Calibri"/>
          <w:lang w:val="en-US"/>
        </w:rPr>
        <w:t>categories: ‘Europeans’, ‘Natives’ and ‘Foreign Orientals’.</w:t>
      </w:r>
      <w:r w:rsidRPr="001D6CB4">
        <w:rPr>
          <w:rStyle w:val="FootnoteReference"/>
          <w:rFonts w:cs="Calibri"/>
          <w:lang w:val="en-US"/>
        </w:rPr>
        <w:footnoteReference w:id="166"/>
      </w:r>
      <w:r w:rsidRPr="001D6CB4">
        <w:rPr>
          <w:rFonts w:cs="Calibri"/>
          <w:lang w:val="en-US"/>
        </w:rPr>
        <w:t xml:space="preserve"> The </w:t>
      </w:r>
      <w:r>
        <w:rPr>
          <w:rFonts w:cs="Calibri"/>
          <w:lang w:val="en-US"/>
        </w:rPr>
        <w:t>‘native’</w:t>
      </w:r>
      <w:r w:rsidRPr="001D6CB4">
        <w:rPr>
          <w:rFonts w:cs="Calibri"/>
          <w:lang w:val="en-US"/>
        </w:rPr>
        <w:t xml:space="preserve"> classification encompassed </w:t>
      </w:r>
      <w:r>
        <w:rPr>
          <w:rFonts w:cs="Calibri"/>
          <w:lang w:val="en-US"/>
        </w:rPr>
        <w:t>all</w:t>
      </w:r>
      <w:r w:rsidRPr="001D6CB4">
        <w:rPr>
          <w:rFonts w:cs="Calibri"/>
          <w:lang w:val="en-US"/>
        </w:rPr>
        <w:t xml:space="preserve"> indigenous </w:t>
      </w:r>
      <w:r>
        <w:rPr>
          <w:rFonts w:cs="Calibri"/>
          <w:lang w:val="en-US"/>
        </w:rPr>
        <w:t>inhabitants</w:t>
      </w:r>
      <w:r w:rsidRPr="001D6CB4">
        <w:rPr>
          <w:rFonts w:cs="Calibri"/>
          <w:lang w:val="en-US"/>
        </w:rPr>
        <w:t xml:space="preserve"> of the Dutch East Indies, and those who </w:t>
      </w:r>
      <w:r w:rsidRPr="00C10C66">
        <w:rPr>
          <w:rFonts w:cs="Calibri"/>
          <w:color w:val="000000" w:themeColor="text1"/>
          <w:lang w:val="en-US"/>
        </w:rPr>
        <w:t xml:space="preserve">had </w:t>
      </w:r>
      <w:r w:rsidRPr="001D6CB4">
        <w:rPr>
          <w:rFonts w:cs="Calibri"/>
          <w:lang w:val="en-US"/>
        </w:rPr>
        <w:t>assimilated into the indigenous population.</w:t>
      </w:r>
      <w:r w:rsidRPr="001D6CB4">
        <w:rPr>
          <w:rStyle w:val="FootnoteReference"/>
          <w:rFonts w:cs="Calibri"/>
          <w:lang w:val="en-US"/>
        </w:rPr>
        <w:footnoteReference w:id="167"/>
      </w:r>
      <w:r w:rsidRPr="001D6CB4">
        <w:rPr>
          <w:rFonts w:cs="Calibri"/>
          <w:lang w:val="en-US"/>
        </w:rPr>
        <w:t xml:space="preserve"> </w:t>
      </w:r>
      <w:r>
        <w:rPr>
          <w:rFonts w:cs="Calibri"/>
          <w:lang w:val="en-US"/>
        </w:rPr>
        <w:t>The ‘European’ category included</w:t>
      </w:r>
      <w:r w:rsidRPr="001D6CB4">
        <w:rPr>
          <w:rFonts w:cs="Calibri"/>
          <w:lang w:val="en-US"/>
        </w:rPr>
        <w:t xml:space="preserve"> white Europeans and, from 1899, Japanese</w:t>
      </w:r>
      <w:r>
        <w:rPr>
          <w:rFonts w:cs="Calibri"/>
          <w:lang w:val="en-US"/>
        </w:rPr>
        <w:t xml:space="preserve"> people</w:t>
      </w:r>
      <w:r w:rsidRPr="001D6CB4">
        <w:rPr>
          <w:rFonts w:cs="Calibri"/>
          <w:lang w:val="en-US"/>
        </w:rPr>
        <w:t xml:space="preserve">. </w:t>
      </w:r>
      <w:r>
        <w:rPr>
          <w:rFonts w:cs="Calibri"/>
          <w:lang w:val="en-US"/>
        </w:rPr>
        <w:t>Indo-Europeans, descendants from Indonesian women and European men, were classified as European if they were legally recognized by their European fathers.</w:t>
      </w:r>
      <w:r>
        <w:rPr>
          <w:rStyle w:val="FootnoteReference"/>
          <w:rFonts w:cs="Calibri"/>
          <w:lang w:val="en-US"/>
        </w:rPr>
        <w:footnoteReference w:id="168"/>
      </w:r>
    </w:p>
    <w:p w14:paraId="43999C94" w14:textId="77777777" w:rsidR="009847E8" w:rsidRDefault="009847E8" w:rsidP="004D444D">
      <w:pPr>
        <w:pStyle w:val="Maxhoofdtekst"/>
        <w:spacing w:line="276" w:lineRule="auto"/>
        <w:ind w:firstLine="284"/>
        <w:rPr>
          <w:rFonts w:cs="Calibri"/>
          <w:lang w:val="en-US"/>
        </w:rPr>
      </w:pPr>
      <w:r>
        <w:rPr>
          <w:rFonts w:cs="Calibri"/>
          <w:lang w:val="en-US"/>
        </w:rPr>
        <w:t>The</w:t>
      </w:r>
      <w:r w:rsidRPr="001D6CB4">
        <w:rPr>
          <w:rFonts w:cs="Calibri"/>
          <w:lang w:val="en-US"/>
        </w:rPr>
        <w:t xml:space="preserve"> </w:t>
      </w:r>
      <w:r>
        <w:rPr>
          <w:rFonts w:cs="Calibri"/>
          <w:lang w:val="en-US"/>
        </w:rPr>
        <w:t>g</w:t>
      </w:r>
      <w:r w:rsidRPr="001D6CB4">
        <w:rPr>
          <w:rFonts w:cs="Calibri"/>
          <w:lang w:val="en-US"/>
        </w:rPr>
        <w:t xml:space="preserve">overnment </w:t>
      </w:r>
      <w:r>
        <w:rPr>
          <w:rFonts w:cs="Calibri"/>
          <w:lang w:val="en-US"/>
        </w:rPr>
        <w:t>r</w:t>
      </w:r>
      <w:r w:rsidRPr="001D6CB4">
        <w:rPr>
          <w:rFonts w:cs="Calibri"/>
          <w:lang w:val="en-US"/>
        </w:rPr>
        <w:t xml:space="preserve">egulation </w:t>
      </w:r>
      <w:r>
        <w:rPr>
          <w:rFonts w:cs="Calibri"/>
          <w:lang w:val="en-US"/>
        </w:rPr>
        <w:t xml:space="preserve">also established </w:t>
      </w:r>
      <w:r w:rsidRPr="001D6CB4">
        <w:rPr>
          <w:rFonts w:cs="Calibri"/>
          <w:lang w:val="en-US"/>
        </w:rPr>
        <w:t>a ‘</w:t>
      </w:r>
      <w:r>
        <w:rPr>
          <w:rFonts w:cs="Calibri"/>
          <w:lang w:val="en-US"/>
        </w:rPr>
        <w:t>legal s</w:t>
      </w:r>
      <w:r w:rsidRPr="001D6CB4">
        <w:rPr>
          <w:rFonts w:cs="Calibri"/>
          <w:lang w:val="en-US"/>
        </w:rPr>
        <w:t>ystem of apartheid’</w:t>
      </w:r>
      <w:r>
        <w:rPr>
          <w:rFonts w:cs="Calibri"/>
          <w:lang w:val="en-US"/>
        </w:rPr>
        <w:t>, whereby t</w:t>
      </w:r>
      <w:r w:rsidRPr="00C10C66">
        <w:rPr>
          <w:rFonts w:cs="Calibri"/>
          <w:lang w:val="en-US"/>
        </w:rPr>
        <w:t>he racialized category that one fell</w:t>
      </w:r>
      <w:r>
        <w:rPr>
          <w:rFonts w:cs="Calibri"/>
          <w:lang w:val="en-US"/>
        </w:rPr>
        <w:t xml:space="preserve"> into</w:t>
      </w:r>
      <w:r w:rsidRPr="00C10C66">
        <w:rPr>
          <w:rFonts w:cs="Calibri"/>
          <w:lang w:val="en-US"/>
        </w:rPr>
        <w:t xml:space="preserve"> determined which set of laws </w:t>
      </w:r>
      <w:r>
        <w:rPr>
          <w:rFonts w:cs="Calibri"/>
          <w:lang w:val="en-US"/>
        </w:rPr>
        <w:t>they were</w:t>
      </w:r>
      <w:r w:rsidRPr="00C10C66">
        <w:rPr>
          <w:rFonts w:cs="Calibri"/>
          <w:lang w:val="en-US"/>
        </w:rPr>
        <w:t xml:space="preserve"> subject to.</w:t>
      </w:r>
      <w:r>
        <w:rPr>
          <w:rFonts w:cs="Calibri"/>
          <w:lang w:val="en-US"/>
        </w:rPr>
        <w:t xml:space="preserve"> This system of law is also known as </w:t>
      </w:r>
      <w:r>
        <w:rPr>
          <w:rFonts w:cs="Calibri"/>
          <w:i/>
          <w:iCs/>
          <w:lang w:val="en-US"/>
        </w:rPr>
        <w:t>i</w:t>
      </w:r>
      <w:r w:rsidRPr="00CE2C4A">
        <w:rPr>
          <w:rFonts w:cs="Calibri"/>
          <w:i/>
          <w:iCs/>
          <w:lang w:val="en-US"/>
        </w:rPr>
        <w:t xml:space="preserve">ntergentiel </w:t>
      </w:r>
      <w:r>
        <w:rPr>
          <w:rFonts w:cs="Calibri"/>
          <w:i/>
          <w:iCs/>
          <w:lang w:val="en-US"/>
        </w:rPr>
        <w:t>r</w:t>
      </w:r>
      <w:r w:rsidRPr="00CE2C4A">
        <w:rPr>
          <w:rFonts w:cs="Calibri"/>
          <w:i/>
          <w:iCs/>
          <w:lang w:val="en-US"/>
        </w:rPr>
        <w:t>echt</w:t>
      </w:r>
      <w:r>
        <w:rPr>
          <w:rFonts w:cs="Calibri"/>
          <w:lang w:val="en-US"/>
        </w:rPr>
        <w:t xml:space="preserve">, a racial system of legal pluralism. Citizens categorized as European ‘and their equals’ were subject to European laws, while citizens racialized as native ‘and their equals’ </w:t>
      </w:r>
      <w:r>
        <w:rPr>
          <w:rFonts w:cs="Calibri"/>
          <w:lang w:val="en-US"/>
        </w:rPr>
        <w:lastRenderedPageBreak/>
        <w:t>(foreign Orientals) were subject to their own law –</w:t>
      </w:r>
      <w:r>
        <w:rPr>
          <w:rFonts w:cs="Calibri"/>
          <w:i/>
          <w:iCs/>
          <w:lang w:val="en-US"/>
        </w:rPr>
        <w:t xml:space="preserve"> </w:t>
      </w:r>
      <w:r w:rsidRPr="00794806">
        <w:rPr>
          <w:rFonts w:cs="Calibri"/>
          <w:i/>
          <w:iCs/>
          <w:lang w:val="en-US"/>
        </w:rPr>
        <w:t>adatrecht</w:t>
      </w:r>
      <w:r>
        <w:rPr>
          <w:rFonts w:cs="Calibri"/>
          <w:lang w:val="en-US"/>
        </w:rPr>
        <w:t>.</w:t>
      </w:r>
      <w:r w:rsidRPr="001D6CB4">
        <w:rPr>
          <w:rStyle w:val="FootnoteReference"/>
          <w:rFonts w:cs="Calibri"/>
          <w:lang w:val="en-US"/>
        </w:rPr>
        <w:footnoteReference w:id="169"/>
      </w:r>
      <w:r>
        <w:rPr>
          <w:rFonts w:cs="Calibri"/>
          <w:lang w:val="en-US"/>
        </w:rPr>
        <w:t xml:space="preserve"> In 1892, th</w:t>
      </w:r>
      <w:r w:rsidRPr="001D6CB4">
        <w:rPr>
          <w:rFonts w:cs="Calibri"/>
          <w:lang w:val="en-US"/>
        </w:rPr>
        <w:t xml:space="preserve">e </w:t>
      </w:r>
      <w:r>
        <w:rPr>
          <w:rFonts w:cs="Calibri"/>
          <w:lang w:val="en-US"/>
        </w:rPr>
        <w:t>racial</w:t>
      </w:r>
      <w:r w:rsidRPr="001D6CB4">
        <w:rPr>
          <w:rFonts w:cs="Calibri"/>
          <w:lang w:val="en-US"/>
        </w:rPr>
        <w:t xml:space="preserve"> criteria </w:t>
      </w:r>
      <w:r>
        <w:rPr>
          <w:rFonts w:cs="Calibri"/>
          <w:lang w:val="en-US"/>
        </w:rPr>
        <w:t>set out i</w:t>
      </w:r>
      <w:r w:rsidRPr="001D6CB4">
        <w:rPr>
          <w:rFonts w:cs="Calibri"/>
          <w:lang w:val="en-US"/>
        </w:rPr>
        <w:t xml:space="preserve">n the 1854 Government Regulation were linked to the Nationality Act. Natives and their equals were excluded from Dutch citizenship, while those who were </w:t>
      </w:r>
      <w:r>
        <w:rPr>
          <w:rFonts w:cs="Calibri"/>
          <w:lang w:val="en-US"/>
        </w:rPr>
        <w:t xml:space="preserve">categorized as </w:t>
      </w:r>
      <w:r w:rsidRPr="001D6CB4">
        <w:rPr>
          <w:rFonts w:cs="Calibri"/>
          <w:lang w:val="en-US"/>
        </w:rPr>
        <w:t>‘European’ remained Dutch citizens.</w:t>
      </w:r>
      <w:r>
        <w:rPr>
          <w:rStyle w:val="FootnoteReference"/>
          <w:rFonts w:cs="Calibri"/>
          <w:lang w:val="en-US"/>
        </w:rPr>
        <w:footnoteReference w:id="170"/>
      </w:r>
      <w:r w:rsidRPr="001D6CB4">
        <w:rPr>
          <w:rFonts w:cs="Calibri"/>
          <w:lang w:val="en-US"/>
        </w:rPr>
        <w:t xml:space="preserve"> A person’s </w:t>
      </w:r>
      <w:r>
        <w:rPr>
          <w:rFonts w:cs="Calibri"/>
          <w:lang w:val="en-US"/>
        </w:rPr>
        <w:t>citizenship</w:t>
      </w:r>
      <w:r w:rsidRPr="001D6CB4">
        <w:rPr>
          <w:rFonts w:cs="Calibri"/>
          <w:lang w:val="en-US"/>
        </w:rPr>
        <w:t xml:space="preserve"> status </w:t>
      </w:r>
      <w:r>
        <w:rPr>
          <w:rFonts w:cs="Calibri"/>
          <w:lang w:val="en-US"/>
        </w:rPr>
        <w:t>determined</w:t>
      </w:r>
      <w:r w:rsidRPr="001D6CB4">
        <w:rPr>
          <w:rFonts w:cs="Calibri"/>
          <w:lang w:val="en-US"/>
        </w:rPr>
        <w:t xml:space="preserve"> their access to certain privileges and </w:t>
      </w:r>
      <w:r>
        <w:rPr>
          <w:rFonts w:cs="Calibri"/>
          <w:lang w:val="en-US"/>
        </w:rPr>
        <w:t>opportunities regarding</w:t>
      </w:r>
      <w:r w:rsidRPr="001D6CB4">
        <w:rPr>
          <w:rFonts w:cs="Calibri"/>
          <w:lang w:val="en-US"/>
        </w:rPr>
        <w:t xml:space="preserve"> education, career options, financial benefits</w:t>
      </w:r>
      <w:r>
        <w:rPr>
          <w:rFonts w:cs="Calibri"/>
          <w:lang w:val="en-US"/>
        </w:rPr>
        <w:t xml:space="preserve">, </w:t>
      </w:r>
      <w:r w:rsidRPr="001D6CB4">
        <w:rPr>
          <w:rFonts w:cs="Calibri"/>
          <w:lang w:val="en-US"/>
        </w:rPr>
        <w:t>and the access to a Dutch court of law.</w:t>
      </w:r>
      <w:r w:rsidRPr="001D6CB4">
        <w:rPr>
          <w:rStyle w:val="FootnoteReference"/>
          <w:rFonts w:cs="Calibri"/>
          <w:lang w:val="en-US"/>
        </w:rPr>
        <w:footnoteReference w:id="171"/>
      </w:r>
      <w:r w:rsidRPr="001D6CB4">
        <w:rPr>
          <w:rFonts w:cs="Calibri"/>
          <w:lang w:val="en-US"/>
        </w:rPr>
        <w:t xml:space="preserve"> Another </w:t>
      </w:r>
      <w:r>
        <w:rPr>
          <w:rFonts w:cs="Calibri"/>
          <w:lang w:val="en-US"/>
        </w:rPr>
        <w:t>example</w:t>
      </w:r>
      <w:r w:rsidRPr="001D6CB4">
        <w:rPr>
          <w:rFonts w:cs="Calibri"/>
          <w:lang w:val="en-US"/>
        </w:rPr>
        <w:t xml:space="preserve"> of legal categorization is </w:t>
      </w:r>
      <w:r>
        <w:rPr>
          <w:rFonts w:cs="Calibri"/>
          <w:lang w:val="en-US"/>
        </w:rPr>
        <w:t>the</w:t>
      </w:r>
      <w:r w:rsidRPr="001D6CB4">
        <w:rPr>
          <w:rFonts w:cs="Calibri"/>
          <w:lang w:val="en-US"/>
        </w:rPr>
        <w:t xml:space="preserve"> 1825 decree banning </w:t>
      </w:r>
      <w:r>
        <w:rPr>
          <w:rFonts w:cs="Calibri"/>
          <w:lang w:val="en-US"/>
        </w:rPr>
        <w:t>Indonesian</w:t>
      </w:r>
      <w:r w:rsidRPr="001D6CB4">
        <w:rPr>
          <w:rFonts w:cs="Calibri"/>
          <w:lang w:val="en-US"/>
        </w:rPr>
        <w:t xml:space="preserve"> and </w:t>
      </w:r>
      <w:r>
        <w:rPr>
          <w:rFonts w:cs="Calibri"/>
          <w:lang w:val="en-US"/>
        </w:rPr>
        <w:t>Indo-European</w:t>
      </w:r>
      <w:r w:rsidRPr="001D6CB4">
        <w:rPr>
          <w:rFonts w:cs="Calibri"/>
          <w:lang w:val="en-US"/>
        </w:rPr>
        <w:t xml:space="preserve"> citizens from politically influential posts in government, as such spots were reserved for men born and educated in the Netherlands.</w:t>
      </w:r>
      <w:r w:rsidRPr="001D6CB4">
        <w:rPr>
          <w:rStyle w:val="FootnoteReference"/>
          <w:rFonts w:cs="Calibri"/>
          <w:lang w:val="en-US"/>
        </w:rPr>
        <w:footnoteReference w:id="172"/>
      </w:r>
      <w:r w:rsidRPr="001D6CB4">
        <w:rPr>
          <w:rFonts w:cs="Calibri"/>
          <w:lang w:val="en-US"/>
        </w:rPr>
        <w:t xml:space="preserve"> This ban was extended to all posts in civil service by 1849. </w:t>
      </w:r>
    </w:p>
    <w:p w14:paraId="7718C3A3" w14:textId="77777777" w:rsidR="009847E8" w:rsidRDefault="009847E8" w:rsidP="005C3B61">
      <w:pPr>
        <w:pStyle w:val="Maxhoofdtekst"/>
        <w:spacing w:line="276" w:lineRule="auto"/>
        <w:ind w:firstLine="284"/>
        <w:rPr>
          <w:rFonts w:cs="Calibri"/>
          <w:lang w:val="en-US"/>
        </w:rPr>
      </w:pPr>
      <w:r w:rsidRPr="00F16727">
        <w:rPr>
          <w:rFonts w:cs="Calibri"/>
          <w:lang w:val="en-US"/>
        </w:rPr>
        <w:t xml:space="preserve">Racial categorization manifested itself in the form of legal interventions in family life and marriage. In 1848, the Civil Code for the Dutch East Indies was amended to allow interracialized marriages, provided that Indonesian </w:t>
      </w:r>
      <w:r>
        <w:rPr>
          <w:rFonts w:cs="Calibri"/>
          <w:lang w:val="en-US"/>
        </w:rPr>
        <w:t>women</w:t>
      </w:r>
      <w:r w:rsidRPr="00F16727">
        <w:rPr>
          <w:rFonts w:cs="Calibri"/>
          <w:lang w:val="en-US"/>
        </w:rPr>
        <w:t xml:space="preserve"> subjected </w:t>
      </w:r>
      <w:r>
        <w:rPr>
          <w:rFonts w:cs="Calibri"/>
          <w:lang w:val="en-US"/>
        </w:rPr>
        <w:t>themselves</w:t>
      </w:r>
      <w:r w:rsidRPr="00F16727">
        <w:rPr>
          <w:rFonts w:cs="Calibri"/>
          <w:lang w:val="en-US"/>
        </w:rPr>
        <w:t xml:space="preserve"> to European law instead of the customary native law (</w:t>
      </w:r>
      <w:r w:rsidRPr="005C3389">
        <w:rPr>
          <w:rFonts w:cs="Calibri"/>
          <w:i/>
          <w:iCs/>
          <w:lang w:val="en-US"/>
        </w:rPr>
        <w:t>adatrecht</w:t>
      </w:r>
      <w:r w:rsidRPr="00F16727">
        <w:rPr>
          <w:rFonts w:cs="Calibri"/>
          <w:lang w:val="en-US"/>
        </w:rPr>
        <w:t>).</w:t>
      </w:r>
      <w:r w:rsidRPr="00F16727">
        <w:rPr>
          <w:rStyle w:val="FootnoteReference"/>
          <w:rFonts w:cs="Calibri"/>
          <w:lang w:val="en-US"/>
        </w:rPr>
        <w:footnoteReference w:id="173"/>
      </w:r>
      <w:r w:rsidRPr="00F16727">
        <w:rPr>
          <w:rFonts w:cs="Calibri"/>
          <w:lang w:val="en-US"/>
        </w:rPr>
        <w:t xml:space="preserve"> Conversely, if an Indonesian man married a European woman, she would lose her European citizenship and be treated like a native citizen. </w:t>
      </w:r>
    </w:p>
    <w:p w14:paraId="0C16374F" w14:textId="77777777" w:rsidR="009847E8" w:rsidRPr="00F16727" w:rsidRDefault="009847E8" w:rsidP="007D443A">
      <w:pPr>
        <w:pStyle w:val="Maxhoofdtekst"/>
        <w:spacing w:line="276" w:lineRule="auto"/>
        <w:ind w:firstLine="284"/>
        <w:rPr>
          <w:rFonts w:cs="Calibri"/>
          <w:lang w:val="en-US"/>
        </w:rPr>
      </w:pPr>
      <w:r w:rsidRPr="00DF6FA8">
        <w:rPr>
          <w:rFonts w:cs="Calibri"/>
          <w:lang w:val="en-US"/>
        </w:rPr>
        <w:t>The racialization of marriage law was rooted in the discursive production of</w:t>
      </w:r>
      <w:r>
        <w:rPr>
          <w:rFonts w:cs="Calibri"/>
          <w:lang w:val="en-US"/>
        </w:rPr>
        <w:t xml:space="preserve"> racialized </w:t>
      </w:r>
      <w:r w:rsidRPr="00DF6FA8">
        <w:rPr>
          <w:rFonts w:cs="Calibri"/>
          <w:lang w:val="en-US"/>
        </w:rPr>
        <w:t>sexual</w:t>
      </w:r>
      <w:r>
        <w:rPr>
          <w:rFonts w:cs="Calibri"/>
          <w:lang w:val="en-US"/>
        </w:rPr>
        <w:t xml:space="preserve">ities </w:t>
      </w:r>
      <w:r w:rsidRPr="00DF6FA8">
        <w:rPr>
          <w:rFonts w:cs="Calibri"/>
          <w:lang w:val="en-US"/>
        </w:rPr>
        <w:t>in the colony.</w:t>
      </w:r>
      <w:r>
        <w:rPr>
          <w:rFonts w:cs="Calibri"/>
          <w:lang w:val="en-US"/>
        </w:rPr>
        <w:t xml:space="preserve"> In </w:t>
      </w:r>
      <w:r w:rsidRPr="006B3033">
        <w:rPr>
          <w:rFonts w:cs="Calibri"/>
          <w:i/>
          <w:iCs/>
          <w:lang w:val="en-US"/>
        </w:rPr>
        <w:t>Revolusi</w:t>
      </w:r>
      <w:r>
        <w:rPr>
          <w:rFonts w:cs="Calibri"/>
          <w:lang w:val="en-US"/>
        </w:rPr>
        <w:t>, David v</w:t>
      </w:r>
      <w:r w:rsidRPr="001D6CB4">
        <w:rPr>
          <w:rFonts w:cs="Calibri"/>
          <w:lang w:val="en-US"/>
        </w:rPr>
        <w:t>an Reybrouck describes the Dutch East Indies’ society as fundamentally segregated.</w:t>
      </w:r>
      <w:r w:rsidRPr="001D6CB4">
        <w:rPr>
          <w:rStyle w:val="FootnoteReference"/>
          <w:rFonts w:cs="Calibri"/>
          <w:lang w:val="en-US"/>
        </w:rPr>
        <w:footnoteReference w:id="174"/>
      </w:r>
      <w:r w:rsidRPr="001D6CB4">
        <w:rPr>
          <w:rFonts w:cs="Calibri"/>
          <w:lang w:val="en-US"/>
        </w:rPr>
        <w:t xml:space="preserve"> </w:t>
      </w:r>
      <w:r>
        <w:rPr>
          <w:rFonts w:cs="Calibri"/>
          <w:lang w:val="en-US"/>
        </w:rPr>
        <w:t>Within</w:t>
      </w:r>
      <w:r w:rsidRPr="001D6CB4">
        <w:rPr>
          <w:rFonts w:cs="Calibri"/>
          <w:lang w:val="en-US"/>
        </w:rPr>
        <w:t xml:space="preserve"> this segregated society, concubinage and </w:t>
      </w:r>
      <w:r w:rsidRPr="001D6CB4">
        <w:rPr>
          <w:rFonts w:cs="Calibri"/>
          <w:i/>
          <w:iCs/>
          <w:lang w:val="en-US"/>
        </w:rPr>
        <w:t xml:space="preserve">métissage </w:t>
      </w:r>
      <w:r w:rsidRPr="001D6CB4">
        <w:rPr>
          <w:rFonts w:cs="Calibri"/>
          <w:lang w:val="en-US"/>
        </w:rPr>
        <w:t>can be seen as a practice where citizens of different colonial categorizations met each</w:t>
      </w:r>
      <w:r w:rsidRPr="001D6CB4">
        <w:rPr>
          <w:rFonts w:cs="Calibri"/>
          <w:color w:val="FF0000"/>
          <w:lang w:val="en-US"/>
        </w:rPr>
        <w:t xml:space="preserve"> </w:t>
      </w:r>
      <w:r w:rsidRPr="001D6CB4">
        <w:rPr>
          <w:rFonts w:cs="Calibri"/>
          <w:lang w:val="en-US"/>
        </w:rPr>
        <w:t>other and procreated, where categorizations of citizens in the Dutch East Indies were deconstructed.</w:t>
      </w:r>
      <w:r w:rsidRPr="00E81550">
        <w:rPr>
          <w:rStyle w:val="FootnoteReference"/>
          <w:rFonts w:cs="Calibri"/>
          <w:lang w:val="en-US"/>
        </w:rPr>
        <w:footnoteReference w:id="175"/>
      </w:r>
      <w:r w:rsidRPr="00E81550">
        <w:rPr>
          <w:rFonts w:cs="Calibri"/>
          <w:lang w:val="en-US"/>
        </w:rPr>
        <w:t xml:space="preserve"> </w:t>
      </w:r>
      <w:r>
        <w:rPr>
          <w:rFonts w:cs="Calibri"/>
          <w:lang w:val="en-US"/>
        </w:rPr>
        <w:t>However, this deconstruction of categorizations was tied to fears of racial degeneracy and exposed the vulnerability of a supposedly established bourgeois European identity. As Stoler notes, ‘the family (…) should not be seen as a haven from the sexualities of a dangerous outside world, but as the site of their production’.</w:t>
      </w:r>
      <w:r>
        <w:rPr>
          <w:rStyle w:val="FootnoteReference"/>
          <w:rFonts w:cs="Calibri"/>
          <w:lang w:val="en-US"/>
        </w:rPr>
        <w:footnoteReference w:id="176"/>
      </w:r>
      <w:r>
        <w:rPr>
          <w:rFonts w:cs="Calibri"/>
          <w:lang w:val="en-US"/>
        </w:rPr>
        <w:t xml:space="preserve"> Indonesian women and their domestic habits, their ‘savage sexuality’, hygiene, and childrearing, posed a danger to the normalized European sexuality. Therefore, management of sex and </w:t>
      </w:r>
      <w:r>
        <w:rPr>
          <w:rFonts w:cs="Calibri"/>
          <w:lang w:val="en-US"/>
        </w:rPr>
        <w:lastRenderedPageBreak/>
        <w:t xml:space="preserve">marriage in the Indies was of the state’s concern - interracialized sex and </w:t>
      </w:r>
      <w:r w:rsidRPr="007D443A">
        <w:rPr>
          <w:rFonts w:cs="Calibri"/>
          <w:i/>
          <w:iCs/>
          <w:lang w:val="en-US"/>
        </w:rPr>
        <w:t>métissage</w:t>
      </w:r>
      <w:r>
        <w:rPr>
          <w:rFonts w:cs="Calibri"/>
          <w:lang w:val="en-US"/>
        </w:rPr>
        <w:t xml:space="preserve"> were a threat to European bourgeois prestige and thus,</w:t>
      </w:r>
      <w:r w:rsidRPr="007D443A">
        <w:rPr>
          <w:rFonts w:cs="Calibri"/>
          <w:lang w:val="en-US"/>
        </w:rPr>
        <w:t xml:space="preserve"> </w:t>
      </w:r>
      <w:r>
        <w:rPr>
          <w:rFonts w:cs="Calibri"/>
          <w:lang w:val="en-US"/>
        </w:rPr>
        <w:t>morally condemned.</w:t>
      </w:r>
    </w:p>
    <w:p w14:paraId="4B54852D" w14:textId="77777777" w:rsidR="009847E8" w:rsidRDefault="009847E8" w:rsidP="00E30012">
      <w:pPr>
        <w:pStyle w:val="Maxhoofdtekst"/>
        <w:spacing w:line="276" w:lineRule="auto"/>
        <w:ind w:firstLine="284"/>
        <w:rPr>
          <w:rFonts w:cs="Calibri"/>
          <w:lang w:val="en-US"/>
        </w:rPr>
      </w:pPr>
      <w:r>
        <w:rPr>
          <w:rFonts w:cs="Calibri"/>
          <w:lang w:val="en-US"/>
        </w:rPr>
        <w:t xml:space="preserve">The increasing rejection of concubinary arrangements coincided with the migration of European women to the Dutch East Indies. </w:t>
      </w:r>
      <w:r w:rsidRPr="001D6CB4">
        <w:rPr>
          <w:rFonts w:cs="Calibri"/>
          <w:lang w:val="en-US"/>
        </w:rPr>
        <w:t>The opening of the Suez Canal in 1869 led to a significant increase in migration from the metropole to the colony</w:t>
      </w:r>
      <w:r>
        <w:rPr>
          <w:rFonts w:cs="Calibri"/>
          <w:lang w:val="en-US"/>
        </w:rPr>
        <w:t xml:space="preserve">, </w:t>
      </w:r>
      <w:r w:rsidRPr="001D6CB4">
        <w:rPr>
          <w:rFonts w:cs="Calibri"/>
          <w:lang w:val="en-US"/>
        </w:rPr>
        <w:t>includ</w:t>
      </w:r>
      <w:r>
        <w:rPr>
          <w:rFonts w:cs="Calibri"/>
          <w:lang w:val="en-US"/>
        </w:rPr>
        <w:t>ing</w:t>
      </w:r>
      <w:r w:rsidRPr="001D6CB4">
        <w:rPr>
          <w:rFonts w:cs="Calibri"/>
          <w:lang w:val="en-US"/>
        </w:rPr>
        <w:t xml:space="preserve"> European women who migrated in search of employment, missionary work or to fulfil their </w:t>
      </w:r>
      <w:r>
        <w:rPr>
          <w:rFonts w:cs="Calibri"/>
          <w:lang w:val="en-US"/>
        </w:rPr>
        <w:t>‘</w:t>
      </w:r>
      <w:r w:rsidRPr="001D6CB4">
        <w:rPr>
          <w:rFonts w:cs="Calibri"/>
          <w:lang w:val="en-US"/>
        </w:rPr>
        <w:t>civilizing duty</w:t>
      </w:r>
      <w:r>
        <w:rPr>
          <w:rFonts w:cs="Calibri"/>
          <w:lang w:val="en-US"/>
        </w:rPr>
        <w:t>’</w:t>
      </w:r>
      <w:r w:rsidRPr="001D6CB4">
        <w:rPr>
          <w:rFonts w:cs="Calibri"/>
          <w:lang w:val="en-US"/>
        </w:rPr>
        <w:t>.</w:t>
      </w:r>
      <w:r w:rsidRPr="001D6CB4">
        <w:rPr>
          <w:rStyle w:val="FootnoteReference"/>
          <w:rFonts w:cs="Calibri"/>
          <w:lang w:val="en-US"/>
        </w:rPr>
        <w:footnoteReference w:id="177"/>
      </w:r>
      <w:r w:rsidRPr="001D6CB4">
        <w:rPr>
          <w:rFonts w:cs="Calibri"/>
          <w:lang w:val="en-US"/>
        </w:rPr>
        <w:t xml:space="preserve"> They contributed to the Netherlands’ civilizing mission in the Indies through the promotion of motherhood as a full-time vocation in a monogamous marriage. The civilizing mission also included providing access to schooling and healthcare for </w:t>
      </w:r>
      <w:r>
        <w:rPr>
          <w:rFonts w:cs="Calibri"/>
          <w:lang w:val="en-US"/>
        </w:rPr>
        <w:t>Indonesian</w:t>
      </w:r>
      <w:r w:rsidRPr="001D6CB4">
        <w:rPr>
          <w:rFonts w:cs="Calibri"/>
          <w:lang w:val="en-US"/>
        </w:rPr>
        <w:t xml:space="preserve"> women, </w:t>
      </w:r>
      <w:r w:rsidRPr="00D03C40">
        <w:rPr>
          <w:rFonts w:cs="Calibri"/>
          <w:color w:val="000000" w:themeColor="text1"/>
          <w:lang w:val="en-US"/>
        </w:rPr>
        <w:t xml:space="preserve">campaigning </w:t>
      </w:r>
      <w:r w:rsidRPr="001D6CB4">
        <w:rPr>
          <w:rFonts w:cs="Calibri"/>
          <w:lang w:val="en-US"/>
        </w:rPr>
        <w:t>to end prostitution and befriending elite Indonesian women to spread their civilizing message even further.</w:t>
      </w:r>
      <w:r w:rsidRPr="001D6CB4">
        <w:rPr>
          <w:rStyle w:val="FootnoteReference"/>
          <w:rFonts w:cs="Calibri"/>
          <w:lang w:val="en-US"/>
        </w:rPr>
        <w:footnoteReference w:id="178"/>
      </w:r>
      <w:r w:rsidRPr="001D6CB4">
        <w:rPr>
          <w:rFonts w:cs="Calibri"/>
          <w:lang w:val="en-US"/>
        </w:rPr>
        <w:t xml:space="preserve"> The number of Dutch women in the Indies would for the most part be smaller than the number of European men; it was only around 1930 that the European population in the Dutch East Indies had somewhat of an equal division of male and female inhabitants.</w:t>
      </w:r>
      <w:r w:rsidRPr="001D6CB4">
        <w:rPr>
          <w:rStyle w:val="FootnoteReference"/>
          <w:rFonts w:cs="Calibri"/>
          <w:lang w:val="en-US"/>
        </w:rPr>
        <w:footnoteReference w:id="179"/>
      </w:r>
      <w:r w:rsidRPr="001D6CB4">
        <w:rPr>
          <w:rFonts w:cs="Calibri"/>
          <w:lang w:val="en-US"/>
        </w:rPr>
        <w:t xml:space="preserve"> </w:t>
      </w:r>
    </w:p>
    <w:p w14:paraId="0485E106" w14:textId="77777777" w:rsidR="009847E8" w:rsidRDefault="009847E8" w:rsidP="00F16727">
      <w:pPr>
        <w:pStyle w:val="Maxhoofdtekst"/>
        <w:spacing w:line="276" w:lineRule="auto"/>
        <w:ind w:firstLine="284"/>
        <w:rPr>
          <w:rFonts w:cs="Calibri"/>
          <w:lang w:val="en-US"/>
        </w:rPr>
      </w:pPr>
      <w:r w:rsidRPr="001D6CB4">
        <w:rPr>
          <w:rFonts w:cs="Calibri"/>
          <w:lang w:val="en-US"/>
        </w:rPr>
        <w:t xml:space="preserve">Miscegenation between European women and </w:t>
      </w:r>
      <w:r>
        <w:rPr>
          <w:rFonts w:cs="Calibri"/>
          <w:lang w:val="en-US"/>
        </w:rPr>
        <w:t>Indonesian</w:t>
      </w:r>
      <w:r w:rsidRPr="001D6CB4">
        <w:rPr>
          <w:rFonts w:cs="Calibri"/>
          <w:lang w:val="en-US"/>
        </w:rPr>
        <w:t xml:space="preserve"> men was equally – perhaps even more –  frowned upon, as the colonial government feared degeneracy</w:t>
      </w:r>
      <w:r>
        <w:rPr>
          <w:rFonts w:cs="Calibri"/>
          <w:lang w:val="en-US"/>
        </w:rPr>
        <w:t xml:space="preserve"> of the white, European race</w:t>
      </w:r>
      <w:r w:rsidRPr="001D6CB4">
        <w:rPr>
          <w:rFonts w:cs="Calibri"/>
          <w:lang w:val="en-US"/>
        </w:rPr>
        <w:t>.</w:t>
      </w:r>
      <w:r w:rsidRPr="001D6CB4">
        <w:rPr>
          <w:rStyle w:val="FootnoteReference"/>
          <w:rFonts w:cs="Calibri"/>
          <w:lang w:val="en-US"/>
        </w:rPr>
        <w:footnoteReference w:id="180"/>
      </w:r>
      <w:r w:rsidRPr="001D6CB4">
        <w:rPr>
          <w:rFonts w:cs="Calibri"/>
          <w:lang w:val="en-US"/>
        </w:rPr>
        <w:t xml:space="preserve"> In order to discourage such interracialized relationships, women lost their European status and Dutch citizenship upon marriage to a</w:t>
      </w:r>
      <w:r>
        <w:rPr>
          <w:rFonts w:cs="Calibri"/>
          <w:lang w:val="en-US"/>
        </w:rPr>
        <w:t>n Indonesian</w:t>
      </w:r>
      <w:r w:rsidRPr="001D6CB4">
        <w:rPr>
          <w:rFonts w:cs="Calibri"/>
          <w:lang w:val="en-US"/>
        </w:rPr>
        <w:t xml:space="preserve"> man. If they </w:t>
      </w:r>
      <w:r w:rsidRPr="001D6CB4">
        <w:rPr>
          <w:rFonts w:cs="Calibri"/>
          <w:color w:val="000000" w:themeColor="text1"/>
          <w:lang w:val="en-US"/>
        </w:rPr>
        <w:t xml:space="preserve">had </w:t>
      </w:r>
      <w:r w:rsidRPr="001D6CB4">
        <w:rPr>
          <w:rFonts w:cs="Calibri"/>
          <w:lang w:val="en-US"/>
        </w:rPr>
        <w:t xml:space="preserve">children together, </w:t>
      </w:r>
      <w:r>
        <w:rPr>
          <w:rFonts w:cs="Calibri"/>
          <w:lang w:val="en-US"/>
        </w:rPr>
        <w:t>the mother</w:t>
      </w:r>
      <w:r w:rsidRPr="001D6CB4">
        <w:rPr>
          <w:rFonts w:cs="Calibri"/>
          <w:lang w:val="en-US"/>
        </w:rPr>
        <w:t xml:space="preserve"> was unable to pass on her Dutch citizenship to the children. Guno Jones describes this legal dualism as a ‘continuation of both </w:t>
      </w:r>
      <w:r w:rsidRPr="001D6CB4">
        <w:rPr>
          <w:rFonts w:cs="Calibri"/>
          <w:i/>
          <w:iCs/>
          <w:lang w:val="en-US"/>
        </w:rPr>
        <w:t>racial</w:t>
      </w:r>
      <w:r w:rsidRPr="001D6CB4">
        <w:rPr>
          <w:rFonts w:cs="Calibri"/>
          <w:lang w:val="en-US"/>
        </w:rPr>
        <w:t xml:space="preserve"> and </w:t>
      </w:r>
      <w:r w:rsidRPr="001D6CB4">
        <w:rPr>
          <w:rFonts w:cs="Calibri"/>
          <w:i/>
          <w:iCs/>
          <w:lang w:val="en-US"/>
        </w:rPr>
        <w:t>male</w:t>
      </w:r>
      <w:r w:rsidRPr="001D6CB4">
        <w:rPr>
          <w:rFonts w:cs="Calibri"/>
          <w:lang w:val="en-US"/>
        </w:rPr>
        <w:t xml:space="preserve"> European dominance: access to Dutch citizenship and to the associated symbolic, political and socio-economic privileges was determined by Dutch fathers, not Dutch mothers, and non-recognized multiracialized children were classified as ‘natives’, and, like the vast majority of the indigenous Indonesian population, assigned the nationality status of ‘Dutch subjects, non-Dutch’.</w:t>
      </w:r>
      <w:r w:rsidRPr="001D6CB4">
        <w:rPr>
          <w:rStyle w:val="FootnoteReference"/>
          <w:rFonts w:cs="Calibri"/>
          <w:lang w:val="en-US"/>
        </w:rPr>
        <w:footnoteReference w:id="181"/>
      </w:r>
      <w:r w:rsidRPr="001D6CB4">
        <w:rPr>
          <w:rFonts w:cs="Calibri"/>
          <w:lang w:val="en-US"/>
        </w:rPr>
        <w:t xml:space="preserve"> The above discussed Mixed Marriage Act of 1898 was aimed at discouraging European </w:t>
      </w:r>
      <w:r w:rsidRPr="00E81550">
        <w:rPr>
          <w:rFonts w:cs="Calibri"/>
          <w:color w:val="000000" w:themeColor="text1"/>
          <w:lang w:val="en-US"/>
        </w:rPr>
        <w:t xml:space="preserve">women </w:t>
      </w:r>
      <w:r w:rsidRPr="001D6CB4">
        <w:rPr>
          <w:rFonts w:cs="Calibri"/>
          <w:lang w:val="en-US"/>
        </w:rPr>
        <w:t xml:space="preserve">from entering into marital relationships with </w:t>
      </w:r>
      <w:r>
        <w:rPr>
          <w:rFonts w:cs="Calibri"/>
          <w:lang w:val="en-US"/>
        </w:rPr>
        <w:t>Indonesian</w:t>
      </w:r>
      <w:r w:rsidRPr="001D6CB4">
        <w:rPr>
          <w:rFonts w:cs="Calibri"/>
          <w:lang w:val="en-US"/>
        </w:rPr>
        <w:t xml:space="preserve"> men. Such relationships were considered ‘the most repugnant’ of all mixed marriages in the colony.</w:t>
      </w:r>
      <w:r w:rsidRPr="001D6CB4">
        <w:rPr>
          <w:rStyle w:val="FootnoteReference"/>
          <w:rFonts w:cs="Calibri"/>
          <w:lang w:val="en-US"/>
        </w:rPr>
        <w:footnoteReference w:id="182"/>
      </w:r>
      <w:r w:rsidRPr="001D6CB4">
        <w:rPr>
          <w:rFonts w:cs="Calibri"/>
          <w:lang w:val="en-US"/>
        </w:rPr>
        <w:t xml:space="preserve"> Further</w:t>
      </w:r>
      <w:r>
        <w:rPr>
          <w:rFonts w:cs="Calibri"/>
          <w:lang w:val="en-US"/>
        </w:rPr>
        <w:t>more</w:t>
      </w:r>
      <w:r w:rsidRPr="001D6CB4">
        <w:rPr>
          <w:rFonts w:cs="Calibri"/>
          <w:lang w:val="en-US"/>
        </w:rPr>
        <w:t xml:space="preserve">, there were concerns that such marriages would be abused by </w:t>
      </w:r>
      <w:r>
        <w:rPr>
          <w:rFonts w:cs="Calibri"/>
          <w:lang w:val="en-US"/>
        </w:rPr>
        <w:t>Indonesian</w:t>
      </w:r>
      <w:r w:rsidRPr="001D6CB4">
        <w:rPr>
          <w:rFonts w:cs="Calibri"/>
          <w:lang w:val="en-US"/>
        </w:rPr>
        <w:t xml:space="preserve"> men to be provided with the benefits of having Dutch citizenship.</w:t>
      </w:r>
      <w:r w:rsidRPr="001D6CB4">
        <w:rPr>
          <w:rStyle w:val="FootnoteReference"/>
          <w:rFonts w:cs="Calibri"/>
          <w:lang w:val="en-US"/>
        </w:rPr>
        <w:footnoteReference w:id="183"/>
      </w:r>
      <w:r w:rsidRPr="001D6CB4">
        <w:rPr>
          <w:rFonts w:cs="Calibri"/>
          <w:lang w:val="en-US"/>
        </w:rPr>
        <w:t xml:space="preserve"> </w:t>
      </w:r>
    </w:p>
    <w:p w14:paraId="1F165635" w14:textId="77777777" w:rsidR="009847E8" w:rsidRPr="00991A71" w:rsidRDefault="009847E8">
      <w:pPr>
        <w:pStyle w:val="Maxhoofdtekst"/>
        <w:numPr>
          <w:ilvl w:val="2"/>
          <w:numId w:val="5"/>
        </w:numPr>
        <w:spacing w:line="276" w:lineRule="auto"/>
        <w:outlineLvl w:val="2"/>
        <w:rPr>
          <w:rFonts w:cs="Calibri"/>
          <w:lang w:val="en-US"/>
        </w:rPr>
      </w:pPr>
      <w:bookmarkStart w:id="27" w:name="_Toc234183617"/>
      <w:r w:rsidRPr="00991A71">
        <w:rPr>
          <w:rFonts w:cs="Calibri"/>
          <w:lang w:val="en-US"/>
        </w:rPr>
        <w:t xml:space="preserve">Racial </w:t>
      </w:r>
      <w:r>
        <w:rPr>
          <w:rFonts w:cs="Calibri"/>
          <w:lang w:val="en-US"/>
        </w:rPr>
        <w:t>categories</w:t>
      </w:r>
      <w:r w:rsidRPr="00991A71">
        <w:rPr>
          <w:rFonts w:cs="Calibri"/>
          <w:lang w:val="en-US"/>
        </w:rPr>
        <w:t xml:space="preserve"> beyond the legal system</w:t>
      </w:r>
      <w:bookmarkEnd w:id="27"/>
    </w:p>
    <w:p w14:paraId="36F5FD7B" w14:textId="77777777" w:rsidR="009847E8" w:rsidRDefault="009847E8" w:rsidP="000D6B84">
      <w:pPr>
        <w:pStyle w:val="Maxhoofdtekst"/>
        <w:spacing w:line="276" w:lineRule="auto"/>
        <w:ind w:firstLine="284"/>
        <w:rPr>
          <w:rFonts w:cs="Calibri"/>
          <w:lang w:val="en-US"/>
        </w:rPr>
      </w:pPr>
      <w:r w:rsidRPr="001D6CB4">
        <w:rPr>
          <w:rFonts w:cs="Calibri"/>
          <w:lang w:val="en-US"/>
        </w:rPr>
        <w:t>Racial categorization</w:t>
      </w:r>
      <w:r>
        <w:rPr>
          <w:rFonts w:cs="Calibri"/>
          <w:lang w:val="en-US"/>
        </w:rPr>
        <w:t>s</w:t>
      </w:r>
      <w:r w:rsidRPr="001D6CB4">
        <w:rPr>
          <w:rFonts w:cs="Calibri"/>
          <w:lang w:val="en-US"/>
        </w:rPr>
        <w:t xml:space="preserve"> of the Dutch East Indies’ population reached beyond the law. </w:t>
      </w:r>
      <w:r>
        <w:rPr>
          <w:rFonts w:cs="Calibri"/>
          <w:lang w:val="en-US"/>
        </w:rPr>
        <w:t>As already pointed out in the previous section, racial categorization was not merely contingent on the color of one’s skin: it was also a matter of class and environment.</w:t>
      </w:r>
      <w:r>
        <w:rPr>
          <w:rStyle w:val="FootnoteReference"/>
          <w:rFonts w:cs="Calibri"/>
          <w:lang w:val="en-US"/>
        </w:rPr>
        <w:footnoteReference w:id="184"/>
      </w:r>
      <w:r>
        <w:rPr>
          <w:rFonts w:cs="Calibri"/>
          <w:lang w:val="en-US"/>
        </w:rPr>
        <w:t xml:space="preserve"> Colonial</w:t>
      </w:r>
      <w:r w:rsidRPr="001D6CB4">
        <w:rPr>
          <w:rFonts w:cs="Calibri"/>
          <w:lang w:val="en-US"/>
        </w:rPr>
        <w:t xml:space="preserve"> authority was based on the</w:t>
      </w:r>
      <w:r>
        <w:rPr>
          <w:rFonts w:cs="Calibri"/>
          <w:lang w:val="en-US"/>
        </w:rPr>
        <w:t xml:space="preserve"> </w:t>
      </w:r>
      <w:r w:rsidRPr="006B3033">
        <w:rPr>
          <w:rFonts w:cs="Calibri"/>
          <w:lang w:val="en-US"/>
        </w:rPr>
        <w:t>false</w:t>
      </w:r>
      <w:r w:rsidRPr="001D6CB4">
        <w:rPr>
          <w:rFonts w:cs="Calibri"/>
          <w:lang w:val="en-US"/>
        </w:rPr>
        <w:t xml:space="preserve"> </w:t>
      </w:r>
      <w:r w:rsidRPr="006B3033">
        <w:rPr>
          <w:rFonts w:cs="Calibri"/>
          <w:lang w:val="en-US"/>
        </w:rPr>
        <w:t>premise</w:t>
      </w:r>
      <w:r w:rsidRPr="001D6CB4">
        <w:rPr>
          <w:rFonts w:cs="Calibri"/>
          <w:lang w:val="en-US"/>
        </w:rPr>
        <w:t xml:space="preserve"> of self-evident, easily drawn boundaries separating colonizer and colonized and the idea that Europeans formed an easily identifiable ‘social entity with common class interests, racial attributes, </w:t>
      </w:r>
      <w:r w:rsidRPr="001D6CB4">
        <w:rPr>
          <w:rFonts w:cs="Calibri"/>
          <w:lang w:val="en-US"/>
        </w:rPr>
        <w:lastRenderedPageBreak/>
        <w:t>political affinities and superior culture’.</w:t>
      </w:r>
      <w:r w:rsidRPr="001D6CB4">
        <w:rPr>
          <w:rStyle w:val="FootnoteReference"/>
          <w:rFonts w:cs="Calibri"/>
          <w:lang w:val="en-US"/>
        </w:rPr>
        <w:footnoteReference w:id="185"/>
      </w:r>
      <w:r>
        <w:rPr>
          <w:rFonts w:cs="Calibri"/>
          <w:lang w:val="en-US"/>
        </w:rPr>
        <w:t xml:space="preserve"> However, </w:t>
      </w:r>
      <w:r w:rsidRPr="001D6CB4">
        <w:rPr>
          <w:rFonts w:cs="Calibri"/>
          <w:lang w:val="en-US"/>
        </w:rPr>
        <w:t>the</w:t>
      </w:r>
      <w:r>
        <w:rPr>
          <w:rFonts w:cs="Calibri"/>
          <w:lang w:val="en-US"/>
        </w:rPr>
        <w:t xml:space="preserve"> late modern</w:t>
      </w:r>
      <w:r w:rsidRPr="001D6CB4">
        <w:rPr>
          <w:rFonts w:cs="Calibri"/>
          <w:lang w:val="en-US"/>
        </w:rPr>
        <w:t xml:space="preserve"> Dutch East Indies society</w:t>
      </w:r>
      <w:r>
        <w:rPr>
          <w:rFonts w:cs="Calibri"/>
          <w:lang w:val="en-US"/>
        </w:rPr>
        <w:t xml:space="preserve"> had a complex social layering, </w:t>
      </w:r>
      <w:r w:rsidRPr="001D6CB4">
        <w:rPr>
          <w:rFonts w:cs="Calibri"/>
          <w:lang w:val="en-US"/>
        </w:rPr>
        <w:t>with great variety in ethnicity, class, religion,</w:t>
      </w:r>
      <w:r>
        <w:rPr>
          <w:rFonts w:cs="Calibri"/>
          <w:lang w:val="en-US"/>
        </w:rPr>
        <w:t xml:space="preserve"> education, employment,</w:t>
      </w:r>
      <w:r w:rsidRPr="001D6CB4">
        <w:rPr>
          <w:rFonts w:cs="Calibri"/>
          <w:lang w:val="en-US"/>
        </w:rPr>
        <w:t xml:space="preserve"> language and cultur</w:t>
      </w:r>
      <w:r>
        <w:rPr>
          <w:rFonts w:cs="Calibri"/>
          <w:lang w:val="en-US"/>
        </w:rPr>
        <w:t>al upbringing.</w:t>
      </w:r>
      <w:r w:rsidRPr="001D6CB4">
        <w:rPr>
          <w:rFonts w:cs="Calibri"/>
          <w:lang w:val="en-US"/>
        </w:rPr>
        <w:t xml:space="preserve"> Bosma and Raben argue that</w:t>
      </w:r>
      <w:r>
        <w:rPr>
          <w:rFonts w:cs="Calibri"/>
          <w:lang w:val="en-US"/>
        </w:rPr>
        <w:t xml:space="preserve"> there</w:t>
      </w:r>
      <w:r w:rsidRPr="001D6CB4">
        <w:rPr>
          <w:rFonts w:cs="Calibri"/>
          <w:lang w:val="en-US"/>
        </w:rPr>
        <w:t xml:space="preserve"> could never exist a strict, singular colonial hierarchy, due to the many </w:t>
      </w:r>
      <w:r>
        <w:rPr>
          <w:rFonts w:cs="Calibri"/>
          <w:lang w:val="en-US"/>
        </w:rPr>
        <w:t>native-born</w:t>
      </w:r>
      <w:r w:rsidRPr="001D6CB4">
        <w:rPr>
          <w:rFonts w:cs="Calibri"/>
          <w:lang w:val="en-US"/>
        </w:rPr>
        <w:t xml:space="preserve"> Indo-Europeans</w:t>
      </w:r>
      <w:r>
        <w:rPr>
          <w:rFonts w:cs="Calibri"/>
          <w:lang w:val="en-US"/>
        </w:rPr>
        <w:t xml:space="preserve"> and</w:t>
      </w:r>
      <w:r w:rsidRPr="001D6CB4">
        <w:rPr>
          <w:rFonts w:cs="Calibri"/>
          <w:lang w:val="en-US"/>
        </w:rPr>
        <w:t xml:space="preserve"> the abundant variations in class and wealth.</w:t>
      </w:r>
      <w:r w:rsidRPr="001D6CB4">
        <w:rPr>
          <w:rStyle w:val="FootnoteReference"/>
          <w:rFonts w:cs="Calibri"/>
          <w:lang w:val="en-US"/>
        </w:rPr>
        <w:footnoteReference w:id="186"/>
      </w:r>
      <w:r w:rsidRPr="001D6CB4">
        <w:rPr>
          <w:rFonts w:cs="Calibri"/>
          <w:lang w:val="en-US"/>
        </w:rPr>
        <w:t xml:space="preserve"> </w:t>
      </w:r>
      <w:r>
        <w:rPr>
          <w:rFonts w:cs="Calibri"/>
          <w:lang w:val="en-US"/>
        </w:rPr>
        <w:t xml:space="preserve">While many Indo-Europeans (provided their European father recognized them) were </w:t>
      </w:r>
      <w:r w:rsidRPr="006B3033">
        <w:rPr>
          <w:rFonts w:cs="Calibri"/>
          <w:i/>
          <w:iCs/>
          <w:lang w:val="en-US"/>
        </w:rPr>
        <w:t>de jure</w:t>
      </w:r>
      <w:r>
        <w:rPr>
          <w:rFonts w:cs="Calibri"/>
          <w:lang w:val="en-US"/>
        </w:rPr>
        <w:t xml:space="preserve"> equaled with ‘pure’ Europeans, they were de facto still considered inferior to the European. Some Indo-Europeans could climb the social ladder through education and employment, while others could ‘drop’ toward the level of the native population.</w:t>
      </w:r>
      <w:r>
        <w:rPr>
          <w:rStyle w:val="FootnoteReference"/>
          <w:rFonts w:cs="Calibri"/>
          <w:lang w:val="en-US"/>
        </w:rPr>
        <w:footnoteReference w:id="187"/>
      </w:r>
    </w:p>
    <w:p w14:paraId="160A2370" w14:textId="77777777" w:rsidR="009847E8" w:rsidRPr="001D6CB4" w:rsidRDefault="009847E8" w:rsidP="000D6B84">
      <w:pPr>
        <w:pStyle w:val="Maxhoofdtekst"/>
        <w:spacing w:line="276" w:lineRule="auto"/>
        <w:ind w:firstLine="284"/>
        <w:rPr>
          <w:rFonts w:cs="Calibri"/>
          <w:lang w:val="en-US"/>
        </w:rPr>
      </w:pPr>
      <w:r>
        <w:rPr>
          <w:rFonts w:cs="Calibri"/>
          <w:lang w:val="en-US"/>
        </w:rPr>
        <w:t>Racialized and class categorizations</w:t>
      </w:r>
      <w:r w:rsidRPr="001D6CB4">
        <w:rPr>
          <w:rFonts w:cs="Calibri"/>
          <w:lang w:val="en-US"/>
        </w:rPr>
        <w:t xml:space="preserve"> also extended to issues of hygiene and cleanliness, as the Europeans in the Dutch East Indies were convinced that only they were truly clean – Malays and Javanese for instance did not have the qualifications to be referred to as such.</w:t>
      </w:r>
      <w:r w:rsidRPr="001D6CB4">
        <w:rPr>
          <w:rStyle w:val="FootnoteReference"/>
          <w:rFonts w:cs="Calibri"/>
          <w:lang w:val="en-US"/>
        </w:rPr>
        <w:footnoteReference w:id="188"/>
      </w:r>
      <w:r w:rsidRPr="001D6CB4">
        <w:rPr>
          <w:rFonts w:cs="Calibri"/>
          <w:lang w:val="en-US"/>
        </w:rPr>
        <w:t xml:space="preserve"> The use of soap and being able to remove dirt from one’s body became a sign of civilization and cultural superiority.</w:t>
      </w:r>
      <w:r w:rsidRPr="001D6CB4">
        <w:rPr>
          <w:rStyle w:val="FootnoteReference"/>
          <w:rFonts w:cs="Calibri"/>
          <w:lang w:val="en-US"/>
        </w:rPr>
        <w:footnoteReference w:id="189"/>
      </w:r>
      <w:r w:rsidRPr="001D6CB4">
        <w:rPr>
          <w:rFonts w:cs="Calibri"/>
          <w:lang w:val="en-US"/>
        </w:rPr>
        <w:t xml:space="preserve"> Other reference points for civilization were dress, language and the toilet.</w:t>
      </w:r>
      <w:r w:rsidRPr="001D6CB4">
        <w:rPr>
          <w:rStyle w:val="FootnoteReference"/>
          <w:rFonts w:cs="Calibri"/>
          <w:lang w:val="en-US"/>
        </w:rPr>
        <w:footnoteReference w:id="190"/>
      </w:r>
      <w:r w:rsidRPr="001D6CB4">
        <w:rPr>
          <w:rFonts w:cs="Calibri"/>
          <w:lang w:val="en-US"/>
        </w:rPr>
        <w:t xml:space="preserve"> Though before the </w:t>
      </w:r>
      <w:r>
        <w:rPr>
          <w:rFonts w:cs="Calibri"/>
          <w:lang w:val="en-US"/>
        </w:rPr>
        <w:t>nineteenth</w:t>
      </w:r>
      <w:r w:rsidRPr="001D6CB4">
        <w:rPr>
          <w:rFonts w:cs="Calibri"/>
          <w:lang w:val="en-US"/>
        </w:rPr>
        <w:t xml:space="preserve"> century it was mainly the </w:t>
      </w:r>
      <w:r>
        <w:rPr>
          <w:rFonts w:cs="Calibri"/>
          <w:lang w:val="en-US"/>
        </w:rPr>
        <w:t>Indonesians</w:t>
      </w:r>
      <w:r w:rsidRPr="001D6CB4">
        <w:rPr>
          <w:rFonts w:cs="Calibri"/>
          <w:lang w:val="en-US"/>
        </w:rPr>
        <w:t xml:space="preserve"> who would regularly bathe themselves, and the Europeans who were disgusted by the</w:t>
      </w:r>
      <w:r>
        <w:rPr>
          <w:rFonts w:cs="Calibri"/>
          <w:lang w:val="en-US"/>
        </w:rPr>
        <w:t>ir</w:t>
      </w:r>
      <w:r w:rsidRPr="001D6CB4">
        <w:rPr>
          <w:rFonts w:cs="Calibri"/>
          <w:lang w:val="en-US"/>
        </w:rPr>
        <w:t xml:space="preserve"> regular bathing,</w:t>
      </w:r>
      <w:r w:rsidRPr="001D6CB4">
        <w:rPr>
          <w:rStyle w:val="FootnoteReference"/>
          <w:rFonts w:cs="Calibri"/>
          <w:lang w:val="en-US"/>
        </w:rPr>
        <w:footnoteReference w:id="191"/>
      </w:r>
      <w:r w:rsidRPr="001D6CB4">
        <w:rPr>
          <w:rFonts w:cs="Calibri"/>
          <w:lang w:val="en-US"/>
        </w:rPr>
        <w:t xml:space="preserve"> this </w:t>
      </w:r>
      <w:r>
        <w:rPr>
          <w:rFonts w:cs="Calibri"/>
          <w:lang w:val="en-US"/>
        </w:rPr>
        <w:t>attitude</w:t>
      </w:r>
      <w:r w:rsidRPr="001D6CB4">
        <w:rPr>
          <w:rFonts w:cs="Calibri"/>
          <w:lang w:val="en-US"/>
        </w:rPr>
        <w:t xml:space="preserve"> turned around after the British interregnum established sentiments of European superiority and ‘the belief in the dirty native and the dirty servant’.</w:t>
      </w:r>
      <w:r w:rsidRPr="001D6CB4">
        <w:rPr>
          <w:rStyle w:val="FootnoteReference"/>
          <w:rFonts w:cs="Calibri"/>
          <w:lang w:val="en-US"/>
        </w:rPr>
        <w:footnoteReference w:id="192"/>
      </w:r>
      <w:r w:rsidRPr="001D6CB4">
        <w:rPr>
          <w:rFonts w:cs="Calibri"/>
          <w:lang w:val="en-US"/>
        </w:rPr>
        <w:t xml:space="preserve"> However, as Van Dijk describes it, the relationship between soap and race in the Dutch East Indies was not as black and white as in other colonial cultures, as using soap could be seen as a step towards emancipation.</w:t>
      </w:r>
      <w:r w:rsidRPr="001D6CB4">
        <w:rPr>
          <w:rStyle w:val="FootnoteReference"/>
          <w:rFonts w:cs="Calibri"/>
          <w:lang w:val="en-US"/>
        </w:rPr>
        <w:footnoteReference w:id="193"/>
      </w:r>
      <w:r w:rsidRPr="001D6CB4">
        <w:rPr>
          <w:rFonts w:cs="Calibri"/>
          <w:lang w:val="en-US"/>
        </w:rPr>
        <w:t xml:space="preserve"> Using soap and dressing in Western attire allowed Javanese to enter the European public sphere, while wearing Javanese clothing would have banned them from this sphere.</w:t>
      </w:r>
      <w:r w:rsidRPr="001D6CB4">
        <w:rPr>
          <w:rStyle w:val="FootnoteReference"/>
          <w:rFonts w:cs="Calibri"/>
          <w:lang w:val="en-US"/>
        </w:rPr>
        <w:footnoteReference w:id="194"/>
      </w:r>
      <w:r w:rsidRPr="001D6CB4">
        <w:rPr>
          <w:rFonts w:cs="Calibri"/>
          <w:lang w:val="en-US"/>
        </w:rPr>
        <w:t xml:space="preserve">  Clearly, ‘cleanliness’ is a multidimensional concept, encompassing not only the use of soap when bathing, but also the body, clothing, the house, and what makes a person ‘clean’ is decided by many other factors such as socio-economic status, ethnicity and religion.</w:t>
      </w:r>
      <w:r w:rsidRPr="001D6CB4">
        <w:rPr>
          <w:rStyle w:val="FootnoteReference"/>
          <w:rFonts w:cs="Calibri"/>
          <w:lang w:val="en-US"/>
        </w:rPr>
        <w:footnoteReference w:id="195"/>
      </w:r>
    </w:p>
    <w:p w14:paraId="1DFE4BAB" w14:textId="77777777" w:rsidR="009847E8" w:rsidRDefault="009847E8" w:rsidP="000D6B84">
      <w:pPr>
        <w:pStyle w:val="Maxhoofdtekst"/>
        <w:spacing w:line="276" w:lineRule="auto"/>
        <w:ind w:firstLine="284"/>
        <w:rPr>
          <w:rFonts w:cs="Calibri"/>
          <w:lang w:val="en-US"/>
        </w:rPr>
      </w:pPr>
      <w:r w:rsidRPr="001D6CB4">
        <w:rPr>
          <w:rFonts w:cs="Calibri"/>
          <w:lang w:val="en-US"/>
        </w:rPr>
        <w:t>Furthermore, the education system in the Dutch East Indies was segregated</w:t>
      </w:r>
      <w:r>
        <w:rPr>
          <w:rFonts w:cs="Calibri"/>
          <w:lang w:val="en-US"/>
        </w:rPr>
        <w:t>, based on religion, class, or race</w:t>
      </w:r>
      <w:r w:rsidRPr="001D6CB4">
        <w:rPr>
          <w:rFonts w:cs="Calibri"/>
          <w:lang w:val="en-US"/>
        </w:rPr>
        <w:t>.</w:t>
      </w:r>
      <w:r w:rsidRPr="001D6CB4">
        <w:rPr>
          <w:rStyle w:val="FootnoteReference"/>
          <w:rFonts w:cs="Calibri"/>
          <w:lang w:val="en-US"/>
        </w:rPr>
        <w:footnoteReference w:id="196"/>
      </w:r>
      <w:r>
        <w:rPr>
          <w:rFonts w:cs="Calibri"/>
          <w:lang w:val="en-US"/>
        </w:rPr>
        <w:t xml:space="preserve"> The most prestigious schools admitted pupils according to class; only Dutch and upper-class Indonesians were allowed to attend. The ‘second tier of government schools’ was based on ethnicity; there were separate schools for Indonesians, Arabs and Chinese.</w:t>
      </w:r>
      <w:r w:rsidRPr="001D6CB4">
        <w:rPr>
          <w:rFonts w:cs="Calibri"/>
          <w:lang w:val="en-US"/>
        </w:rPr>
        <w:t xml:space="preserve"> </w:t>
      </w:r>
      <w:r>
        <w:rPr>
          <w:rFonts w:cs="Calibri"/>
          <w:lang w:val="en-US"/>
        </w:rPr>
        <w:t>Catholic missionaries provided education for children with a European legal status, and around the turn of the twentieth century, established separate colonial education directed at children with native legal status, ‘in ideological agreement with the Dutch colonial administration’s civilizing mission’.</w:t>
      </w:r>
      <w:r>
        <w:rPr>
          <w:rStyle w:val="FootnoteReference"/>
          <w:rFonts w:cs="Calibri"/>
          <w:lang w:val="en-US"/>
        </w:rPr>
        <w:footnoteReference w:id="197"/>
      </w:r>
    </w:p>
    <w:p w14:paraId="3FA999A4" w14:textId="77777777" w:rsidR="009847E8" w:rsidRDefault="009847E8">
      <w:pPr>
        <w:pStyle w:val="Maxhoofdtekst"/>
        <w:numPr>
          <w:ilvl w:val="1"/>
          <w:numId w:val="5"/>
        </w:numPr>
        <w:spacing w:line="276" w:lineRule="auto"/>
        <w:outlineLvl w:val="1"/>
        <w:rPr>
          <w:rFonts w:cs="Calibri"/>
          <w:b/>
          <w:bCs/>
          <w:lang w:val="en-US"/>
        </w:rPr>
      </w:pPr>
      <w:bookmarkStart w:id="28" w:name="_Toc234183618"/>
      <w:r w:rsidRPr="00E81550">
        <w:rPr>
          <w:rFonts w:cs="Calibri"/>
          <w:b/>
          <w:bCs/>
          <w:lang w:val="en-US"/>
        </w:rPr>
        <w:lastRenderedPageBreak/>
        <w:t>Conclusion</w:t>
      </w:r>
      <w:bookmarkEnd w:id="28"/>
    </w:p>
    <w:p w14:paraId="6877FD18" w14:textId="77777777" w:rsidR="009847E8" w:rsidRPr="00A82BE9" w:rsidRDefault="009847E8" w:rsidP="00034B13">
      <w:pPr>
        <w:pStyle w:val="Maxhoofdtekst"/>
        <w:spacing w:line="276" w:lineRule="auto"/>
        <w:ind w:firstLine="284"/>
        <w:rPr>
          <w:rFonts w:cs="Calibri"/>
          <w:lang w:val="en-US"/>
        </w:rPr>
      </w:pPr>
      <w:r w:rsidRPr="00A82BE9">
        <w:rPr>
          <w:lang w:val="en-US"/>
        </w:rPr>
        <w:t>This chapter</w:t>
      </w:r>
      <w:r>
        <w:rPr>
          <w:lang w:val="en-US"/>
        </w:rPr>
        <w:t xml:space="preserve"> has </w:t>
      </w:r>
      <w:r w:rsidRPr="00A82BE9">
        <w:rPr>
          <w:lang w:val="en-US"/>
        </w:rPr>
        <w:t xml:space="preserve">established the historical context </w:t>
      </w:r>
      <w:r>
        <w:rPr>
          <w:lang w:val="en-US"/>
        </w:rPr>
        <w:t>in</w:t>
      </w:r>
      <w:r w:rsidRPr="00A82BE9">
        <w:rPr>
          <w:lang w:val="en-US"/>
        </w:rPr>
        <w:t xml:space="preserve"> which child separation operated as a biopolitical technique. </w:t>
      </w:r>
      <w:r>
        <w:rPr>
          <w:rFonts w:cs="Calibri"/>
          <w:lang w:val="en-US"/>
        </w:rPr>
        <w:t>Concubinage became a common practice in colonial society</w:t>
      </w:r>
      <w:r w:rsidRPr="00034B13">
        <w:rPr>
          <w:rFonts w:cs="Calibri"/>
          <w:lang w:val="en-US"/>
        </w:rPr>
        <w:t xml:space="preserve"> </w:t>
      </w:r>
      <w:r>
        <w:rPr>
          <w:rFonts w:cs="Calibri"/>
          <w:lang w:val="en-US"/>
        </w:rPr>
        <w:t xml:space="preserve">from the moment the VOC settled in the Indonesian archipelago. However, the British interregnum marked a definitive rupture in the discourse surrounding concubinage. </w:t>
      </w:r>
      <w:r w:rsidRPr="00034B13">
        <w:rPr>
          <w:rFonts w:cs="Calibri"/>
          <w:lang w:val="en-US"/>
        </w:rPr>
        <w:t xml:space="preserve">Concubinage </w:t>
      </w:r>
      <w:r>
        <w:rPr>
          <w:rFonts w:cs="Calibri"/>
          <w:lang w:val="en-US"/>
        </w:rPr>
        <w:t>was</w:t>
      </w:r>
      <w:r w:rsidRPr="00034B13">
        <w:rPr>
          <w:rFonts w:cs="Calibri"/>
          <w:lang w:val="en-US"/>
        </w:rPr>
        <w:t xml:space="preserve"> increasingly rejected </w:t>
      </w:r>
      <w:r>
        <w:rPr>
          <w:rFonts w:cs="Calibri"/>
          <w:lang w:val="en-US"/>
        </w:rPr>
        <w:t xml:space="preserve">as interracialized relationships blurred the distinctions between the European bourgeoisie and the ‘native Other’. Normalized European sexuality risked being contaminated by the ‘savage’ sexuality of Indonesian women. Nevertheless, it was the </w:t>
      </w:r>
      <w:r w:rsidRPr="00034B13">
        <w:rPr>
          <w:rFonts w:cs="Calibri"/>
          <w:lang w:val="en-US"/>
        </w:rPr>
        <w:t>multiracial</w:t>
      </w:r>
      <w:r>
        <w:rPr>
          <w:rFonts w:cs="Calibri"/>
          <w:lang w:val="en-US"/>
        </w:rPr>
        <w:t>ized</w:t>
      </w:r>
      <w:r w:rsidRPr="00034B13">
        <w:rPr>
          <w:rFonts w:cs="Calibri"/>
          <w:lang w:val="en-US"/>
        </w:rPr>
        <w:t xml:space="preserve"> children born of concubinage that posed the greatest threat to European prestige and health. </w:t>
      </w:r>
      <w:r>
        <w:rPr>
          <w:rFonts w:cs="Calibri"/>
          <w:lang w:val="en-US"/>
        </w:rPr>
        <w:t xml:space="preserve">To eliminate this internal enemy of European colonial society, the government intervened in interracialized family life, separating Indo-European children from their mothers. </w:t>
      </w:r>
      <w:r w:rsidRPr="00A82BE9">
        <w:rPr>
          <w:lang w:val="en-US"/>
        </w:rPr>
        <w:t>The following chapter examines how th</w:t>
      </w:r>
      <w:r>
        <w:rPr>
          <w:lang w:val="en-US"/>
        </w:rPr>
        <w:t>is</w:t>
      </w:r>
      <w:r w:rsidRPr="00A82BE9">
        <w:rPr>
          <w:lang w:val="en-US"/>
        </w:rPr>
        <w:t xml:space="preserve"> separation was </w:t>
      </w:r>
      <w:r>
        <w:rPr>
          <w:lang w:val="en-US"/>
        </w:rPr>
        <w:t xml:space="preserve">discursively </w:t>
      </w:r>
      <w:r w:rsidRPr="00A82BE9">
        <w:rPr>
          <w:lang w:val="en-US"/>
        </w:rPr>
        <w:t xml:space="preserve">justified and institutionalized through </w:t>
      </w:r>
      <w:r>
        <w:rPr>
          <w:lang w:val="en-US"/>
        </w:rPr>
        <w:t xml:space="preserve">law and policy. </w:t>
      </w:r>
    </w:p>
    <w:p w14:paraId="5E357DB9" w14:textId="77777777" w:rsidR="009847E8" w:rsidRPr="006B3033" w:rsidRDefault="009847E8" w:rsidP="000D6B84">
      <w:pPr>
        <w:pStyle w:val="Maxhoofdtekst"/>
        <w:spacing w:line="276" w:lineRule="auto"/>
        <w:ind w:firstLine="284"/>
        <w:outlineLvl w:val="1"/>
        <w:rPr>
          <w:rFonts w:cs="Calibri"/>
          <w:lang w:val="en-US"/>
        </w:rPr>
      </w:pPr>
    </w:p>
    <w:p w14:paraId="452513A6" w14:textId="77777777" w:rsidR="009847E8" w:rsidRPr="001D6CB4" w:rsidRDefault="009847E8" w:rsidP="002D6DB8">
      <w:pPr>
        <w:spacing w:line="276" w:lineRule="auto"/>
        <w:ind w:firstLine="284"/>
        <w:rPr>
          <w:rFonts w:cs="Calibri"/>
          <w:sz w:val="22"/>
          <w:lang w:val="en-US"/>
        </w:rPr>
      </w:pPr>
      <w:r w:rsidRPr="001D6CB4">
        <w:rPr>
          <w:rFonts w:cs="Calibri"/>
          <w:lang w:val="en-US"/>
        </w:rPr>
        <w:br w:type="page"/>
      </w:r>
    </w:p>
    <w:p w14:paraId="3A6FA14B" w14:textId="77777777" w:rsidR="009847E8" w:rsidRPr="00215F1D" w:rsidRDefault="009847E8">
      <w:pPr>
        <w:pStyle w:val="ListParagraph"/>
        <w:numPr>
          <w:ilvl w:val="0"/>
          <w:numId w:val="4"/>
        </w:numPr>
        <w:spacing w:after="240" w:line="276" w:lineRule="auto"/>
        <w:outlineLvl w:val="0"/>
        <w:rPr>
          <w:rFonts w:cs="Calibri"/>
          <w:b/>
          <w:bCs/>
          <w:sz w:val="22"/>
          <w:szCs w:val="22"/>
          <w:lang w:val="en-US"/>
        </w:rPr>
      </w:pPr>
      <w:bookmarkStart w:id="29" w:name="_Toc234183619"/>
      <w:r>
        <w:rPr>
          <w:rFonts w:cs="Calibri"/>
          <w:b/>
          <w:bCs/>
          <w:sz w:val="22"/>
          <w:szCs w:val="22"/>
          <w:lang w:val="en-US"/>
        </w:rPr>
        <w:lastRenderedPageBreak/>
        <w:t>Separating Children, Securing Race</w:t>
      </w:r>
      <w:bookmarkEnd w:id="29"/>
    </w:p>
    <w:p w14:paraId="678B99DA" w14:textId="77777777" w:rsidR="009847E8" w:rsidRPr="003D0261" w:rsidRDefault="009847E8" w:rsidP="00215F1D">
      <w:pPr>
        <w:spacing w:line="276" w:lineRule="auto"/>
        <w:ind w:firstLine="284"/>
        <w:jc w:val="both"/>
        <w:rPr>
          <w:rFonts w:cs="Calibri"/>
          <w:sz w:val="22"/>
          <w:szCs w:val="22"/>
          <w:lang w:val="en-US"/>
        </w:rPr>
      </w:pPr>
      <w:r w:rsidRPr="00425CB9">
        <w:rPr>
          <w:rFonts w:cs="Calibri"/>
          <w:sz w:val="22"/>
          <w:szCs w:val="22"/>
          <w:lang w:val="en-US"/>
        </w:rPr>
        <w:t>Child separation was an institutional practice in the Dutch colonial context</w:t>
      </w:r>
      <w:r>
        <w:rPr>
          <w:rFonts w:cs="Calibri"/>
          <w:sz w:val="22"/>
          <w:szCs w:val="22"/>
          <w:lang w:val="en-US"/>
        </w:rPr>
        <w:t xml:space="preserve">, a </w:t>
      </w:r>
      <w:r w:rsidRPr="00425CB9">
        <w:rPr>
          <w:rFonts w:cs="Calibri"/>
          <w:sz w:val="22"/>
          <w:szCs w:val="22"/>
          <w:lang w:val="en-US"/>
        </w:rPr>
        <w:t>key tool of colonial power.</w:t>
      </w:r>
      <w:r w:rsidRPr="001D6CB4">
        <w:rPr>
          <w:rStyle w:val="FootnoteReference"/>
          <w:rFonts w:cs="Calibri"/>
          <w:sz w:val="22"/>
          <w:szCs w:val="22"/>
          <w:lang w:val="en-US"/>
        </w:rPr>
        <w:footnoteReference w:id="198"/>
      </w:r>
      <w:r w:rsidRPr="00425CB9">
        <w:rPr>
          <w:rFonts w:cs="Calibri"/>
          <w:sz w:val="22"/>
          <w:szCs w:val="22"/>
          <w:lang w:val="en-US"/>
        </w:rPr>
        <w:t xml:space="preserve"> In order to prevent the degeneration of </w:t>
      </w:r>
      <w:r>
        <w:rPr>
          <w:rFonts w:cs="Calibri"/>
          <w:sz w:val="22"/>
          <w:szCs w:val="22"/>
          <w:lang w:val="en-US"/>
        </w:rPr>
        <w:t>multiracialized children</w:t>
      </w:r>
      <w:r w:rsidRPr="00425CB9">
        <w:rPr>
          <w:rFonts w:cs="Calibri"/>
          <w:sz w:val="22"/>
          <w:szCs w:val="22"/>
          <w:lang w:val="en-US"/>
        </w:rPr>
        <w:t xml:space="preserve"> </w:t>
      </w:r>
      <w:r>
        <w:rPr>
          <w:rFonts w:cs="Calibri"/>
          <w:sz w:val="22"/>
          <w:szCs w:val="22"/>
          <w:lang w:val="en-US"/>
        </w:rPr>
        <w:t>and youth</w:t>
      </w:r>
      <w:r w:rsidRPr="00425CB9">
        <w:rPr>
          <w:rFonts w:cs="Calibri"/>
          <w:sz w:val="22"/>
          <w:szCs w:val="22"/>
          <w:lang w:val="en-US"/>
        </w:rPr>
        <w:t xml:space="preserve"> in the colony, the Dutch government established </w:t>
      </w:r>
      <w:r>
        <w:rPr>
          <w:rFonts w:cs="Calibri"/>
          <w:sz w:val="22"/>
          <w:szCs w:val="22"/>
          <w:lang w:val="en-US"/>
        </w:rPr>
        <w:t>different pathways</w:t>
      </w:r>
      <w:r w:rsidRPr="00425CB9">
        <w:rPr>
          <w:rFonts w:cs="Calibri"/>
          <w:sz w:val="22"/>
          <w:szCs w:val="22"/>
          <w:lang w:val="en-US"/>
        </w:rPr>
        <w:t xml:space="preserve"> for ‘abandoned</w:t>
      </w:r>
      <w:r>
        <w:rPr>
          <w:rFonts w:cs="Calibri"/>
          <w:sz w:val="22"/>
          <w:szCs w:val="22"/>
          <w:lang w:val="en-US"/>
        </w:rPr>
        <w:t xml:space="preserve"> </w:t>
      </w:r>
      <w:r w:rsidRPr="00425CB9">
        <w:rPr>
          <w:rFonts w:cs="Calibri"/>
          <w:sz w:val="22"/>
          <w:szCs w:val="22"/>
          <w:lang w:val="en-US"/>
        </w:rPr>
        <w:t>European and Eurasian</w:t>
      </w:r>
      <w:r>
        <w:rPr>
          <w:rFonts w:cs="Calibri"/>
          <w:sz w:val="22"/>
          <w:szCs w:val="22"/>
          <w:lang w:val="en-US"/>
        </w:rPr>
        <w:t>’</w:t>
      </w:r>
      <w:r w:rsidRPr="00425CB9">
        <w:rPr>
          <w:rFonts w:cs="Calibri"/>
          <w:sz w:val="22"/>
          <w:szCs w:val="22"/>
          <w:lang w:val="en-US"/>
        </w:rPr>
        <w:t xml:space="preserve"> children</w:t>
      </w:r>
      <w:r>
        <w:rPr>
          <w:rFonts w:cs="Calibri"/>
          <w:sz w:val="22"/>
          <w:szCs w:val="22"/>
          <w:lang w:val="en-US"/>
        </w:rPr>
        <w:t xml:space="preserve"> to be separated from their kin and society</w:t>
      </w:r>
      <w:r w:rsidRPr="00425CB9">
        <w:rPr>
          <w:rFonts w:cs="Calibri"/>
          <w:sz w:val="22"/>
          <w:szCs w:val="22"/>
          <w:lang w:val="en-US"/>
        </w:rPr>
        <w:t>.</w:t>
      </w:r>
      <w:r w:rsidRPr="001D6CB4">
        <w:rPr>
          <w:rStyle w:val="FootnoteReference"/>
          <w:rFonts w:cs="Calibri"/>
          <w:sz w:val="22"/>
          <w:szCs w:val="22"/>
          <w:lang w:val="en-US"/>
        </w:rPr>
        <w:footnoteReference w:id="199"/>
      </w:r>
      <w:r w:rsidRPr="00425CB9">
        <w:rPr>
          <w:rFonts w:cs="Calibri"/>
          <w:sz w:val="22"/>
          <w:szCs w:val="22"/>
          <w:lang w:val="en-US"/>
        </w:rPr>
        <w:t xml:space="preserve"> </w:t>
      </w:r>
    </w:p>
    <w:p w14:paraId="719A37B4" w14:textId="77777777" w:rsidR="009847E8" w:rsidRPr="00215F1D" w:rsidRDefault="009847E8" w:rsidP="00215F1D">
      <w:pPr>
        <w:pStyle w:val="Maxhoofdtekst"/>
        <w:tabs>
          <w:tab w:val="left" w:pos="2127"/>
        </w:tabs>
        <w:spacing w:after="0" w:line="276" w:lineRule="auto"/>
        <w:ind w:firstLine="284"/>
        <w:rPr>
          <w:rFonts w:cs="Calibri"/>
          <w:szCs w:val="22"/>
          <w:lang w:val="en-US"/>
        </w:rPr>
      </w:pPr>
      <w:r w:rsidRPr="009054BD">
        <w:rPr>
          <w:rFonts w:cs="Calibri"/>
          <w:szCs w:val="22"/>
          <w:lang w:val="en-US"/>
        </w:rPr>
        <w:t>This chapter</w:t>
      </w:r>
      <w:r>
        <w:rPr>
          <w:rFonts w:cs="Calibri"/>
          <w:szCs w:val="22"/>
          <w:lang w:val="en-US"/>
        </w:rPr>
        <w:t xml:space="preserve"> applies the framework developed in chapter 1 to </w:t>
      </w:r>
      <w:r w:rsidRPr="009054BD">
        <w:rPr>
          <w:rFonts w:cs="Calibri"/>
          <w:szCs w:val="22"/>
          <w:lang w:val="en-US"/>
        </w:rPr>
        <w:t>primary and secondary sources to examine how child separation functioned as a technology of colonial power in the Dutch East Indies.</w:t>
      </w:r>
      <w:r>
        <w:rPr>
          <w:rFonts w:cs="Calibri"/>
          <w:szCs w:val="22"/>
          <w:lang w:val="en-US"/>
        </w:rPr>
        <w:t xml:space="preserve"> </w:t>
      </w:r>
      <w:r w:rsidRPr="001D6CB4">
        <w:rPr>
          <w:rFonts w:cs="Calibri"/>
          <w:szCs w:val="22"/>
          <w:lang w:val="en-US"/>
        </w:rPr>
        <w:t xml:space="preserve">In section 3.1, </w:t>
      </w:r>
      <w:r>
        <w:rPr>
          <w:rFonts w:cs="Calibri"/>
          <w:szCs w:val="22"/>
          <w:lang w:val="en-US"/>
        </w:rPr>
        <w:t xml:space="preserve">I will argue that Indo-European children were a local center of power-knowledge in the colony: their racialization was discursively produced, they were considered a danger to the health of the colonial state. </w:t>
      </w:r>
      <w:r w:rsidRPr="001D6CB4">
        <w:rPr>
          <w:rFonts w:cs="Calibri"/>
          <w:szCs w:val="22"/>
          <w:lang w:val="en-US"/>
        </w:rPr>
        <w:t xml:space="preserve">In section 3.2, I will </w:t>
      </w:r>
      <w:r w:rsidRPr="002F27B5">
        <w:rPr>
          <w:rFonts w:cs="Calibri"/>
          <w:szCs w:val="22"/>
          <w:lang w:val="en-US"/>
        </w:rPr>
        <w:t xml:space="preserve">analyze </w:t>
      </w:r>
      <w:r>
        <w:rPr>
          <w:rFonts w:cs="Calibri"/>
          <w:szCs w:val="22"/>
          <w:lang w:val="en-US"/>
        </w:rPr>
        <w:t xml:space="preserve">legal documents, </w:t>
      </w:r>
      <w:r w:rsidRPr="001D6CB4">
        <w:rPr>
          <w:rFonts w:cs="Calibri"/>
          <w:szCs w:val="22"/>
          <w:lang w:val="en-US"/>
        </w:rPr>
        <w:t>policy documents, archival material on civilizing missions by the church</w:t>
      </w:r>
      <w:r>
        <w:rPr>
          <w:rFonts w:cs="Calibri"/>
          <w:szCs w:val="22"/>
          <w:lang w:val="en-US"/>
        </w:rPr>
        <w:t xml:space="preserve"> and other institutions. In this section, I will demonstrate how racist discourses justified the separation of Indo-European children from their Indonesian environment and argue</w:t>
      </w:r>
      <w:r w:rsidRPr="001D6CB4">
        <w:rPr>
          <w:rFonts w:cs="Calibri"/>
          <w:szCs w:val="22"/>
          <w:lang w:val="en-US"/>
        </w:rPr>
        <w:t xml:space="preserve"> </w:t>
      </w:r>
      <w:r>
        <w:rPr>
          <w:rFonts w:cs="Calibri"/>
          <w:szCs w:val="22"/>
          <w:lang w:val="en-US"/>
        </w:rPr>
        <w:t>that</w:t>
      </w:r>
      <w:r w:rsidRPr="001D6CB4">
        <w:rPr>
          <w:rFonts w:cs="Calibri"/>
          <w:szCs w:val="22"/>
          <w:lang w:val="en-US"/>
        </w:rPr>
        <w:t xml:space="preserve"> </w:t>
      </w:r>
      <w:r w:rsidRPr="00A82BE9">
        <w:rPr>
          <w:rFonts w:cs="Calibri"/>
          <w:szCs w:val="22"/>
          <w:lang w:val="en-US"/>
        </w:rPr>
        <w:t>child separation was a gendered practice</w:t>
      </w:r>
      <w:r>
        <w:rPr>
          <w:rFonts w:cs="Calibri"/>
          <w:szCs w:val="22"/>
          <w:lang w:val="en-US"/>
        </w:rPr>
        <w:t>, as Indonesian mothers</w:t>
      </w:r>
      <w:r w:rsidRPr="001D6CB4">
        <w:rPr>
          <w:rFonts w:cs="Calibri"/>
          <w:szCs w:val="22"/>
          <w:lang w:val="en-US"/>
        </w:rPr>
        <w:t xml:space="preserve"> </w:t>
      </w:r>
      <w:r>
        <w:rPr>
          <w:rFonts w:cs="Calibri"/>
          <w:szCs w:val="22"/>
          <w:lang w:val="en-US"/>
        </w:rPr>
        <w:t>were</w:t>
      </w:r>
      <w:r w:rsidRPr="001D6CB4">
        <w:rPr>
          <w:rFonts w:cs="Calibri"/>
          <w:szCs w:val="22"/>
          <w:lang w:val="en-US"/>
        </w:rPr>
        <w:t xml:space="preserve"> considered a threat to the civilized upbringing of </w:t>
      </w:r>
      <w:r>
        <w:rPr>
          <w:rFonts w:cs="Calibri"/>
          <w:szCs w:val="22"/>
          <w:lang w:val="en-US"/>
        </w:rPr>
        <w:t>their interracialized children</w:t>
      </w:r>
      <w:r w:rsidRPr="001D6CB4">
        <w:rPr>
          <w:rFonts w:cs="Calibri"/>
          <w:szCs w:val="22"/>
          <w:lang w:val="en-US"/>
        </w:rPr>
        <w:t>.</w:t>
      </w:r>
      <w:r>
        <w:rPr>
          <w:rFonts w:cs="Calibri"/>
          <w:szCs w:val="22"/>
          <w:lang w:val="en-US"/>
        </w:rPr>
        <w:t xml:space="preserve"> </w:t>
      </w:r>
      <w:r w:rsidRPr="001D6CB4">
        <w:rPr>
          <w:rFonts w:cs="Calibri"/>
          <w:szCs w:val="22"/>
          <w:lang w:val="en-US"/>
        </w:rPr>
        <w:t xml:space="preserve">In section 3.3, I </w:t>
      </w:r>
      <w:r>
        <w:rPr>
          <w:rFonts w:cs="Calibri"/>
          <w:szCs w:val="22"/>
          <w:lang w:val="en-US"/>
        </w:rPr>
        <w:t xml:space="preserve">will demonstrate how education was used as a technology of normalization on the Indo-European children. Educating the Dutch language, teaching Christian, liberal morals, and providing vocational training, were all techniques used in orphanages and boarding schools aimed at </w:t>
      </w:r>
      <w:r w:rsidRPr="00A82BE9">
        <w:rPr>
          <w:rFonts w:cs="Calibri"/>
          <w:szCs w:val="22"/>
          <w:lang w:val="en-US"/>
        </w:rPr>
        <w:t>producing productive, European citizens</w:t>
      </w:r>
      <w:r>
        <w:rPr>
          <w:rFonts w:cs="Calibri"/>
          <w:szCs w:val="22"/>
          <w:lang w:val="en-US"/>
        </w:rPr>
        <w:t>.</w:t>
      </w:r>
    </w:p>
    <w:p w14:paraId="4457E9BA" w14:textId="77777777" w:rsidR="009847E8" w:rsidRPr="00C2670B" w:rsidRDefault="009847E8">
      <w:pPr>
        <w:pStyle w:val="ListParagraph"/>
        <w:numPr>
          <w:ilvl w:val="1"/>
          <w:numId w:val="4"/>
        </w:numPr>
        <w:spacing w:before="240" w:after="240" w:line="276" w:lineRule="auto"/>
        <w:jc w:val="both"/>
        <w:outlineLvl w:val="1"/>
        <w:rPr>
          <w:rFonts w:cs="Calibri"/>
          <w:b/>
          <w:bCs/>
          <w:sz w:val="22"/>
          <w:szCs w:val="22"/>
          <w:lang w:val="en-US"/>
        </w:rPr>
      </w:pPr>
      <w:bookmarkStart w:id="30" w:name="_Toc234183620"/>
      <w:r w:rsidRPr="00C2670B">
        <w:rPr>
          <w:rFonts w:cs="Calibri"/>
          <w:b/>
          <w:bCs/>
          <w:sz w:val="22"/>
          <w:szCs w:val="22"/>
          <w:lang w:val="en-US"/>
        </w:rPr>
        <w:t>The child as a local center of power-knowledge</w:t>
      </w:r>
      <w:bookmarkEnd w:id="30"/>
    </w:p>
    <w:p w14:paraId="7BAE6FCA" w14:textId="77777777" w:rsidR="009847E8" w:rsidRPr="001D6CB4" w:rsidRDefault="009847E8">
      <w:pPr>
        <w:pStyle w:val="Maxhoofdtekst"/>
        <w:numPr>
          <w:ilvl w:val="2"/>
          <w:numId w:val="4"/>
        </w:numPr>
        <w:spacing w:line="276" w:lineRule="auto"/>
        <w:outlineLvl w:val="2"/>
        <w:rPr>
          <w:rFonts w:cs="Calibri"/>
          <w:lang w:val="en-US"/>
        </w:rPr>
      </w:pPr>
      <w:bookmarkStart w:id="31" w:name="_Toc234183621"/>
      <w:r w:rsidRPr="001D6CB4">
        <w:rPr>
          <w:rFonts w:cs="Calibri"/>
          <w:lang w:val="en-US"/>
        </w:rPr>
        <w:t>Degeneration of European and Eurasian children</w:t>
      </w:r>
      <w:bookmarkEnd w:id="31"/>
      <w:r w:rsidRPr="001D6CB4">
        <w:rPr>
          <w:rFonts w:cs="Calibri"/>
          <w:lang w:val="en-US"/>
        </w:rPr>
        <w:t xml:space="preserve"> </w:t>
      </w:r>
    </w:p>
    <w:p w14:paraId="6E0395CF" w14:textId="77777777" w:rsidR="009847E8" w:rsidRDefault="009847E8" w:rsidP="00876316">
      <w:pPr>
        <w:pStyle w:val="Maxhoofdtekst"/>
        <w:spacing w:line="276" w:lineRule="auto"/>
        <w:ind w:firstLine="284"/>
        <w:rPr>
          <w:rFonts w:cs="Calibri"/>
          <w:lang w:val="en-US"/>
        </w:rPr>
      </w:pPr>
      <w:r>
        <w:rPr>
          <w:rFonts w:cs="Calibri"/>
          <w:lang w:val="en-US"/>
        </w:rPr>
        <w:t xml:space="preserve">Children born out of concubinage </w:t>
      </w:r>
      <w:r w:rsidRPr="001D6CB4">
        <w:rPr>
          <w:rFonts w:cs="Calibri"/>
          <w:lang w:val="en-US"/>
        </w:rPr>
        <w:t xml:space="preserve">in the </w:t>
      </w:r>
      <w:r>
        <w:rPr>
          <w:rFonts w:cs="Calibri"/>
          <w:lang w:val="en-US"/>
        </w:rPr>
        <w:t xml:space="preserve">Dutch East Indies were seen as a </w:t>
      </w:r>
      <w:r w:rsidRPr="001D6CB4">
        <w:rPr>
          <w:rFonts w:cs="Calibri"/>
          <w:lang w:val="en-US"/>
        </w:rPr>
        <w:t>threat</w:t>
      </w:r>
      <w:r>
        <w:rPr>
          <w:rFonts w:cs="Calibri"/>
          <w:lang w:val="en-US"/>
        </w:rPr>
        <w:t xml:space="preserve"> to</w:t>
      </w:r>
      <w:r w:rsidRPr="001D6CB4">
        <w:rPr>
          <w:rFonts w:cs="Calibri"/>
          <w:lang w:val="en-US"/>
        </w:rPr>
        <w:t xml:space="preserve"> the boundaries of colonial categories</w:t>
      </w:r>
      <w:r>
        <w:rPr>
          <w:rFonts w:cs="Calibri"/>
          <w:lang w:val="en-US"/>
        </w:rPr>
        <w:t xml:space="preserve"> and considered disloyal and hateful towards the European population</w:t>
      </w:r>
      <w:r w:rsidRPr="001D6CB4">
        <w:rPr>
          <w:rFonts w:cs="Calibri"/>
          <w:lang w:val="en-US"/>
        </w:rPr>
        <w:t>.</w:t>
      </w:r>
      <w:r>
        <w:rPr>
          <w:rFonts w:cs="Calibri"/>
          <w:lang w:val="en-US"/>
        </w:rPr>
        <w:t xml:space="preserve"> </w:t>
      </w:r>
      <w:r w:rsidRPr="001D6CB4">
        <w:rPr>
          <w:rFonts w:cs="Calibri"/>
          <w:lang w:val="en-US"/>
        </w:rPr>
        <w:t xml:space="preserve">The </w:t>
      </w:r>
      <w:r>
        <w:rPr>
          <w:rFonts w:cs="Calibri"/>
          <w:lang w:val="en-US"/>
        </w:rPr>
        <w:t xml:space="preserve">authority of the </w:t>
      </w:r>
      <w:r w:rsidRPr="001D6CB4">
        <w:rPr>
          <w:rFonts w:cs="Calibri"/>
          <w:lang w:val="en-US"/>
        </w:rPr>
        <w:t xml:space="preserve">colonial </w:t>
      </w:r>
      <w:r>
        <w:rPr>
          <w:rFonts w:cs="Calibri"/>
          <w:lang w:val="en-US"/>
        </w:rPr>
        <w:t>state</w:t>
      </w:r>
      <w:r w:rsidRPr="001D6CB4">
        <w:rPr>
          <w:rFonts w:cs="Calibri"/>
          <w:lang w:val="en-US"/>
        </w:rPr>
        <w:t xml:space="preserve"> was threatened by </w:t>
      </w:r>
      <w:r>
        <w:rPr>
          <w:rFonts w:cs="Calibri"/>
          <w:lang w:val="en-US"/>
        </w:rPr>
        <w:t>multiracialized</w:t>
      </w:r>
      <w:r w:rsidRPr="001D6CB4">
        <w:rPr>
          <w:rFonts w:cs="Calibri"/>
          <w:lang w:val="en-US"/>
        </w:rPr>
        <w:t xml:space="preserve"> progeny</w:t>
      </w:r>
      <w:r>
        <w:rPr>
          <w:rFonts w:cs="Calibri"/>
          <w:lang w:val="en-US"/>
        </w:rPr>
        <w:t xml:space="preserve">, as their presence </w:t>
      </w:r>
      <w:r w:rsidRPr="001D6CB4">
        <w:rPr>
          <w:rFonts w:cs="Calibri"/>
          <w:lang w:val="en-US"/>
        </w:rPr>
        <w:t>questioned the criteria on which Europeanness could be identified and specific citizenship rights were accorded.</w:t>
      </w:r>
      <w:r w:rsidRPr="001D6CB4">
        <w:rPr>
          <w:rStyle w:val="FootnoteReference"/>
          <w:rFonts w:cs="Calibri"/>
          <w:lang w:val="en-US"/>
        </w:rPr>
        <w:footnoteReference w:id="200"/>
      </w:r>
      <w:r>
        <w:rPr>
          <w:rFonts w:cs="Calibri"/>
          <w:lang w:val="en-US"/>
        </w:rPr>
        <w:t xml:space="preserve"> Although Indo-European children were legally categorized as European – provided that their European father recognized them, their degeneration was seen as a biological issue. For instance, </w:t>
      </w:r>
      <w:r w:rsidRPr="00876316">
        <w:rPr>
          <w:rFonts w:cs="Calibri"/>
          <w:i/>
          <w:iCs/>
          <w:lang w:val="en-US"/>
        </w:rPr>
        <w:t>De Indische Gids</w:t>
      </w:r>
      <w:r>
        <w:rPr>
          <w:rFonts w:cs="Calibri"/>
          <w:i/>
          <w:iCs/>
          <w:lang w:val="en-US"/>
        </w:rPr>
        <w:t xml:space="preserve">, </w:t>
      </w:r>
      <w:r>
        <w:rPr>
          <w:rFonts w:cs="Calibri"/>
          <w:lang w:val="en-US"/>
        </w:rPr>
        <w:t>a Dutch Indies scientific journal, published</w:t>
      </w:r>
      <w:r w:rsidRPr="00876316">
        <w:rPr>
          <w:rFonts w:cs="Calibri"/>
          <w:lang w:val="en-US"/>
        </w:rPr>
        <w:t xml:space="preserve"> an article </w:t>
      </w:r>
      <w:r>
        <w:rPr>
          <w:rFonts w:cs="Calibri"/>
          <w:lang w:val="en-US"/>
        </w:rPr>
        <w:t xml:space="preserve">in 1900 </w:t>
      </w:r>
      <w:r w:rsidRPr="00876316">
        <w:rPr>
          <w:rFonts w:cs="Calibri"/>
          <w:lang w:val="en-US"/>
        </w:rPr>
        <w:t>on multiracialization and pauperism, complain</w:t>
      </w:r>
      <w:r>
        <w:rPr>
          <w:rFonts w:cs="Calibri"/>
          <w:lang w:val="en-US"/>
        </w:rPr>
        <w:t>ing</w:t>
      </w:r>
      <w:r w:rsidRPr="00876316">
        <w:rPr>
          <w:rFonts w:cs="Calibri"/>
          <w:lang w:val="en-US"/>
        </w:rPr>
        <w:t xml:space="preserve"> that Indo-European children were</w:t>
      </w:r>
      <w:r>
        <w:rPr>
          <w:rFonts w:cs="Calibri"/>
          <w:lang w:val="en-US"/>
        </w:rPr>
        <w:t xml:space="preserve"> ‘in their nature more Javanese than European. </w:t>
      </w:r>
      <w:r w:rsidRPr="00CA0F60">
        <w:rPr>
          <w:rFonts w:cs="Calibri"/>
          <w:lang w:val="en-US"/>
        </w:rPr>
        <w:t xml:space="preserve">It has absorbed </w:t>
      </w:r>
      <w:r>
        <w:rPr>
          <w:rFonts w:cs="Calibri"/>
          <w:lang w:val="en-US"/>
        </w:rPr>
        <w:t>indigenous</w:t>
      </w:r>
      <w:r w:rsidRPr="00CA0F60">
        <w:rPr>
          <w:rFonts w:cs="Calibri"/>
          <w:lang w:val="en-US"/>
        </w:rPr>
        <w:t xml:space="preserve"> </w:t>
      </w:r>
      <w:r>
        <w:rPr>
          <w:rFonts w:cs="Calibri"/>
          <w:lang w:val="en-US"/>
        </w:rPr>
        <w:t>traditions</w:t>
      </w:r>
      <w:r w:rsidRPr="00CA0F60">
        <w:rPr>
          <w:rFonts w:cs="Calibri"/>
          <w:lang w:val="en-US"/>
        </w:rPr>
        <w:t xml:space="preserve"> along with </w:t>
      </w:r>
      <w:r w:rsidRPr="00876316">
        <w:rPr>
          <w:rFonts w:cs="Calibri"/>
          <w:i/>
          <w:iCs/>
          <w:lang w:val="en-US"/>
        </w:rPr>
        <w:t>its mother's milk</w:t>
      </w:r>
      <w:r w:rsidRPr="00CA0F60">
        <w:rPr>
          <w:rFonts w:cs="Calibri"/>
          <w:lang w:val="en-US"/>
        </w:rPr>
        <w:t xml:space="preserve">; </w:t>
      </w:r>
      <w:r>
        <w:rPr>
          <w:rFonts w:cs="Calibri"/>
          <w:lang w:val="en-US"/>
        </w:rPr>
        <w:t>‘</w:t>
      </w:r>
      <w:r w:rsidRPr="00CA0F60">
        <w:rPr>
          <w:rFonts w:cs="Calibri"/>
          <w:lang w:val="en-US"/>
        </w:rPr>
        <w:t>it clings to everything supernatural and, seeing so many examples around it, sees no shame in sensuality</w:t>
      </w:r>
      <w:r>
        <w:rPr>
          <w:rFonts w:cs="Calibri"/>
          <w:lang w:val="en-US"/>
        </w:rPr>
        <w:t>’.</w:t>
      </w:r>
      <w:r>
        <w:rPr>
          <w:rStyle w:val="FootnoteReference"/>
          <w:rFonts w:cs="Calibri"/>
          <w:lang w:val="en-US"/>
        </w:rPr>
        <w:footnoteReference w:id="201"/>
      </w:r>
      <w:r>
        <w:rPr>
          <w:rFonts w:cs="Calibri"/>
          <w:lang w:val="en-US"/>
        </w:rPr>
        <w:t xml:space="preserve"> They posed a biological threat to the colonial state, which was ‘fed’ to them by their Indonesian mothers. </w:t>
      </w:r>
    </w:p>
    <w:p w14:paraId="1A97291A" w14:textId="77777777" w:rsidR="009847E8" w:rsidRDefault="009847E8" w:rsidP="00007B1E">
      <w:pPr>
        <w:pStyle w:val="Maxhoofdtekst"/>
        <w:spacing w:line="276" w:lineRule="auto"/>
        <w:ind w:firstLine="284"/>
        <w:rPr>
          <w:rFonts w:cs="Calibri"/>
          <w:lang w:val="en-US"/>
        </w:rPr>
      </w:pPr>
      <w:r>
        <w:rPr>
          <w:rFonts w:cs="Calibri"/>
          <w:lang w:val="en-US"/>
        </w:rPr>
        <w:t xml:space="preserve">Beyond the biological </w:t>
      </w:r>
      <w:r w:rsidRPr="00C3328E">
        <w:rPr>
          <w:rFonts w:cs="Calibri"/>
          <w:lang w:val="en-US"/>
        </w:rPr>
        <w:t xml:space="preserve">threat of degenerations, cultural education was also seen as a threat to </w:t>
      </w:r>
      <w:r w:rsidRPr="00C3328E">
        <w:rPr>
          <w:lang w:val="en-US"/>
        </w:rPr>
        <w:t xml:space="preserve">the Indo-European child's </w:t>
      </w:r>
      <w:r>
        <w:rPr>
          <w:lang w:val="en-US"/>
        </w:rPr>
        <w:t>moral upbringing.</w:t>
      </w:r>
      <w:r w:rsidRPr="009847E8">
        <w:rPr>
          <w:lang w:val="en-GB"/>
        </w:rPr>
        <w:t xml:space="preserve"> </w:t>
      </w:r>
      <w:r>
        <w:rPr>
          <w:rFonts w:cs="Calibri"/>
          <w:lang w:val="en-US"/>
        </w:rPr>
        <w:t xml:space="preserve">According to J.A. Wilkens, a writer and physician based in Java, degeneration occurred through the language education of children. In 1849, he argued that the </w:t>
      </w:r>
      <w:r>
        <w:rPr>
          <w:rFonts w:cs="Calibri"/>
          <w:lang w:val="en-US"/>
        </w:rPr>
        <w:lastRenderedPageBreak/>
        <w:t>early education of Malay or Javanese language negatively influences the minds of Indo-European children.</w:t>
      </w:r>
      <w:r>
        <w:rPr>
          <w:rStyle w:val="FootnoteReference"/>
          <w:rFonts w:cs="Calibri"/>
          <w:lang w:val="en-US"/>
        </w:rPr>
        <w:footnoteReference w:id="202"/>
      </w:r>
      <w:r>
        <w:rPr>
          <w:rFonts w:cs="Calibri"/>
          <w:lang w:val="en-US"/>
        </w:rPr>
        <w:t xml:space="preserve"> Though this ‘highly damaging language could not be avoided among youth in the Indies’, it was of the utmost importance that children learned to speak Dutch before or at least at the same time: </w:t>
      </w:r>
    </w:p>
    <w:p w14:paraId="34108A83" w14:textId="77777777" w:rsidR="009847E8" w:rsidRDefault="009847E8" w:rsidP="00007B1E">
      <w:pPr>
        <w:pStyle w:val="Maxhoofdtekst"/>
        <w:spacing w:line="276" w:lineRule="auto"/>
        <w:ind w:left="708"/>
        <w:rPr>
          <w:rFonts w:cs="Calibri"/>
          <w:lang w:val="en-US"/>
        </w:rPr>
      </w:pPr>
      <w:r>
        <w:rPr>
          <w:rFonts w:cs="Calibri"/>
          <w:lang w:val="en-US"/>
        </w:rPr>
        <w:t>‘</w:t>
      </w:r>
      <w:r w:rsidRPr="00F122BD">
        <w:rPr>
          <w:rFonts w:cs="Calibri"/>
          <w:lang w:val="en-US"/>
        </w:rPr>
        <w:t>As children hear less and less Dutch from their parents, Malay</w:t>
      </w:r>
      <w:r>
        <w:rPr>
          <w:rFonts w:cs="Calibri"/>
          <w:lang w:val="en-US"/>
        </w:rPr>
        <w:t xml:space="preserve"> </w:t>
      </w:r>
      <w:r w:rsidRPr="001D6CB4">
        <w:rPr>
          <w:rFonts w:cs="Calibri"/>
          <w:lang w:val="en-US"/>
        </w:rPr>
        <w:t>–</w:t>
      </w:r>
      <w:r>
        <w:rPr>
          <w:rFonts w:cs="Calibri"/>
          <w:lang w:val="en-US"/>
        </w:rPr>
        <w:t xml:space="preserve"> </w:t>
      </w:r>
      <w:r w:rsidRPr="00F122BD">
        <w:rPr>
          <w:rFonts w:cs="Calibri"/>
          <w:lang w:val="en-US"/>
        </w:rPr>
        <w:t>and in the interior of Java, Javanese as well</w:t>
      </w:r>
      <w:r>
        <w:rPr>
          <w:rFonts w:cs="Calibri"/>
          <w:lang w:val="en-US"/>
        </w:rPr>
        <w:t xml:space="preserve"> </w:t>
      </w:r>
      <w:r w:rsidRPr="001D6CB4">
        <w:rPr>
          <w:rFonts w:cs="Calibri"/>
          <w:lang w:val="en-US"/>
        </w:rPr>
        <w:t>–</w:t>
      </w:r>
      <w:r>
        <w:rPr>
          <w:rFonts w:cs="Calibri"/>
          <w:lang w:val="en-US"/>
        </w:rPr>
        <w:t xml:space="preserve"> </w:t>
      </w:r>
      <w:r w:rsidRPr="00F122BD">
        <w:rPr>
          <w:rFonts w:cs="Calibri"/>
          <w:lang w:val="en-US"/>
        </w:rPr>
        <w:t xml:space="preserve">becomes </w:t>
      </w:r>
      <w:r>
        <w:rPr>
          <w:rFonts w:cs="Calibri"/>
          <w:lang w:val="en-US"/>
        </w:rPr>
        <w:t>(..)</w:t>
      </w:r>
      <w:r w:rsidRPr="00F122BD">
        <w:rPr>
          <w:rFonts w:cs="Calibri"/>
          <w:lang w:val="en-US"/>
        </w:rPr>
        <w:t xml:space="preserve"> their mother tongue; whereas in those households where</w:t>
      </w:r>
      <w:r>
        <w:rPr>
          <w:rFonts w:cs="Calibri"/>
          <w:lang w:val="en-US"/>
        </w:rPr>
        <w:t xml:space="preserve"> </w:t>
      </w:r>
      <w:r w:rsidRPr="001D6CB4">
        <w:rPr>
          <w:rFonts w:cs="Calibri"/>
          <w:lang w:val="en-US"/>
        </w:rPr>
        <w:t>–</w:t>
      </w:r>
      <w:r>
        <w:rPr>
          <w:rFonts w:cs="Calibri"/>
          <w:lang w:val="en-US"/>
        </w:rPr>
        <w:t xml:space="preserve"> </w:t>
      </w:r>
      <w:r w:rsidRPr="00F122BD">
        <w:rPr>
          <w:rFonts w:cs="Calibri"/>
          <w:lang w:val="en-US"/>
        </w:rPr>
        <w:t>it pains us deeply to have to admit this sad truth</w:t>
      </w:r>
      <w:r>
        <w:rPr>
          <w:rFonts w:cs="Calibri"/>
          <w:lang w:val="en-US"/>
        </w:rPr>
        <w:t xml:space="preserve"> </w:t>
      </w:r>
      <w:r w:rsidRPr="001D6CB4">
        <w:rPr>
          <w:rFonts w:cs="Calibri"/>
          <w:lang w:val="en-US"/>
        </w:rPr>
        <w:t>–</w:t>
      </w:r>
      <w:r>
        <w:rPr>
          <w:rFonts w:cs="Calibri"/>
          <w:lang w:val="en-US"/>
        </w:rPr>
        <w:t xml:space="preserve"> </w:t>
      </w:r>
      <w:r w:rsidRPr="00F122BD">
        <w:rPr>
          <w:rFonts w:cs="Calibri"/>
          <w:lang w:val="en-US"/>
        </w:rPr>
        <w:t xml:space="preserve">the fathers are indifferent to their children’s upbringing, it has also become </w:t>
      </w:r>
      <w:r>
        <w:rPr>
          <w:rFonts w:cs="Calibri"/>
          <w:lang w:val="en-US"/>
        </w:rPr>
        <w:t>custom</w:t>
      </w:r>
      <w:r w:rsidRPr="00F122BD">
        <w:rPr>
          <w:rFonts w:cs="Calibri"/>
          <w:lang w:val="en-US"/>
        </w:rPr>
        <w:t xml:space="preserve"> for the mothers to vent their anger in obscene language and curses against the servants and even against their own children</w:t>
      </w:r>
      <w:r>
        <w:rPr>
          <w:rFonts w:cs="Calibri"/>
          <w:lang w:val="en-US"/>
        </w:rPr>
        <w:t>;</w:t>
      </w:r>
      <w:r w:rsidRPr="00F122BD">
        <w:rPr>
          <w:rFonts w:cs="Calibri"/>
          <w:lang w:val="en-US"/>
        </w:rPr>
        <w:t xml:space="preserve"> </w:t>
      </w:r>
      <w:r w:rsidRPr="00F122BD">
        <w:rPr>
          <w:rFonts w:cs="Calibri"/>
          <w:i/>
          <w:iCs/>
          <w:lang w:val="en-US"/>
        </w:rPr>
        <w:t>all hope for the moral and intellectual development of these unfortunate creatures is lost, unless they leave the parental home in time to seek better nourishment for their hearts and minds under foreign care</w:t>
      </w:r>
      <w:r w:rsidRPr="00F122BD">
        <w:rPr>
          <w:rFonts w:cs="Calibri"/>
          <w:lang w:val="en-US"/>
        </w:rPr>
        <w:t>.</w:t>
      </w:r>
      <w:r>
        <w:rPr>
          <w:rFonts w:cs="Calibri"/>
          <w:lang w:val="en-US"/>
        </w:rPr>
        <w:t>’</w:t>
      </w:r>
      <w:r>
        <w:rPr>
          <w:rStyle w:val="FootnoteReference"/>
          <w:rFonts w:cs="Calibri"/>
          <w:lang w:val="en-US"/>
        </w:rPr>
        <w:footnoteReference w:id="203"/>
      </w:r>
      <w:r>
        <w:rPr>
          <w:rFonts w:cs="Calibri"/>
          <w:lang w:val="en-US"/>
        </w:rPr>
        <w:t xml:space="preserve"> </w:t>
      </w:r>
    </w:p>
    <w:p w14:paraId="799E82AD" w14:textId="77777777" w:rsidR="009847E8" w:rsidRDefault="009847E8" w:rsidP="009E1997">
      <w:pPr>
        <w:pStyle w:val="Maxhoofdtekst"/>
        <w:spacing w:before="0" w:line="276" w:lineRule="auto"/>
        <w:ind w:firstLine="284"/>
        <w:rPr>
          <w:rFonts w:cs="Calibri"/>
          <w:lang w:val="en-US"/>
        </w:rPr>
      </w:pPr>
      <w:r>
        <w:rPr>
          <w:rFonts w:cs="Calibri"/>
          <w:lang w:val="en-US"/>
        </w:rPr>
        <w:t>It was not only the Malay or Javanese language which impoverished Indo-Europeans’ education; it was also hurt by the ‘dumb superstitions’ of their Indonesian parent, which were transferred to their child. As their parents do not read, do not wish to enrich their minds and improve their taste, their conversations in the domestic sphere remain limited to ‘dreams, fairytales, ghosts, and other childish things’.</w:t>
      </w:r>
      <w:r>
        <w:rPr>
          <w:rStyle w:val="FootnoteReference"/>
          <w:rFonts w:cs="Calibri"/>
          <w:lang w:val="en-US"/>
        </w:rPr>
        <w:footnoteReference w:id="204"/>
      </w:r>
      <w:r>
        <w:rPr>
          <w:rFonts w:cs="Calibri"/>
          <w:lang w:val="en-US"/>
        </w:rPr>
        <w:t xml:space="preserve"> In conclusion, the language and things spoken of in the Indo-European interracialized household of concubinage fail to properly sculpt the minds of their children.  </w:t>
      </w:r>
    </w:p>
    <w:p w14:paraId="510824CD" w14:textId="77777777" w:rsidR="009847E8" w:rsidRDefault="009847E8" w:rsidP="009E1997">
      <w:pPr>
        <w:spacing w:line="276" w:lineRule="auto"/>
        <w:ind w:firstLine="284"/>
        <w:jc w:val="both"/>
        <w:rPr>
          <w:rFonts w:cs="Calibri"/>
          <w:sz w:val="28"/>
          <w:szCs w:val="28"/>
          <w:lang w:val="en-US"/>
        </w:rPr>
      </w:pPr>
      <w:r>
        <w:rPr>
          <w:rFonts w:cs="Calibri"/>
          <w:sz w:val="22"/>
          <w:szCs w:val="22"/>
          <w:lang w:val="en-US"/>
        </w:rPr>
        <w:t xml:space="preserve">Furthermore, degeneration of children’s sexuality was a great concern within the colonial state. </w:t>
      </w:r>
      <w:r w:rsidRPr="00173283">
        <w:rPr>
          <w:rFonts w:cs="Calibri"/>
          <w:sz w:val="22"/>
          <w:szCs w:val="22"/>
          <w:lang w:val="en-US"/>
        </w:rPr>
        <w:t xml:space="preserve">Foucault noted that, as part of the deployment of sexuality </w:t>
      </w:r>
      <w:r>
        <w:rPr>
          <w:rFonts w:cs="Calibri"/>
          <w:sz w:val="22"/>
          <w:szCs w:val="22"/>
          <w:lang w:val="en-US"/>
        </w:rPr>
        <w:t>in the</w:t>
      </w:r>
      <w:r w:rsidRPr="00173283">
        <w:rPr>
          <w:rFonts w:cs="Calibri"/>
          <w:sz w:val="22"/>
          <w:szCs w:val="22"/>
          <w:lang w:val="en-US"/>
        </w:rPr>
        <w:t xml:space="preserve"> biopolitical state, children’s sex </w:t>
      </w:r>
      <w:r>
        <w:rPr>
          <w:rFonts w:cs="Calibri"/>
          <w:sz w:val="22"/>
          <w:szCs w:val="22"/>
          <w:lang w:val="en-US"/>
        </w:rPr>
        <w:t>becomes</w:t>
      </w:r>
      <w:r w:rsidRPr="00173283">
        <w:rPr>
          <w:rFonts w:cs="Calibri"/>
          <w:sz w:val="22"/>
          <w:szCs w:val="22"/>
          <w:lang w:val="en-US"/>
        </w:rPr>
        <w:t xml:space="preserve"> a constant preoccupation in (boarding) schools as they </w:t>
      </w:r>
      <w:r>
        <w:rPr>
          <w:rFonts w:cs="Calibri"/>
          <w:sz w:val="22"/>
          <w:szCs w:val="22"/>
          <w:lang w:val="en-US"/>
        </w:rPr>
        <w:t>are</w:t>
      </w:r>
      <w:r w:rsidRPr="00173283">
        <w:rPr>
          <w:rFonts w:cs="Calibri"/>
          <w:sz w:val="22"/>
          <w:szCs w:val="22"/>
          <w:lang w:val="en-US"/>
        </w:rPr>
        <w:t xml:space="preserve"> continually supervised and monitored in order to control their sexual education and their upbringing.</w:t>
      </w:r>
      <w:r w:rsidRPr="00173283">
        <w:rPr>
          <w:rStyle w:val="FootnoteReference"/>
          <w:rFonts w:cs="Calibri"/>
          <w:sz w:val="22"/>
          <w:szCs w:val="22"/>
          <w:lang w:val="en-US"/>
        </w:rPr>
        <w:footnoteReference w:id="205"/>
      </w:r>
      <w:r>
        <w:rPr>
          <w:rFonts w:cs="Calibri"/>
          <w:sz w:val="22"/>
          <w:szCs w:val="22"/>
          <w:lang w:val="en-US"/>
        </w:rPr>
        <w:t xml:space="preserve"> Such</w:t>
      </w:r>
      <w:r w:rsidRPr="00C3328E">
        <w:rPr>
          <w:rFonts w:cs="Calibri"/>
          <w:sz w:val="22"/>
          <w:szCs w:val="22"/>
          <w:lang w:val="en-US"/>
        </w:rPr>
        <w:t xml:space="preserve"> concerns</w:t>
      </w:r>
      <w:r>
        <w:rPr>
          <w:rFonts w:cs="Calibri"/>
          <w:sz w:val="22"/>
          <w:szCs w:val="22"/>
          <w:lang w:val="en-US"/>
        </w:rPr>
        <w:t xml:space="preserve"> were also present in the Dutch East Indies. </w:t>
      </w:r>
      <w:r w:rsidRPr="00173283">
        <w:rPr>
          <w:rFonts w:cs="Calibri"/>
          <w:sz w:val="22"/>
          <w:szCs w:val="22"/>
          <w:lang w:val="en-US"/>
        </w:rPr>
        <w:t xml:space="preserve">For instance, Stoler shows </w:t>
      </w:r>
      <w:r w:rsidRPr="00E30012">
        <w:rPr>
          <w:rFonts w:cs="Calibri"/>
          <w:sz w:val="22"/>
          <w:szCs w:val="22"/>
          <w:lang w:val="en-US"/>
        </w:rPr>
        <w:t xml:space="preserve">how criminality among multiracialized children was </w:t>
      </w:r>
      <w:r>
        <w:rPr>
          <w:rFonts w:cs="Calibri"/>
          <w:sz w:val="22"/>
          <w:szCs w:val="22"/>
          <w:lang w:val="en-US"/>
        </w:rPr>
        <w:t xml:space="preserve">discursively </w:t>
      </w:r>
      <w:r w:rsidRPr="00E30012">
        <w:rPr>
          <w:rFonts w:cs="Calibri"/>
          <w:sz w:val="22"/>
          <w:szCs w:val="22"/>
          <w:lang w:val="en-US"/>
        </w:rPr>
        <w:t>linked to their sexuality</w:t>
      </w:r>
      <w:r w:rsidRPr="00173283">
        <w:rPr>
          <w:rFonts w:cs="Calibri"/>
          <w:sz w:val="22"/>
          <w:szCs w:val="22"/>
          <w:lang w:val="en-US"/>
        </w:rPr>
        <w:t xml:space="preserve">: ‘it was native mothers who sapped the energy of boys and men, procuring ‘native concubines’ for their sons at a very young age.’ The same fear was projected </w:t>
      </w:r>
      <w:r w:rsidRPr="00173283">
        <w:rPr>
          <w:rFonts w:cs="Calibri"/>
          <w:color w:val="000000" w:themeColor="text1"/>
          <w:sz w:val="22"/>
          <w:szCs w:val="22"/>
          <w:lang w:val="en-US"/>
        </w:rPr>
        <w:t xml:space="preserve">on </w:t>
      </w:r>
      <w:r>
        <w:rPr>
          <w:rFonts w:cs="Calibri"/>
          <w:sz w:val="22"/>
          <w:szCs w:val="22"/>
          <w:lang w:val="en-US"/>
        </w:rPr>
        <w:t>multiracialized</w:t>
      </w:r>
      <w:r w:rsidRPr="00173283">
        <w:rPr>
          <w:rFonts w:cs="Calibri"/>
          <w:sz w:val="22"/>
          <w:szCs w:val="22"/>
          <w:lang w:val="en-US"/>
        </w:rPr>
        <w:t xml:space="preserve"> daughters: separate schools for Indo girls were established, as by the age of fourteen, their own homes were not safe anymore </w:t>
      </w:r>
      <w:r w:rsidRPr="00173283">
        <w:rPr>
          <w:rFonts w:cs="Calibri"/>
          <w:color w:val="000000" w:themeColor="text1"/>
          <w:sz w:val="22"/>
          <w:szCs w:val="22"/>
          <w:lang w:val="en-US"/>
        </w:rPr>
        <w:t xml:space="preserve">as </w:t>
      </w:r>
      <w:r w:rsidRPr="00173283">
        <w:rPr>
          <w:rFonts w:cs="Calibri"/>
          <w:sz w:val="22"/>
          <w:szCs w:val="22"/>
          <w:lang w:val="en-US"/>
        </w:rPr>
        <w:t>‘seduction, concubinage and prostitution confronted children at every turn’.</w:t>
      </w:r>
      <w:r w:rsidRPr="00173283">
        <w:rPr>
          <w:rStyle w:val="FootnoteReference"/>
          <w:rFonts w:cs="Calibri"/>
          <w:sz w:val="22"/>
          <w:szCs w:val="22"/>
          <w:lang w:val="en-US"/>
        </w:rPr>
        <w:footnoteReference w:id="206"/>
      </w:r>
      <w:r>
        <w:rPr>
          <w:rFonts w:cs="Calibri"/>
          <w:sz w:val="22"/>
          <w:szCs w:val="22"/>
          <w:lang w:val="en-US"/>
        </w:rPr>
        <w:t xml:space="preserve"> Deviant sexual habits and norms endangered the preservation of a ‘healthy line of descent for the family and social class’</w:t>
      </w:r>
      <w:r>
        <w:rPr>
          <w:rStyle w:val="FootnoteReference"/>
          <w:rFonts w:cs="Calibri"/>
          <w:sz w:val="22"/>
          <w:szCs w:val="22"/>
          <w:lang w:val="en-US"/>
        </w:rPr>
        <w:footnoteReference w:id="207"/>
      </w:r>
      <w:r>
        <w:rPr>
          <w:rFonts w:cs="Calibri"/>
          <w:sz w:val="22"/>
          <w:szCs w:val="22"/>
          <w:lang w:val="en-US"/>
        </w:rPr>
        <w:t xml:space="preserve">, and must therefore be prevented as much as possible. </w:t>
      </w:r>
    </w:p>
    <w:p w14:paraId="4078B359" w14:textId="77777777" w:rsidR="009847E8" w:rsidRDefault="009847E8" w:rsidP="001C7706">
      <w:pPr>
        <w:pStyle w:val="Maxhoofdtekst"/>
        <w:spacing w:line="276" w:lineRule="auto"/>
        <w:ind w:firstLine="284"/>
        <w:rPr>
          <w:rFonts w:cs="Calibri"/>
          <w:lang w:val="en-US"/>
        </w:rPr>
      </w:pPr>
      <w:r w:rsidRPr="00007B1E">
        <w:rPr>
          <w:rFonts w:cs="Calibri"/>
          <w:szCs w:val="22"/>
          <w:lang w:val="en-US"/>
        </w:rPr>
        <w:t xml:space="preserve">In </w:t>
      </w:r>
      <w:r>
        <w:rPr>
          <w:rFonts w:cs="Calibri"/>
          <w:szCs w:val="22"/>
          <w:lang w:val="en-US"/>
        </w:rPr>
        <w:t xml:space="preserve">an attempt to protect the European prestige and the cultural meaning of European citizenship within the colony, the legal boundaries of Europeanness were tightened. </w:t>
      </w:r>
      <w:r w:rsidRPr="001D6CB4">
        <w:rPr>
          <w:rFonts w:cs="Calibri"/>
          <w:lang w:val="en-US"/>
        </w:rPr>
        <w:t xml:space="preserve">In 1884, </w:t>
      </w:r>
      <w:r>
        <w:rPr>
          <w:rFonts w:cs="Calibri"/>
          <w:lang w:val="en-US"/>
        </w:rPr>
        <w:t>a</w:t>
      </w:r>
      <w:r w:rsidRPr="001D6CB4">
        <w:rPr>
          <w:rFonts w:cs="Calibri"/>
          <w:lang w:val="en-US"/>
        </w:rPr>
        <w:t xml:space="preserve"> law </w:t>
      </w:r>
      <w:r>
        <w:rPr>
          <w:rFonts w:cs="Calibri"/>
          <w:lang w:val="en-US"/>
        </w:rPr>
        <w:t xml:space="preserve">was passed, </w:t>
      </w:r>
      <w:r w:rsidRPr="001D6CB4">
        <w:rPr>
          <w:rFonts w:cs="Calibri"/>
          <w:lang w:val="en-US"/>
        </w:rPr>
        <w:t>requir</w:t>
      </w:r>
      <w:r>
        <w:rPr>
          <w:rFonts w:cs="Calibri"/>
          <w:lang w:val="en-US"/>
        </w:rPr>
        <w:t>ing</w:t>
      </w:r>
      <w:r w:rsidRPr="001D6CB4">
        <w:rPr>
          <w:rFonts w:cs="Calibri"/>
          <w:lang w:val="en-US"/>
        </w:rPr>
        <w:t xml:space="preserve"> that, in order for </w:t>
      </w:r>
      <w:r>
        <w:rPr>
          <w:rFonts w:cs="Calibri"/>
          <w:lang w:val="en-US"/>
        </w:rPr>
        <w:t xml:space="preserve">Indo-Europeans </w:t>
      </w:r>
      <w:r w:rsidRPr="001D6CB4">
        <w:rPr>
          <w:rFonts w:cs="Calibri"/>
          <w:lang w:val="en-US"/>
        </w:rPr>
        <w:t>to acquire European legal status</w:t>
      </w:r>
      <w:r>
        <w:rPr>
          <w:rFonts w:cs="Calibri"/>
          <w:lang w:val="en-US"/>
        </w:rPr>
        <w:t xml:space="preserve"> outside of their father’s </w:t>
      </w:r>
      <w:r>
        <w:rPr>
          <w:rFonts w:cs="Calibri"/>
          <w:lang w:val="en-US"/>
        </w:rPr>
        <w:lastRenderedPageBreak/>
        <w:t>recognition</w:t>
      </w:r>
      <w:r w:rsidRPr="001D6CB4">
        <w:rPr>
          <w:rFonts w:cs="Calibri"/>
          <w:lang w:val="en-US"/>
        </w:rPr>
        <w:t xml:space="preserve">, they had to prove </w:t>
      </w:r>
      <w:r w:rsidRPr="00D4065E">
        <w:rPr>
          <w:rFonts w:cs="Calibri"/>
          <w:lang w:val="en-US"/>
        </w:rPr>
        <w:t>indisputably</w:t>
      </w:r>
      <w:r w:rsidRPr="001D6CB4">
        <w:rPr>
          <w:rFonts w:cs="Calibri"/>
          <w:lang w:val="en-US"/>
        </w:rPr>
        <w:t xml:space="preserve"> that they were brought up in European surroundings as a European.</w:t>
      </w:r>
      <w:r w:rsidRPr="001D6CB4">
        <w:rPr>
          <w:rStyle w:val="FootnoteReference"/>
          <w:rFonts w:cs="Calibri"/>
          <w:lang w:val="en-US"/>
        </w:rPr>
        <w:footnoteReference w:id="208"/>
      </w:r>
      <w:r w:rsidRPr="001D6CB4">
        <w:rPr>
          <w:rFonts w:cs="Calibri"/>
          <w:lang w:val="en-US"/>
        </w:rPr>
        <w:t xml:space="preserve"> Most efforts at being a true ‘European’ – being fluent in Dutch, wearing the right attire and church membership were often not enough to satisfy these requirements, as ‘native dishes were always awaiting them when they returned to their village homes’. </w:t>
      </w:r>
    </w:p>
    <w:p w14:paraId="7185463B" w14:textId="77777777" w:rsidR="009847E8" w:rsidRDefault="009847E8" w:rsidP="001C7706">
      <w:pPr>
        <w:pStyle w:val="Maxhoofdtekst"/>
        <w:spacing w:line="276" w:lineRule="auto"/>
        <w:ind w:firstLine="284"/>
        <w:rPr>
          <w:rFonts w:cs="Calibri"/>
          <w:lang w:val="en-US"/>
        </w:rPr>
      </w:pPr>
      <w:r>
        <w:rPr>
          <w:rFonts w:cs="Calibri"/>
          <w:lang w:val="en-US"/>
        </w:rPr>
        <w:t xml:space="preserve">Here, Stoler’s question – as discussed in the first chapter – becomes relevant again: </w:t>
      </w:r>
      <w:r w:rsidRPr="001D6CB4">
        <w:rPr>
          <w:rFonts w:cs="Calibri"/>
          <w:lang w:val="en-US"/>
        </w:rPr>
        <w:t>If the European superiority was so clear and obvious, why was there such anxiety over the risk of white degeneration if European subjects were not normalizing their sexuality according to moral prescriptions and modes of conduct?</w:t>
      </w:r>
      <w:r>
        <w:rPr>
          <w:rFonts w:cs="Calibri"/>
          <w:lang w:val="en-US"/>
        </w:rPr>
        <w:t xml:space="preserve"> The reason is that multiracialized children</w:t>
      </w:r>
      <w:r w:rsidRPr="001D6CB4">
        <w:rPr>
          <w:rFonts w:cs="Calibri"/>
          <w:lang w:val="en-US"/>
        </w:rPr>
        <w:t xml:space="preserve"> </w:t>
      </w:r>
      <w:r>
        <w:rPr>
          <w:rFonts w:cs="Calibri"/>
          <w:lang w:val="en-US"/>
        </w:rPr>
        <w:t xml:space="preserve">embody the paradox of colonial society where concubinage and interracialized relationships were the norm. While these children </w:t>
      </w:r>
      <w:r w:rsidRPr="001D6CB4">
        <w:rPr>
          <w:rFonts w:cs="Calibri"/>
          <w:lang w:val="en-US"/>
        </w:rPr>
        <w:t xml:space="preserve">were </w:t>
      </w:r>
      <w:r>
        <w:rPr>
          <w:rFonts w:cs="Calibri"/>
          <w:lang w:val="en-US"/>
        </w:rPr>
        <w:t xml:space="preserve">described as a threat </w:t>
      </w:r>
      <w:r w:rsidRPr="001D6CB4">
        <w:rPr>
          <w:rFonts w:cs="Calibri"/>
          <w:lang w:val="en-US"/>
        </w:rPr>
        <w:t>against which society must be defended, at the same time they were, too, of European descent. This interracial</w:t>
      </w:r>
      <w:r>
        <w:rPr>
          <w:rFonts w:cs="Calibri"/>
          <w:lang w:val="en-US"/>
        </w:rPr>
        <w:t>ized</w:t>
      </w:r>
      <w:r w:rsidRPr="001D6CB4">
        <w:rPr>
          <w:rFonts w:cs="Calibri"/>
          <w:lang w:val="en-US"/>
        </w:rPr>
        <w:t xml:space="preserve"> procreation </w:t>
      </w:r>
      <w:r>
        <w:rPr>
          <w:rFonts w:cs="Calibri"/>
          <w:lang w:val="en-US"/>
        </w:rPr>
        <w:t>was</w:t>
      </w:r>
      <w:r w:rsidRPr="001D6CB4">
        <w:rPr>
          <w:rFonts w:cs="Calibri"/>
          <w:lang w:val="en-US"/>
        </w:rPr>
        <w:t xml:space="preserve"> seen as the internal contamination of European society, and pose</w:t>
      </w:r>
      <w:r>
        <w:rPr>
          <w:rFonts w:cs="Calibri"/>
          <w:lang w:val="en-US"/>
        </w:rPr>
        <w:t>d</w:t>
      </w:r>
      <w:r w:rsidRPr="001D6CB4">
        <w:rPr>
          <w:rFonts w:cs="Calibri"/>
          <w:lang w:val="en-US"/>
        </w:rPr>
        <w:t xml:space="preserve"> a danger to the health of the white European race, Stoler notes: ‘in linking domestic arrangements to the public order, family to the state, sex to subversion, and psychological essence to racial type, </w:t>
      </w:r>
      <w:r w:rsidRPr="008F2963">
        <w:rPr>
          <w:rFonts w:cs="Calibri"/>
          <w:i/>
          <w:iCs/>
          <w:lang w:val="en-US"/>
        </w:rPr>
        <w:t>métissage</w:t>
      </w:r>
      <w:r w:rsidRPr="001D6CB4">
        <w:rPr>
          <w:rFonts w:cs="Calibri"/>
          <w:lang w:val="en-US"/>
        </w:rPr>
        <w:t xml:space="preserve"> might be read as a metonym for the biopolitics of the empire at large’.</w:t>
      </w:r>
      <w:r w:rsidRPr="001D6CB4">
        <w:rPr>
          <w:rStyle w:val="FootnoteReference"/>
          <w:rFonts w:cs="Calibri"/>
          <w:lang w:val="en-US"/>
        </w:rPr>
        <w:footnoteReference w:id="209"/>
      </w:r>
      <w:r w:rsidRPr="001D6CB4">
        <w:rPr>
          <w:rFonts w:cs="Calibri"/>
          <w:lang w:val="en-US"/>
        </w:rPr>
        <w:t xml:space="preserve"> </w:t>
      </w:r>
    </w:p>
    <w:p w14:paraId="20E42AAA" w14:textId="77777777" w:rsidR="009847E8" w:rsidRDefault="009847E8" w:rsidP="00C3328E">
      <w:pPr>
        <w:pStyle w:val="Maxhoofdtekst"/>
        <w:spacing w:line="276" w:lineRule="auto"/>
        <w:ind w:firstLine="284"/>
        <w:rPr>
          <w:rFonts w:cs="Calibri"/>
          <w:lang w:val="en-US"/>
        </w:rPr>
      </w:pPr>
      <w:r>
        <w:rPr>
          <w:rFonts w:cs="Calibri"/>
          <w:lang w:val="en-US"/>
        </w:rPr>
        <w:t xml:space="preserve">To protect the health of the European race and prevent its degeneration, colonial actors employed </w:t>
      </w:r>
      <w:r w:rsidRPr="001D6CB4">
        <w:rPr>
          <w:rFonts w:cs="Calibri"/>
          <w:lang w:val="en-US"/>
        </w:rPr>
        <w:t>biopolitical interventions</w:t>
      </w:r>
      <w:r>
        <w:rPr>
          <w:rFonts w:cs="Calibri"/>
          <w:lang w:val="en-US"/>
        </w:rPr>
        <w:t xml:space="preserve"> to </w:t>
      </w:r>
      <w:r w:rsidRPr="001D6CB4">
        <w:rPr>
          <w:rFonts w:cs="Calibri"/>
          <w:lang w:val="en-US"/>
        </w:rPr>
        <w:t>reinforc</w:t>
      </w:r>
      <w:r>
        <w:rPr>
          <w:rFonts w:cs="Calibri"/>
          <w:lang w:val="en-US"/>
        </w:rPr>
        <w:t xml:space="preserve">e </w:t>
      </w:r>
      <w:r w:rsidRPr="001D6CB4">
        <w:rPr>
          <w:rFonts w:cs="Calibri"/>
          <w:lang w:val="en-US"/>
        </w:rPr>
        <w:t>racial distinctions within the population</w:t>
      </w:r>
      <w:r>
        <w:rPr>
          <w:rFonts w:cs="Calibri"/>
          <w:lang w:val="en-US"/>
        </w:rPr>
        <w:t xml:space="preserve"> </w:t>
      </w:r>
      <w:r w:rsidRPr="001D6CB4">
        <w:rPr>
          <w:rFonts w:cs="Calibri"/>
          <w:lang w:val="en-US"/>
        </w:rPr>
        <w:t xml:space="preserve">and </w:t>
      </w:r>
      <w:r>
        <w:rPr>
          <w:rFonts w:cs="Calibri"/>
          <w:lang w:val="en-US"/>
        </w:rPr>
        <w:t>normalize Indo-European children through separation and education</w:t>
      </w:r>
      <w:r w:rsidRPr="001D6CB4">
        <w:rPr>
          <w:rFonts w:cs="Calibri"/>
          <w:lang w:val="en-US"/>
        </w:rPr>
        <w:t xml:space="preserve">. </w:t>
      </w:r>
      <w:r>
        <w:rPr>
          <w:rFonts w:cs="Calibri"/>
          <w:lang w:val="en-US"/>
        </w:rPr>
        <w:t>L</w:t>
      </w:r>
      <w:r w:rsidRPr="001D6CB4">
        <w:rPr>
          <w:rFonts w:cs="Calibri"/>
          <w:lang w:val="en-US"/>
        </w:rPr>
        <w:t>iberal ideals of social welfare, humanitarianism and ‘equality’ converged with social and moral reform. A civilizing offens</w:t>
      </w:r>
      <w:r>
        <w:rPr>
          <w:rFonts w:cs="Calibri"/>
          <w:lang w:val="en-US"/>
        </w:rPr>
        <w:t>iv</w:t>
      </w:r>
      <w:r w:rsidRPr="001D6CB4">
        <w:rPr>
          <w:rFonts w:cs="Calibri"/>
          <w:lang w:val="en-US"/>
        </w:rPr>
        <w:t>e was initiated, aimed at uplifting the material conditions and cultural habits of Indonesians.</w:t>
      </w:r>
      <w:r w:rsidRPr="001D6CB4">
        <w:rPr>
          <w:rStyle w:val="FootnoteReference"/>
          <w:rFonts w:cs="Calibri"/>
          <w:lang w:val="en-US"/>
        </w:rPr>
        <w:footnoteReference w:id="210"/>
      </w:r>
      <w:r w:rsidRPr="001D6CB4">
        <w:rPr>
          <w:rFonts w:cs="Calibri"/>
          <w:lang w:val="en-US"/>
        </w:rPr>
        <w:t xml:space="preserve"> </w:t>
      </w:r>
      <w:r>
        <w:rPr>
          <w:rFonts w:cs="Calibri"/>
          <w:lang w:val="en-US"/>
        </w:rPr>
        <w:t xml:space="preserve"> As childhood </w:t>
      </w:r>
      <w:r w:rsidRPr="001D6CB4">
        <w:rPr>
          <w:rFonts w:cs="Calibri"/>
          <w:lang w:val="en-US"/>
        </w:rPr>
        <w:t>was considered to be the prime moment to intervene and civilize colonial subjects</w:t>
      </w:r>
      <w:r>
        <w:rPr>
          <w:rFonts w:cs="Calibri"/>
          <w:lang w:val="en-US"/>
        </w:rPr>
        <w:t xml:space="preserve">, </w:t>
      </w:r>
      <w:r w:rsidRPr="001D6CB4">
        <w:rPr>
          <w:rFonts w:cs="Calibri"/>
          <w:lang w:val="en-US"/>
        </w:rPr>
        <w:t xml:space="preserve">humanitarian interventions, such as missionary practices, were targeted at </w:t>
      </w:r>
      <w:r>
        <w:rPr>
          <w:rFonts w:cs="Calibri"/>
          <w:lang w:val="en-US"/>
        </w:rPr>
        <w:t>Indo-European c</w:t>
      </w:r>
      <w:r w:rsidRPr="001D6CB4">
        <w:rPr>
          <w:rFonts w:cs="Calibri"/>
          <w:lang w:val="en-US"/>
        </w:rPr>
        <w:t>hildren and youth within the Dutch East Indies.</w:t>
      </w:r>
      <w:r w:rsidRPr="001D6CB4">
        <w:rPr>
          <w:rStyle w:val="FootnoteReference"/>
          <w:rFonts w:cs="Calibri"/>
          <w:lang w:val="en-US"/>
        </w:rPr>
        <w:footnoteReference w:id="211"/>
      </w:r>
      <w:r>
        <w:rPr>
          <w:rFonts w:cs="Calibri"/>
          <w:lang w:val="en-US"/>
        </w:rPr>
        <w:t xml:space="preserve"> Indeed, in his 1917 lecture on the organization Pro Juventute (‘For the youth’), the importance of intervening during childhood is emphasized by jurist and civil servant F.M.G. van Walsem: </w:t>
      </w:r>
    </w:p>
    <w:p w14:paraId="6C457E84" w14:textId="77777777" w:rsidR="009847E8" w:rsidRDefault="009847E8" w:rsidP="00451B98">
      <w:pPr>
        <w:pStyle w:val="Maxhoofdtekst"/>
        <w:spacing w:line="276" w:lineRule="auto"/>
        <w:ind w:left="708"/>
        <w:rPr>
          <w:rFonts w:cs="Calibri"/>
          <w:lang w:val="en-US"/>
        </w:rPr>
      </w:pPr>
      <w:r>
        <w:rPr>
          <w:rFonts w:cs="Calibri"/>
          <w:lang w:val="en-US"/>
        </w:rPr>
        <w:t>‘</w:t>
      </w:r>
      <w:r w:rsidRPr="001E0274">
        <w:rPr>
          <w:rFonts w:cs="Calibri"/>
          <w:lang w:val="en-US"/>
        </w:rPr>
        <w:t>What the child internalizes</w:t>
      </w:r>
      <w:r>
        <w:rPr>
          <w:rFonts w:cs="Calibri"/>
          <w:lang w:val="en-US"/>
        </w:rPr>
        <w:t xml:space="preserve"> – the </w:t>
      </w:r>
      <w:r w:rsidRPr="001E0274">
        <w:rPr>
          <w:rFonts w:cs="Calibri"/>
          <w:lang w:val="en-US"/>
        </w:rPr>
        <w:t>world of ideas in which</w:t>
      </w:r>
      <w:r>
        <w:rPr>
          <w:rFonts w:cs="Calibri"/>
          <w:lang w:val="en-US"/>
        </w:rPr>
        <w:t xml:space="preserve"> </w:t>
      </w:r>
      <w:r w:rsidRPr="001E0274">
        <w:rPr>
          <w:rFonts w:cs="Calibri"/>
          <w:lang w:val="en-US"/>
        </w:rPr>
        <w:t>it grows up, the concepts of religion, morality, life’s purpose, and the art of living that are instilled in it</w:t>
      </w:r>
      <w:r>
        <w:rPr>
          <w:rFonts w:cs="Calibri"/>
          <w:lang w:val="en-US"/>
        </w:rPr>
        <w:t xml:space="preserve">, will </w:t>
      </w:r>
      <w:r w:rsidRPr="001E0274">
        <w:rPr>
          <w:rFonts w:cs="Calibri"/>
          <w:lang w:val="en-US"/>
        </w:rPr>
        <w:t>eventually</w:t>
      </w:r>
      <w:r>
        <w:rPr>
          <w:rFonts w:cs="Calibri"/>
          <w:lang w:val="en-US"/>
        </w:rPr>
        <w:t xml:space="preserve"> – once </w:t>
      </w:r>
      <w:r w:rsidRPr="001E0274">
        <w:rPr>
          <w:rFonts w:cs="Calibri"/>
          <w:lang w:val="en-US"/>
        </w:rPr>
        <w:t>the child has outgrown its childhood</w:t>
      </w:r>
      <w:r>
        <w:rPr>
          <w:rFonts w:cs="Calibri"/>
          <w:lang w:val="en-US"/>
        </w:rPr>
        <w:t xml:space="preserve"> – be t</w:t>
      </w:r>
      <w:r w:rsidRPr="001E0274">
        <w:rPr>
          <w:rFonts w:cs="Calibri"/>
          <w:lang w:val="en-US"/>
        </w:rPr>
        <w:t>ranslated into action</w:t>
      </w:r>
      <w:r>
        <w:rPr>
          <w:rFonts w:cs="Calibri"/>
          <w:lang w:val="en-US"/>
        </w:rPr>
        <w:t xml:space="preserve"> </w:t>
      </w:r>
      <w:r w:rsidRPr="001E0274">
        <w:rPr>
          <w:rFonts w:cs="Calibri"/>
          <w:lang w:val="en-US"/>
        </w:rPr>
        <w:t>and form the principles by which the</w:t>
      </w:r>
      <w:r>
        <w:rPr>
          <w:rFonts w:cs="Calibri"/>
          <w:lang w:val="en-US"/>
        </w:rPr>
        <w:t xml:space="preserve"> </w:t>
      </w:r>
      <w:r w:rsidRPr="001E0274">
        <w:rPr>
          <w:rFonts w:cs="Calibri"/>
          <w:lang w:val="en-US"/>
        </w:rPr>
        <w:t>society that follows us will be guided.</w:t>
      </w:r>
      <w:r>
        <w:rPr>
          <w:rFonts w:cs="Calibri"/>
          <w:lang w:val="en-US"/>
        </w:rPr>
        <w:t>’</w:t>
      </w:r>
      <w:r>
        <w:rPr>
          <w:rStyle w:val="FootnoteReference"/>
          <w:rFonts w:cs="Calibri"/>
          <w:lang w:val="en-US"/>
        </w:rPr>
        <w:footnoteReference w:id="212"/>
      </w:r>
      <w:r>
        <w:rPr>
          <w:rFonts w:cs="Calibri"/>
          <w:lang w:val="en-US"/>
        </w:rPr>
        <w:t xml:space="preserve"> </w:t>
      </w:r>
    </w:p>
    <w:p w14:paraId="41138816" w14:textId="77777777" w:rsidR="009847E8" w:rsidRDefault="009847E8" w:rsidP="0001459B">
      <w:pPr>
        <w:pStyle w:val="Maxhoofdtekst"/>
        <w:spacing w:line="276" w:lineRule="auto"/>
        <w:ind w:firstLine="284"/>
        <w:rPr>
          <w:rFonts w:cs="Calibri"/>
          <w:lang w:val="en-US"/>
        </w:rPr>
      </w:pPr>
      <w:r>
        <w:rPr>
          <w:rFonts w:cs="Calibri"/>
          <w:lang w:val="en-US"/>
        </w:rPr>
        <w:t>The influence of the ‘immoral’ on the upbringing of Indo-European children must be acknowledged, van Walsem argues – the ‘immoral’ in this case is ‘what is taking shape there in the kampongs among the native and European proletariat in the worst sense of the word’.</w:t>
      </w:r>
      <w:r>
        <w:rPr>
          <w:rStyle w:val="FootnoteReference"/>
          <w:rFonts w:cs="Calibri"/>
          <w:lang w:val="en-US"/>
        </w:rPr>
        <w:footnoteReference w:id="213"/>
      </w:r>
      <w:r>
        <w:rPr>
          <w:rFonts w:cs="Calibri"/>
          <w:lang w:val="en-US"/>
        </w:rPr>
        <w:t xml:space="preserve"> The fear of degeneration of Indo-European children </w:t>
      </w:r>
      <w:r w:rsidRPr="001D6CB4">
        <w:rPr>
          <w:rFonts w:cs="Calibri"/>
          <w:lang w:val="en-US"/>
        </w:rPr>
        <w:t>justifie</w:t>
      </w:r>
      <w:r>
        <w:rPr>
          <w:rFonts w:cs="Calibri"/>
          <w:lang w:val="en-US"/>
        </w:rPr>
        <w:t>d</w:t>
      </w:r>
      <w:r w:rsidRPr="001D6CB4">
        <w:rPr>
          <w:rFonts w:cs="Calibri"/>
          <w:lang w:val="en-US"/>
        </w:rPr>
        <w:t xml:space="preserve"> </w:t>
      </w:r>
      <w:r>
        <w:rPr>
          <w:rFonts w:cs="Calibri"/>
          <w:lang w:val="en-US"/>
        </w:rPr>
        <w:t>normalizing</w:t>
      </w:r>
      <w:r w:rsidRPr="001D6CB4">
        <w:rPr>
          <w:rFonts w:cs="Calibri"/>
          <w:lang w:val="en-US"/>
        </w:rPr>
        <w:t xml:space="preserve"> </w:t>
      </w:r>
      <w:r>
        <w:rPr>
          <w:rFonts w:cs="Calibri"/>
          <w:lang w:val="en-US"/>
        </w:rPr>
        <w:t>interventions in the life of</w:t>
      </w:r>
      <w:r w:rsidRPr="00DF685B">
        <w:rPr>
          <w:rFonts w:cs="Calibri"/>
          <w:lang w:val="en-US"/>
        </w:rPr>
        <w:t xml:space="preserve"> the subversive,</w:t>
      </w:r>
      <w:r w:rsidRPr="001D6CB4">
        <w:rPr>
          <w:rFonts w:cs="Calibri"/>
          <w:lang w:val="en-US"/>
        </w:rPr>
        <w:t xml:space="preserve"> degenerat</w:t>
      </w:r>
      <w:r>
        <w:rPr>
          <w:rFonts w:cs="Calibri"/>
          <w:lang w:val="en-US"/>
        </w:rPr>
        <w:t>e</w:t>
      </w:r>
      <w:r w:rsidRPr="001D6CB4">
        <w:rPr>
          <w:rFonts w:cs="Calibri"/>
          <w:lang w:val="en-US"/>
        </w:rPr>
        <w:t xml:space="preserve"> </w:t>
      </w:r>
      <w:r>
        <w:rPr>
          <w:rFonts w:cs="Calibri"/>
          <w:lang w:val="en-US"/>
        </w:rPr>
        <w:t>element</w:t>
      </w:r>
      <w:r w:rsidRPr="001D6CB4">
        <w:rPr>
          <w:rFonts w:cs="Calibri"/>
          <w:lang w:val="en-US"/>
        </w:rPr>
        <w:t xml:space="preserve"> of society</w:t>
      </w:r>
      <w:r>
        <w:rPr>
          <w:rFonts w:cs="Calibri"/>
          <w:lang w:val="en-US"/>
        </w:rPr>
        <w:t xml:space="preserve"> </w:t>
      </w:r>
      <w:r w:rsidRPr="001D6CB4">
        <w:rPr>
          <w:rFonts w:cs="Calibri"/>
          <w:lang w:val="en-US"/>
        </w:rPr>
        <w:t>–</w:t>
      </w:r>
      <w:r>
        <w:rPr>
          <w:rFonts w:cs="Calibri"/>
          <w:lang w:val="en-US"/>
        </w:rPr>
        <w:t xml:space="preserve"> namely, Indonesians living in kampongs </w:t>
      </w:r>
      <w:r w:rsidRPr="001D6CB4">
        <w:rPr>
          <w:rFonts w:cs="Calibri"/>
          <w:lang w:val="en-US"/>
        </w:rPr>
        <w:t>–</w:t>
      </w:r>
      <w:r>
        <w:rPr>
          <w:rFonts w:cs="Calibri"/>
          <w:lang w:val="en-US"/>
        </w:rPr>
        <w:t xml:space="preserve"> in order to protect the</w:t>
      </w:r>
      <w:r w:rsidRPr="001D6CB4">
        <w:rPr>
          <w:rFonts w:cs="Calibri"/>
          <w:lang w:val="en-US"/>
        </w:rPr>
        <w:t xml:space="preserve"> healthy</w:t>
      </w:r>
      <w:r>
        <w:rPr>
          <w:rFonts w:cs="Calibri"/>
          <w:lang w:val="en-US"/>
        </w:rPr>
        <w:t>,</w:t>
      </w:r>
      <w:r w:rsidRPr="001D6CB4">
        <w:rPr>
          <w:rFonts w:cs="Calibri"/>
          <w:lang w:val="en-US"/>
        </w:rPr>
        <w:t xml:space="preserve"> </w:t>
      </w:r>
      <w:r w:rsidRPr="001D6CB4">
        <w:rPr>
          <w:rFonts w:cs="Calibri"/>
          <w:lang w:val="en-US"/>
        </w:rPr>
        <w:lastRenderedPageBreak/>
        <w:t>normalized</w:t>
      </w:r>
      <w:r>
        <w:rPr>
          <w:rFonts w:cs="Calibri"/>
          <w:lang w:val="en-US"/>
        </w:rPr>
        <w:t xml:space="preserve"> </w:t>
      </w:r>
      <w:r w:rsidRPr="001D6CB4">
        <w:rPr>
          <w:rFonts w:cs="Calibri"/>
          <w:lang w:val="en-US"/>
        </w:rPr>
        <w:t>part of society</w:t>
      </w:r>
      <w:r>
        <w:rPr>
          <w:rFonts w:cs="Calibri"/>
          <w:lang w:val="en-US"/>
        </w:rPr>
        <w:t xml:space="preserve"> </w:t>
      </w:r>
      <w:r w:rsidRPr="001D6CB4">
        <w:rPr>
          <w:rFonts w:cs="Calibri"/>
          <w:lang w:val="en-US"/>
        </w:rPr>
        <w:t>–</w:t>
      </w:r>
      <w:r>
        <w:rPr>
          <w:rFonts w:cs="Calibri"/>
          <w:lang w:val="en-US"/>
        </w:rPr>
        <w:t xml:space="preserve"> the bourgeois European in the Indies. I will discuss the interventions of child separation and education in orphanages and boarding schools in the following sections. </w:t>
      </w:r>
    </w:p>
    <w:p w14:paraId="255890D5" w14:textId="77777777" w:rsidR="009847E8" w:rsidRDefault="009847E8" w:rsidP="0001459B">
      <w:pPr>
        <w:pStyle w:val="Maxhoofdtekst"/>
        <w:spacing w:line="276" w:lineRule="auto"/>
        <w:ind w:firstLine="284"/>
        <w:rPr>
          <w:rFonts w:cs="Calibri"/>
          <w:lang w:val="en-US"/>
        </w:rPr>
      </w:pPr>
    </w:p>
    <w:p w14:paraId="51B8F0E1" w14:textId="77777777" w:rsidR="009847E8" w:rsidRPr="003D0261" w:rsidRDefault="009847E8">
      <w:pPr>
        <w:pStyle w:val="Maxhoofdtekst"/>
        <w:numPr>
          <w:ilvl w:val="1"/>
          <w:numId w:val="4"/>
        </w:numPr>
        <w:spacing w:line="276" w:lineRule="auto"/>
        <w:outlineLvl w:val="1"/>
        <w:rPr>
          <w:b/>
          <w:bCs/>
          <w:lang w:val="en-US"/>
        </w:rPr>
      </w:pPr>
      <w:bookmarkStart w:id="32" w:name="_Toc234183622"/>
      <w:r>
        <w:rPr>
          <w:b/>
          <w:bCs/>
          <w:lang w:val="en-US"/>
        </w:rPr>
        <w:t>Discourses on</w:t>
      </w:r>
      <w:r w:rsidRPr="003D0261">
        <w:rPr>
          <w:b/>
          <w:bCs/>
          <w:lang w:val="en-US"/>
        </w:rPr>
        <w:t xml:space="preserve"> child separation</w:t>
      </w:r>
      <w:bookmarkEnd w:id="32"/>
      <w:r w:rsidRPr="003D0261">
        <w:rPr>
          <w:b/>
          <w:bCs/>
          <w:lang w:val="en-US"/>
        </w:rPr>
        <w:t xml:space="preserve"> </w:t>
      </w:r>
    </w:p>
    <w:p w14:paraId="3EFDB5BD" w14:textId="77777777" w:rsidR="009847E8" w:rsidRPr="003D0261" w:rsidRDefault="009847E8">
      <w:pPr>
        <w:pStyle w:val="ListParagraph"/>
        <w:numPr>
          <w:ilvl w:val="2"/>
          <w:numId w:val="4"/>
        </w:numPr>
        <w:spacing w:before="240" w:after="240" w:line="276" w:lineRule="auto"/>
        <w:jc w:val="both"/>
        <w:outlineLvl w:val="2"/>
        <w:rPr>
          <w:rFonts w:cs="Calibri"/>
          <w:sz w:val="22"/>
          <w:szCs w:val="22"/>
          <w:lang w:val="en-US"/>
        </w:rPr>
      </w:pPr>
      <w:bookmarkStart w:id="33" w:name="_Toc234183623"/>
      <w:r>
        <w:rPr>
          <w:rFonts w:cs="Calibri"/>
          <w:sz w:val="22"/>
          <w:szCs w:val="22"/>
          <w:lang w:val="en-US"/>
        </w:rPr>
        <w:t>Preventing pauperism among Indo-Europeans</w:t>
      </w:r>
      <w:bookmarkEnd w:id="33"/>
    </w:p>
    <w:p w14:paraId="2631F0DF" w14:textId="77777777" w:rsidR="009847E8" w:rsidRDefault="009847E8" w:rsidP="009E1997">
      <w:pPr>
        <w:spacing w:line="276" w:lineRule="auto"/>
        <w:ind w:firstLine="284"/>
        <w:jc w:val="both"/>
        <w:rPr>
          <w:rFonts w:cs="Calibri"/>
          <w:sz w:val="22"/>
          <w:szCs w:val="22"/>
          <w:lang w:val="en-US"/>
        </w:rPr>
      </w:pPr>
      <w:r w:rsidRPr="0063697D">
        <w:rPr>
          <w:rFonts w:cs="Calibri"/>
          <w:sz w:val="22"/>
          <w:szCs w:val="22"/>
          <w:lang w:val="en-US"/>
        </w:rPr>
        <w:t>During the late nineteenth century, the socio-economic conditions of the lower classes within Indies society deteriorated significantly, resulting in the expansion of the lower-class population.</w:t>
      </w:r>
      <w:r>
        <w:rPr>
          <w:rFonts w:cs="Calibri"/>
          <w:sz w:val="22"/>
          <w:szCs w:val="22"/>
          <w:lang w:val="en-US"/>
        </w:rPr>
        <w:t xml:space="preserve"> Two major state-commissioned studies led by D.F.W. van Rees researched the root causes of ‘pauperism’ among the (Indo-)European population and state relief for Europeans in the Dutch East Indies.</w:t>
      </w:r>
      <w:r>
        <w:rPr>
          <w:rStyle w:val="FootnoteReference"/>
          <w:rFonts w:cs="Calibri"/>
          <w:sz w:val="22"/>
          <w:szCs w:val="22"/>
          <w:lang w:val="en-US"/>
        </w:rPr>
        <w:footnoteReference w:id="214"/>
      </w:r>
      <w:r>
        <w:rPr>
          <w:rFonts w:cs="Calibri"/>
          <w:sz w:val="22"/>
          <w:szCs w:val="22"/>
          <w:lang w:val="en-US"/>
        </w:rPr>
        <w:t xml:space="preserve"> The reports contain a wealth of data, including information on social conditions within the KNIL-army, the role of European and Christian orphanages in the Dutch East Indies, and the impact of concubinage on the pauperism among (Indo-)Europeans.</w:t>
      </w:r>
      <w:r w:rsidRPr="00651E9C">
        <w:rPr>
          <w:rFonts w:cs="Calibri"/>
          <w:sz w:val="22"/>
          <w:szCs w:val="22"/>
          <w:lang w:val="en-US"/>
        </w:rPr>
        <w:t xml:space="preserve"> </w:t>
      </w:r>
      <w:r>
        <w:rPr>
          <w:rFonts w:cs="Calibri"/>
          <w:sz w:val="22"/>
          <w:szCs w:val="22"/>
          <w:lang w:val="en-US"/>
        </w:rPr>
        <w:t xml:space="preserve">The study on state relief for Europeans in the Dutch East Indies primarily deals with the question whether there is a concrete legal/governmental system of </w:t>
      </w:r>
      <w:r w:rsidRPr="000B4CBD">
        <w:rPr>
          <w:rFonts w:cs="Calibri"/>
          <w:i/>
          <w:iCs/>
          <w:sz w:val="22"/>
          <w:szCs w:val="22"/>
        </w:rPr>
        <w:t>Staatsliefdadigheid</w:t>
      </w:r>
      <w:r>
        <w:rPr>
          <w:rFonts w:cs="Calibri"/>
          <w:i/>
          <w:iCs/>
          <w:sz w:val="22"/>
          <w:szCs w:val="22"/>
        </w:rPr>
        <w:t xml:space="preserve"> </w:t>
      </w:r>
      <w:r w:rsidRPr="00651E9C">
        <w:rPr>
          <w:rFonts w:cs="Calibri"/>
          <w:sz w:val="22"/>
          <w:szCs w:val="22"/>
        </w:rPr>
        <w:t>(</w:t>
      </w:r>
      <w:r>
        <w:rPr>
          <w:rFonts w:cs="Calibri"/>
          <w:sz w:val="22"/>
          <w:szCs w:val="22"/>
        </w:rPr>
        <w:t>state c</w:t>
      </w:r>
      <w:r w:rsidRPr="00651E9C">
        <w:rPr>
          <w:rFonts w:cs="Calibri"/>
          <w:sz w:val="22"/>
          <w:szCs w:val="22"/>
        </w:rPr>
        <w:t>harity)</w:t>
      </w:r>
      <w:r>
        <w:rPr>
          <w:rFonts w:cs="Calibri"/>
          <w:i/>
          <w:iCs/>
          <w:sz w:val="22"/>
          <w:szCs w:val="22"/>
          <w:lang w:val="en-US"/>
        </w:rPr>
        <w:t xml:space="preserve"> </w:t>
      </w:r>
      <w:r>
        <w:rPr>
          <w:rFonts w:cs="Calibri"/>
          <w:sz w:val="22"/>
          <w:szCs w:val="22"/>
          <w:lang w:val="en-US"/>
        </w:rPr>
        <w:t>in the Dutch East Indies, and if so, what this system entails.</w:t>
      </w:r>
      <w:r>
        <w:rPr>
          <w:rStyle w:val="FootnoteReference"/>
          <w:rFonts w:cs="Calibri"/>
          <w:sz w:val="22"/>
          <w:szCs w:val="22"/>
          <w:lang w:val="en-US"/>
        </w:rPr>
        <w:footnoteReference w:id="215"/>
      </w:r>
      <w:r>
        <w:rPr>
          <w:rFonts w:cs="Calibri"/>
          <w:sz w:val="22"/>
          <w:szCs w:val="22"/>
          <w:lang w:val="en-US"/>
        </w:rPr>
        <w:t xml:space="preserve"> The committee notes that there is no centralized governance of welfare for the European poor, and care for </w:t>
      </w:r>
      <w:r w:rsidRPr="000B4CBD">
        <w:rPr>
          <w:rFonts w:cs="Calibri"/>
          <w:sz w:val="22"/>
          <w:szCs w:val="22"/>
          <w:lang w:val="en-US"/>
        </w:rPr>
        <w:t xml:space="preserve">the </w:t>
      </w:r>
      <w:r>
        <w:rPr>
          <w:rFonts w:cs="Calibri"/>
          <w:sz w:val="22"/>
          <w:szCs w:val="22"/>
          <w:lang w:val="en-US"/>
        </w:rPr>
        <w:t>‘</w:t>
      </w:r>
      <w:r w:rsidRPr="000B4CBD">
        <w:rPr>
          <w:rFonts w:cs="Calibri"/>
          <w:sz w:val="22"/>
          <w:szCs w:val="22"/>
          <w:lang w:val="en-US"/>
        </w:rPr>
        <w:t>needy and orphans in the broadest sense</w:t>
      </w:r>
      <w:r>
        <w:rPr>
          <w:rFonts w:cs="Calibri"/>
          <w:sz w:val="22"/>
          <w:szCs w:val="22"/>
          <w:lang w:val="en-US"/>
        </w:rPr>
        <w:t>’ are mainly founded through private philanthropy or charity.</w:t>
      </w:r>
      <w:r>
        <w:rPr>
          <w:rStyle w:val="FootnoteReference"/>
          <w:rFonts w:cs="Calibri"/>
          <w:sz w:val="22"/>
          <w:szCs w:val="22"/>
          <w:lang w:val="en-US"/>
        </w:rPr>
        <w:footnoteReference w:id="216"/>
      </w:r>
      <w:r>
        <w:rPr>
          <w:rFonts w:cs="Calibri"/>
          <w:sz w:val="22"/>
          <w:szCs w:val="22"/>
          <w:lang w:val="en-US"/>
        </w:rPr>
        <w:t xml:space="preserve"> Nonetheless, the Dutch colonial government clearly did not abstain from providing orphan care </w:t>
      </w:r>
      <w:r w:rsidRPr="001D6CB4">
        <w:rPr>
          <w:rFonts w:cs="Calibri"/>
          <w:lang w:val="en-US"/>
        </w:rPr>
        <w:t>–</w:t>
      </w:r>
      <w:r>
        <w:rPr>
          <w:rFonts w:cs="Calibri"/>
          <w:sz w:val="22"/>
          <w:szCs w:val="22"/>
          <w:lang w:val="en-US"/>
        </w:rPr>
        <w:t xml:space="preserve"> there is an abundance of evidence that shows how care for abandoned and neglected children is a subject of particular importance to the colonial government. </w:t>
      </w:r>
    </w:p>
    <w:p w14:paraId="64F2735A" w14:textId="77777777" w:rsidR="009847E8" w:rsidRDefault="009847E8" w:rsidP="009E1997">
      <w:pPr>
        <w:spacing w:before="240" w:after="240" w:line="276" w:lineRule="auto"/>
        <w:ind w:firstLine="284"/>
        <w:jc w:val="both"/>
        <w:rPr>
          <w:rFonts w:cs="Calibri"/>
          <w:sz w:val="22"/>
          <w:szCs w:val="22"/>
          <w:lang w:val="en-US"/>
        </w:rPr>
      </w:pPr>
      <w:r>
        <w:rPr>
          <w:rFonts w:cs="Calibri"/>
          <w:sz w:val="22"/>
          <w:szCs w:val="22"/>
          <w:lang w:val="en-US"/>
        </w:rPr>
        <w:t>According to the report on pauperism among Indo-Europeans, the issue developed under premodern VOC-rule.</w:t>
      </w:r>
      <w:r w:rsidRPr="00651E9C">
        <w:rPr>
          <w:rFonts w:cs="Calibri"/>
          <w:sz w:val="22"/>
          <w:szCs w:val="22"/>
          <w:lang w:val="en-US"/>
        </w:rPr>
        <w:t xml:space="preserve"> </w:t>
      </w:r>
      <w:r>
        <w:rPr>
          <w:rFonts w:cs="Calibri"/>
          <w:sz w:val="22"/>
          <w:szCs w:val="22"/>
          <w:lang w:val="en-US"/>
        </w:rPr>
        <w:t>The VOC-government saw the Indonesian population and interracialized children as unfit and unable to go through any mental or intellectual development.</w:t>
      </w:r>
      <w:r>
        <w:rPr>
          <w:rStyle w:val="FootnoteReference"/>
          <w:rFonts w:cs="Calibri"/>
          <w:sz w:val="22"/>
          <w:szCs w:val="22"/>
          <w:lang w:val="en-US"/>
        </w:rPr>
        <w:footnoteReference w:id="217"/>
      </w:r>
      <w:r>
        <w:rPr>
          <w:rFonts w:cs="Calibri"/>
          <w:sz w:val="22"/>
          <w:szCs w:val="22"/>
          <w:lang w:val="en-US"/>
        </w:rPr>
        <w:t xml:space="preserve"> Consequently, they remained in an impoverished state and unable to provide for themselves once grown into adults. Modern ideals of moral uplifting and education of ‘the native’, with the objective of establishing a moral and healthy colonial state were absent before the nineteenth century. It would not be until the return of Dutch rule in 1816, when new, liberal principles led the colonial government to believe in its duty to provide orphan care for Indo-European children. Yet simultaneously, this liberal regime caused an increase in European immigrants, causing them ‘to take the bread out of the Indo-European’s mouth’.</w:t>
      </w:r>
      <w:r>
        <w:rPr>
          <w:rStyle w:val="FootnoteReference"/>
          <w:rFonts w:cs="Calibri"/>
          <w:sz w:val="22"/>
          <w:szCs w:val="22"/>
          <w:lang w:val="en-US"/>
        </w:rPr>
        <w:footnoteReference w:id="218"/>
      </w:r>
      <w:r>
        <w:rPr>
          <w:rFonts w:cs="Calibri"/>
          <w:sz w:val="22"/>
          <w:szCs w:val="22"/>
          <w:lang w:val="en-US"/>
        </w:rPr>
        <w:t xml:space="preserve"> Therefore, the report argued, Indo-Europeans who were abandoned by their father and living in impoverished circumstances, had to be taken into orphanages, to be provided with a proper upbringing and to repair the damage done under pre-modern VOC-rule to their socio-economic state.</w:t>
      </w:r>
    </w:p>
    <w:p w14:paraId="44402374" w14:textId="77777777" w:rsidR="009847E8" w:rsidRDefault="009847E8" w:rsidP="009E1997">
      <w:pPr>
        <w:spacing w:before="240" w:after="240" w:line="276" w:lineRule="auto"/>
        <w:ind w:firstLine="284"/>
        <w:jc w:val="both"/>
        <w:rPr>
          <w:rFonts w:cs="Calibri"/>
          <w:sz w:val="22"/>
          <w:szCs w:val="22"/>
          <w:lang w:val="en-US"/>
        </w:rPr>
      </w:pPr>
      <w:r>
        <w:rPr>
          <w:rFonts w:cs="Calibri"/>
          <w:sz w:val="22"/>
          <w:szCs w:val="22"/>
          <w:lang w:val="en-US"/>
        </w:rPr>
        <w:lastRenderedPageBreak/>
        <w:t>The care for orphans, or children who were ‘helpless and abandoned’ was explicitly considered a duty of the colonial government; the government needed to make sure that each orphanage was subsidized to provide for every (Indo-)European child in need.</w:t>
      </w:r>
      <w:r>
        <w:rPr>
          <w:rStyle w:val="FootnoteReference"/>
          <w:rFonts w:cs="Calibri"/>
          <w:sz w:val="22"/>
          <w:szCs w:val="22"/>
          <w:lang w:val="en-US"/>
        </w:rPr>
        <w:footnoteReference w:id="219"/>
      </w:r>
      <w:r>
        <w:rPr>
          <w:rFonts w:cs="Calibri"/>
          <w:sz w:val="22"/>
          <w:szCs w:val="22"/>
          <w:lang w:val="en-US"/>
        </w:rPr>
        <w:t xml:space="preserve"> ‘Children in need’ was defined by a government regulation in 1845 as, </w:t>
      </w:r>
      <w:r w:rsidRPr="009D1B01">
        <w:rPr>
          <w:rFonts w:cs="Calibri"/>
          <w:i/>
          <w:iCs/>
          <w:sz w:val="22"/>
          <w:szCs w:val="22"/>
          <w:lang w:val="en-US"/>
        </w:rPr>
        <w:t>inter alia</w:t>
      </w:r>
      <w:r>
        <w:rPr>
          <w:rFonts w:cs="Calibri"/>
          <w:sz w:val="22"/>
          <w:szCs w:val="22"/>
          <w:lang w:val="en-US"/>
        </w:rPr>
        <w:t>, children whose European father acknowledged and then abandoned them and whose mother gave permission for them to be taken into an orphanage, and multiracialized children whose European fathers recognized them and wished that they be taken into an orphanage (no permission of the Indonesian mother necessary).</w:t>
      </w:r>
      <w:r>
        <w:rPr>
          <w:rStyle w:val="FootnoteReference"/>
          <w:rFonts w:cs="Calibri"/>
          <w:sz w:val="22"/>
          <w:szCs w:val="22"/>
          <w:lang w:val="en-US"/>
        </w:rPr>
        <w:footnoteReference w:id="220"/>
      </w:r>
      <w:r>
        <w:rPr>
          <w:rFonts w:cs="Calibri"/>
          <w:sz w:val="22"/>
          <w:szCs w:val="22"/>
          <w:lang w:val="en-US"/>
        </w:rPr>
        <w:t xml:space="preserve"> T</w:t>
      </w:r>
      <w:r w:rsidRPr="00425CB9">
        <w:rPr>
          <w:rFonts w:cs="Calibri"/>
          <w:sz w:val="22"/>
          <w:szCs w:val="22"/>
          <w:lang w:val="en-US"/>
        </w:rPr>
        <w:t>hose children who would not be recognized by their European fathers</w:t>
      </w:r>
      <w:r>
        <w:rPr>
          <w:rFonts w:cs="Calibri"/>
          <w:sz w:val="22"/>
          <w:szCs w:val="22"/>
          <w:lang w:val="en-US"/>
        </w:rPr>
        <w:t xml:space="preserve"> </w:t>
      </w:r>
      <w:r w:rsidRPr="00425CB9">
        <w:rPr>
          <w:rFonts w:cs="Calibri"/>
          <w:sz w:val="22"/>
          <w:szCs w:val="22"/>
          <w:lang w:val="en-US"/>
        </w:rPr>
        <w:t>‘</w:t>
      </w:r>
      <w:r>
        <w:rPr>
          <w:rFonts w:cs="Calibri"/>
          <w:sz w:val="22"/>
          <w:szCs w:val="22"/>
          <w:lang w:val="en-US"/>
        </w:rPr>
        <w:t>fe</w:t>
      </w:r>
      <w:r w:rsidRPr="00425CB9">
        <w:rPr>
          <w:rFonts w:cs="Calibri"/>
          <w:sz w:val="22"/>
          <w:szCs w:val="22"/>
          <w:lang w:val="en-US"/>
        </w:rPr>
        <w:t>ll through society’s cracks’.</w:t>
      </w:r>
      <w:r w:rsidRPr="00425CB9">
        <w:rPr>
          <w:rFonts w:cs="Calibri"/>
          <w:sz w:val="22"/>
          <w:szCs w:val="22"/>
          <w:vertAlign w:val="superscript"/>
          <w:lang w:val="en-US"/>
        </w:rPr>
        <w:footnoteReference w:id="221"/>
      </w:r>
      <w:r w:rsidRPr="00425CB9">
        <w:rPr>
          <w:rFonts w:cs="Calibri"/>
          <w:sz w:val="22"/>
          <w:szCs w:val="22"/>
          <w:lang w:val="en-US"/>
        </w:rPr>
        <w:t xml:space="preserve"> </w:t>
      </w:r>
      <w:r>
        <w:rPr>
          <w:rFonts w:cs="Calibri"/>
          <w:sz w:val="22"/>
          <w:szCs w:val="22"/>
          <w:lang w:val="en-US"/>
        </w:rPr>
        <w:t>If the Indo-European would intellectually and materially uplift himself, he could become ‘more and more western’, and no longer form a threat to the European societal order in the colony.</w:t>
      </w:r>
      <w:r>
        <w:rPr>
          <w:rStyle w:val="FootnoteReference"/>
          <w:rFonts w:cs="Calibri"/>
          <w:sz w:val="22"/>
          <w:szCs w:val="22"/>
          <w:lang w:val="en-US"/>
        </w:rPr>
        <w:footnoteReference w:id="222"/>
      </w:r>
    </w:p>
    <w:p w14:paraId="6B9CF839" w14:textId="77777777" w:rsidR="009847E8" w:rsidRDefault="009847E8" w:rsidP="00C3328E">
      <w:pPr>
        <w:spacing w:after="240" w:line="276" w:lineRule="auto"/>
        <w:ind w:firstLine="284"/>
        <w:jc w:val="both"/>
        <w:rPr>
          <w:rFonts w:cs="Calibri"/>
          <w:sz w:val="22"/>
          <w:szCs w:val="22"/>
          <w:lang w:val="en-US"/>
        </w:rPr>
      </w:pPr>
      <w:r>
        <w:rPr>
          <w:rFonts w:cs="Calibri"/>
          <w:sz w:val="22"/>
          <w:szCs w:val="22"/>
          <w:lang w:val="en-US"/>
        </w:rPr>
        <w:t>The care for ‘abandoned’ Indo-European children primarily happened in the nineteenth century through private institutions, such as church charities. Through strict management, monitoring, and administering, the morals of children living in church orphanages and boarding schools were disciplined and optimized. For instance, The Protestant Diaconate in the Dutch East Indies became subject to the government in 1819, as the State wanted to gain control over the church’s charity to orphans and the indigent.</w:t>
      </w:r>
      <w:r>
        <w:rPr>
          <w:rStyle w:val="FootnoteReference"/>
          <w:rFonts w:cs="Calibri"/>
          <w:sz w:val="22"/>
          <w:szCs w:val="22"/>
          <w:lang w:val="en-US"/>
        </w:rPr>
        <w:footnoteReference w:id="223"/>
      </w:r>
      <w:r>
        <w:rPr>
          <w:rFonts w:cs="Calibri"/>
          <w:sz w:val="22"/>
          <w:szCs w:val="22"/>
          <w:lang w:val="en-US"/>
        </w:rPr>
        <w:t xml:space="preserve"> Church wardens were required to submit reports on their charity and their funds. They were limited from any expenses without special approval from the government’s audit office. Moreover, the governmental control extended beyond financial matters: in 1819, the government adopted a ‘governance principle’ to monitor each orphanage in the Indies, on its methods and ‘management approaches’.</w:t>
      </w:r>
      <w:r>
        <w:rPr>
          <w:rStyle w:val="FootnoteReference"/>
          <w:rFonts w:cs="Calibri"/>
          <w:sz w:val="22"/>
          <w:szCs w:val="22"/>
          <w:lang w:val="en-US"/>
        </w:rPr>
        <w:footnoteReference w:id="224"/>
      </w:r>
      <w:r>
        <w:rPr>
          <w:rFonts w:cs="Calibri"/>
          <w:sz w:val="22"/>
          <w:szCs w:val="22"/>
          <w:lang w:val="en-US"/>
        </w:rPr>
        <w:t xml:space="preserve"> Aside from church orphanages, the colonial government established youth corps, such as the one in Gombong, established in 1848 and aimed at taking care of Indo-European boys under the tutelage of the KNIL-army. The corps was meant to produce ‘productive members of society’ through military education,</w:t>
      </w:r>
      <w:r>
        <w:rPr>
          <w:rStyle w:val="FootnoteReference"/>
          <w:rFonts w:cs="Calibri"/>
          <w:sz w:val="22"/>
          <w:szCs w:val="22"/>
          <w:lang w:val="en-US"/>
        </w:rPr>
        <w:footnoteReference w:id="225"/>
      </w:r>
      <w:r>
        <w:rPr>
          <w:rFonts w:cs="Calibri"/>
          <w:sz w:val="22"/>
          <w:szCs w:val="22"/>
          <w:lang w:val="en-US"/>
        </w:rPr>
        <w:t xml:space="preserve"> and was part of the broader objective of ‘exterminating pauperism in the Indies society among Indo-Europeans’.</w:t>
      </w:r>
      <w:r>
        <w:rPr>
          <w:rStyle w:val="FootnoteReference"/>
          <w:rFonts w:cs="Calibri"/>
          <w:sz w:val="22"/>
          <w:szCs w:val="22"/>
          <w:lang w:val="en-US"/>
        </w:rPr>
        <w:footnoteReference w:id="226"/>
      </w:r>
      <w:r>
        <w:rPr>
          <w:rFonts w:cs="Calibri"/>
          <w:sz w:val="22"/>
          <w:szCs w:val="22"/>
          <w:lang w:val="en-US"/>
        </w:rPr>
        <w:t xml:space="preserve"> </w:t>
      </w:r>
    </w:p>
    <w:p w14:paraId="7FEB8FCD" w14:textId="77777777" w:rsidR="009847E8" w:rsidRDefault="009847E8" w:rsidP="000D6B84">
      <w:pPr>
        <w:spacing w:before="240" w:after="240" w:line="276" w:lineRule="auto"/>
        <w:ind w:firstLine="284"/>
        <w:jc w:val="both"/>
        <w:rPr>
          <w:rFonts w:cs="Calibri"/>
          <w:sz w:val="22"/>
          <w:szCs w:val="22"/>
          <w:lang w:val="en-US"/>
        </w:rPr>
      </w:pPr>
      <w:r>
        <w:rPr>
          <w:rFonts w:cs="Calibri"/>
          <w:sz w:val="22"/>
          <w:szCs w:val="22"/>
          <w:lang w:val="en-US"/>
        </w:rPr>
        <w:t>The government-subsidization of orphanages was especially considered necessary as practices of barrack-concubinage increased from the 1830s, as a consequence of which ‘many children, born of European soldiers and local women, were wandering about in the kampongs’.</w:t>
      </w:r>
      <w:r>
        <w:rPr>
          <w:rStyle w:val="FootnoteReference"/>
          <w:rFonts w:cs="Calibri"/>
          <w:sz w:val="22"/>
          <w:szCs w:val="22"/>
          <w:lang w:val="en-US"/>
        </w:rPr>
        <w:footnoteReference w:id="227"/>
      </w:r>
      <w:r>
        <w:rPr>
          <w:rFonts w:cs="Calibri"/>
          <w:sz w:val="22"/>
          <w:szCs w:val="22"/>
          <w:lang w:val="en-US"/>
        </w:rPr>
        <w:t xml:space="preserve"> These children </w:t>
      </w:r>
      <w:r w:rsidRPr="009D1B01">
        <w:rPr>
          <w:rFonts w:cs="Calibri"/>
          <w:sz w:val="22"/>
          <w:szCs w:val="22"/>
          <w:lang w:val="en-US"/>
        </w:rPr>
        <w:t>were left without any means of support upon their father's death</w:t>
      </w:r>
      <w:r>
        <w:rPr>
          <w:rFonts w:cs="Calibri"/>
          <w:sz w:val="22"/>
          <w:szCs w:val="22"/>
          <w:lang w:val="en-US"/>
        </w:rPr>
        <w:t xml:space="preserve">, which required </w:t>
      </w:r>
      <w:r>
        <w:rPr>
          <w:rFonts w:cs="Calibri"/>
          <w:sz w:val="22"/>
          <w:szCs w:val="22"/>
          <w:lang w:val="en-US"/>
        </w:rPr>
        <w:lastRenderedPageBreak/>
        <w:t>the government to come into play and take care of them.</w:t>
      </w:r>
      <w:r>
        <w:rPr>
          <w:rStyle w:val="FootnoteReference"/>
          <w:rFonts w:cs="Calibri"/>
          <w:sz w:val="22"/>
          <w:szCs w:val="22"/>
          <w:lang w:val="en-US"/>
        </w:rPr>
        <w:footnoteReference w:id="228"/>
      </w:r>
      <w:r>
        <w:rPr>
          <w:rFonts w:cs="Calibri"/>
          <w:sz w:val="22"/>
          <w:szCs w:val="22"/>
          <w:lang w:val="en-US"/>
        </w:rPr>
        <w:t xml:space="preserve"> The then-governor-general van den Bosch deemed it necessary to send the ‘wandering children’ to the Protestant orphanage in Semarang, where they would be taken care of by the State. The resolution of 1831 stated: </w:t>
      </w:r>
    </w:p>
    <w:p w14:paraId="0AF8974C" w14:textId="77777777" w:rsidR="009847E8" w:rsidRDefault="009847E8" w:rsidP="000D6B84">
      <w:pPr>
        <w:spacing w:before="240" w:after="240" w:line="276" w:lineRule="auto"/>
        <w:ind w:left="708"/>
        <w:jc w:val="both"/>
        <w:rPr>
          <w:rFonts w:cs="Calibri"/>
          <w:sz w:val="22"/>
          <w:szCs w:val="22"/>
          <w:lang w:val="en-US"/>
        </w:rPr>
      </w:pPr>
      <w:r>
        <w:rPr>
          <w:rFonts w:cs="Calibri"/>
          <w:sz w:val="22"/>
          <w:szCs w:val="22"/>
          <w:lang w:val="en-US"/>
        </w:rPr>
        <w:t>‘</w:t>
      </w:r>
      <w:r w:rsidRPr="000B4CBD">
        <w:rPr>
          <w:rFonts w:cs="Calibri"/>
          <w:sz w:val="22"/>
          <w:szCs w:val="22"/>
          <w:lang w:val="en-US"/>
        </w:rPr>
        <w:t xml:space="preserve">The decision is upheld on the grounds that the government has a </w:t>
      </w:r>
      <w:r w:rsidRPr="00171F94">
        <w:rPr>
          <w:rFonts w:cs="Calibri"/>
          <w:i/>
          <w:iCs/>
          <w:sz w:val="22"/>
          <w:szCs w:val="22"/>
          <w:lang w:val="en-US"/>
        </w:rPr>
        <w:t>moral obligation</w:t>
      </w:r>
      <w:r w:rsidRPr="000B4CBD">
        <w:rPr>
          <w:rFonts w:cs="Calibri"/>
          <w:sz w:val="22"/>
          <w:szCs w:val="22"/>
          <w:lang w:val="en-US"/>
        </w:rPr>
        <w:t xml:space="preserve"> to provide, in general, for the welfare of such children who were fathered by Europeans and native women and who, due to the death of their fathers and sometimes their mothers as well, or having been </w:t>
      </w:r>
      <w:r w:rsidRPr="00171F94">
        <w:rPr>
          <w:rFonts w:cs="Calibri"/>
          <w:i/>
          <w:iCs/>
          <w:sz w:val="22"/>
          <w:szCs w:val="22"/>
          <w:lang w:val="en-US"/>
        </w:rPr>
        <w:t>completely abandoned by their parents</w:t>
      </w:r>
      <w:r w:rsidRPr="000B4CBD">
        <w:rPr>
          <w:rFonts w:cs="Calibri"/>
          <w:sz w:val="22"/>
          <w:szCs w:val="22"/>
          <w:lang w:val="en-US"/>
        </w:rPr>
        <w:t xml:space="preserve">, </w:t>
      </w:r>
      <w:r w:rsidRPr="00171F94">
        <w:rPr>
          <w:rFonts w:cs="Calibri"/>
          <w:i/>
          <w:iCs/>
          <w:sz w:val="22"/>
          <w:szCs w:val="22"/>
          <w:lang w:val="en-US"/>
        </w:rPr>
        <w:t>roam the kampongs</w:t>
      </w:r>
      <w:r w:rsidRPr="000B4CBD">
        <w:rPr>
          <w:rFonts w:cs="Calibri"/>
          <w:sz w:val="22"/>
          <w:szCs w:val="22"/>
          <w:lang w:val="en-US"/>
        </w:rPr>
        <w:t xml:space="preserve"> or elsewhere at the expense of the native population.</w:t>
      </w:r>
      <w:r>
        <w:rPr>
          <w:rFonts w:cs="Calibri"/>
          <w:sz w:val="22"/>
          <w:szCs w:val="22"/>
          <w:lang w:val="en-US"/>
        </w:rPr>
        <w:t>’</w:t>
      </w:r>
      <w:r>
        <w:rPr>
          <w:rStyle w:val="FootnoteReference"/>
          <w:rFonts w:cs="Calibri"/>
          <w:sz w:val="22"/>
          <w:szCs w:val="22"/>
          <w:lang w:val="en-US"/>
        </w:rPr>
        <w:footnoteReference w:id="229"/>
      </w:r>
    </w:p>
    <w:p w14:paraId="7DD100C5" w14:textId="77777777" w:rsidR="009847E8" w:rsidRDefault="009847E8" w:rsidP="000D6B84">
      <w:pPr>
        <w:spacing w:before="240" w:after="240" w:line="276" w:lineRule="auto"/>
        <w:ind w:firstLine="284"/>
        <w:jc w:val="both"/>
        <w:rPr>
          <w:rFonts w:cs="Calibri"/>
          <w:sz w:val="22"/>
          <w:szCs w:val="22"/>
          <w:lang w:val="en-US"/>
        </w:rPr>
      </w:pPr>
      <w:r>
        <w:rPr>
          <w:rFonts w:cs="Calibri"/>
          <w:sz w:val="22"/>
          <w:szCs w:val="22"/>
          <w:lang w:val="en-US"/>
        </w:rPr>
        <w:t>The resolution was later complemented with the consideration that the aim of orphan care was also to create productive members of society who were able to take care of themselves.</w:t>
      </w:r>
      <w:r>
        <w:rPr>
          <w:rStyle w:val="FootnoteReference"/>
          <w:rFonts w:cs="Calibri"/>
          <w:sz w:val="22"/>
          <w:szCs w:val="22"/>
          <w:lang w:val="en-US"/>
        </w:rPr>
        <w:footnoteReference w:id="230"/>
      </w:r>
      <w:r>
        <w:rPr>
          <w:rFonts w:cs="Calibri"/>
          <w:sz w:val="22"/>
          <w:szCs w:val="22"/>
          <w:lang w:val="en-US"/>
        </w:rPr>
        <w:t xml:space="preserve"> Therefore, the Javanese orphanages from origin church-affiliated organizations had a governmental character and ‘</w:t>
      </w:r>
      <w:r w:rsidRPr="000B4CBD">
        <w:rPr>
          <w:rFonts w:cs="Calibri"/>
          <w:sz w:val="22"/>
          <w:szCs w:val="22"/>
          <w:lang w:val="en-US"/>
        </w:rPr>
        <w:t xml:space="preserve">were borne almost entirely by the state, and, if not exclusively, then at least primarily intended for the care and education of </w:t>
      </w:r>
      <w:r w:rsidRPr="000B4CBD">
        <w:rPr>
          <w:rFonts w:cs="Calibri"/>
          <w:i/>
          <w:iCs/>
          <w:sz w:val="22"/>
          <w:szCs w:val="22"/>
          <w:lang w:val="en-US"/>
        </w:rPr>
        <w:t>Gouvernements-pupillen</w:t>
      </w:r>
      <w:r>
        <w:rPr>
          <w:rFonts w:cs="Calibri"/>
          <w:i/>
          <w:iCs/>
          <w:sz w:val="22"/>
          <w:szCs w:val="22"/>
          <w:lang w:val="en-US"/>
        </w:rPr>
        <w:t>’</w:t>
      </w:r>
      <w:r>
        <w:rPr>
          <w:rFonts w:cs="Calibri"/>
          <w:sz w:val="22"/>
          <w:szCs w:val="22"/>
          <w:lang w:val="en-US"/>
        </w:rPr>
        <w:t xml:space="preserve"> (</w:t>
      </w:r>
      <w:r w:rsidRPr="000B4CBD">
        <w:rPr>
          <w:rFonts w:cs="Calibri"/>
          <w:sz w:val="22"/>
          <w:szCs w:val="22"/>
          <w:lang w:val="en-US"/>
        </w:rPr>
        <w:t>state wards</w:t>
      </w:r>
      <w:r>
        <w:rPr>
          <w:rFonts w:cs="Calibri"/>
          <w:sz w:val="22"/>
          <w:szCs w:val="22"/>
          <w:lang w:val="en-US"/>
        </w:rPr>
        <w:t>).</w:t>
      </w:r>
      <w:r>
        <w:rPr>
          <w:rStyle w:val="FootnoteReference"/>
          <w:rFonts w:cs="Calibri"/>
          <w:sz w:val="22"/>
          <w:szCs w:val="22"/>
          <w:lang w:val="en-US"/>
        </w:rPr>
        <w:footnoteReference w:id="231"/>
      </w:r>
    </w:p>
    <w:p w14:paraId="56176E51" w14:textId="77777777" w:rsidR="009847E8" w:rsidRDefault="009847E8" w:rsidP="000D6B84">
      <w:pPr>
        <w:spacing w:before="240" w:after="240" w:line="276" w:lineRule="auto"/>
        <w:ind w:firstLine="284"/>
        <w:jc w:val="both"/>
        <w:rPr>
          <w:rFonts w:cs="Calibri"/>
          <w:sz w:val="22"/>
          <w:szCs w:val="22"/>
          <w:lang w:val="en-US"/>
        </w:rPr>
      </w:pPr>
      <w:r>
        <w:rPr>
          <w:rFonts w:cs="Calibri"/>
          <w:sz w:val="22"/>
          <w:szCs w:val="22"/>
          <w:lang w:val="en-US"/>
        </w:rPr>
        <w:t>Aside from producing moral and productive bourgeois members of Indies society, the care for Indo-European children in church and state institutions was also deemed necessary to prevent the isolation from Indo-Europeans from the Europeans in the colony. In 1854, the Council of the Dutch East Indies urged the necessity of taking care of children born out of concubinage</w:t>
      </w:r>
      <w:r>
        <w:rPr>
          <w:rStyle w:val="FootnoteReference"/>
          <w:rFonts w:cs="Calibri"/>
          <w:sz w:val="22"/>
          <w:szCs w:val="22"/>
          <w:lang w:val="en-US"/>
        </w:rPr>
        <w:footnoteReference w:id="232"/>
      </w:r>
      <w:r>
        <w:rPr>
          <w:rFonts w:cs="Calibri"/>
          <w:sz w:val="22"/>
          <w:szCs w:val="22"/>
          <w:lang w:val="en-US"/>
        </w:rPr>
        <w:t xml:space="preserve">: </w:t>
      </w:r>
    </w:p>
    <w:p w14:paraId="5BEFF0DE" w14:textId="77777777" w:rsidR="009847E8" w:rsidRDefault="009847E8" w:rsidP="000D6B84">
      <w:pPr>
        <w:spacing w:before="240" w:after="240" w:line="276" w:lineRule="auto"/>
        <w:ind w:left="708"/>
        <w:jc w:val="both"/>
        <w:rPr>
          <w:rFonts w:cs="Calibri"/>
          <w:sz w:val="22"/>
          <w:szCs w:val="22"/>
          <w:lang w:val="en-US"/>
        </w:rPr>
      </w:pPr>
      <w:r>
        <w:rPr>
          <w:rFonts w:cs="Calibri"/>
          <w:sz w:val="22"/>
          <w:szCs w:val="22"/>
          <w:lang w:val="en-US"/>
        </w:rPr>
        <w:t>‘</w:t>
      </w:r>
      <w:r w:rsidRPr="000B4CBD">
        <w:rPr>
          <w:rFonts w:cs="Calibri"/>
          <w:sz w:val="22"/>
          <w:szCs w:val="22"/>
          <w:lang w:val="en-US"/>
        </w:rPr>
        <w:t>Given the daily increase in the number of abandoned children</w:t>
      </w:r>
      <w:r>
        <w:rPr>
          <w:rFonts w:cs="Calibri"/>
          <w:sz w:val="22"/>
          <w:szCs w:val="22"/>
          <w:lang w:val="en-US"/>
        </w:rPr>
        <w:t xml:space="preserve"> </w:t>
      </w:r>
      <w:r w:rsidRPr="001D6CB4">
        <w:rPr>
          <w:rFonts w:cs="Calibri"/>
          <w:lang w:val="en-US"/>
        </w:rPr>
        <w:t>–</w:t>
      </w:r>
      <w:r>
        <w:rPr>
          <w:rFonts w:cs="Calibri"/>
          <w:sz w:val="22"/>
          <w:szCs w:val="22"/>
          <w:lang w:val="en-US"/>
        </w:rPr>
        <w:t xml:space="preserve"> </w:t>
      </w:r>
      <w:r w:rsidRPr="000B4CBD">
        <w:rPr>
          <w:rFonts w:cs="Calibri"/>
          <w:sz w:val="22"/>
          <w:szCs w:val="22"/>
          <w:lang w:val="en-US"/>
        </w:rPr>
        <w:t>conceived by Europeans through illicit relations with native wome</w:t>
      </w:r>
      <w:r>
        <w:rPr>
          <w:rFonts w:cs="Calibri"/>
          <w:sz w:val="22"/>
          <w:szCs w:val="22"/>
          <w:lang w:val="en-US"/>
        </w:rPr>
        <w:t xml:space="preserve">n </w:t>
      </w:r>
      <w:r w:rsidRPr="001D6CB4">
        <w:rPr>
          <w:rFonts w:cs="Calibri"/>
          <w:lang w:val="en-US"/>
        </w:rPr>
        <w:t>–</w:t>
      </w:r>
      <w:r>
        <w:rPr>
          <w:rFonts w:cs="Calibri"/>
          <w:sz w:val="22"/>
          <w:szCs w:val="22"/>
          <w:lang w:val="en-US"/>
        </w:rPr>
        <w:t xml:space="preserve"> </w:t>
      </w:r>
      <w:r w:rsidRPr="000B4CBD">
        <w:rPr>
          <w:rFonts w:cs="Calibri"/>
          <w:sz w:val="22"/>
          <w:szCs w:val="22"/>
          <w:lang w:val="en-US"/>
        </w:rPr>
        <w:t xml:space="preserve">it is in the state’s interest to settle their fate at an early stage in a manner most desirable for society and for the children themselves, so as to prevent them, having been rejected by their fathers’ compatriots and despised or shunned by the native population, roam about to the shame of the Europeans and to the detriment of the native population, </w:t>
      </w:r>
      <w:r w:rsidRPr="000B4CBD">
        <w:rPr>
          <w:rFonts w:cs="Calibri"/>
          <w:i/>
          <w:iCs/>
          <w:sz w:val="22"/>
          <w:szCs w:val="22"/>
          <w:lang w:val="en-US"/>
        </w:rPr>
        <w:t>not to mention the danger to the ruling power posed by the existence of an isolated class of people</w:t>
      </w:r>
      <w:r w:rsidRPr="000B4CBD">
        <w:rPr>
          <w:rFonts w:cs="Calibri"/>
          <w:sz w:val="22"/>
          <w:szCs w:val="22"/>
          <w:lang w:val="en-US"/>
        </w:rPr>
        <w:t>, unconnected to the other classes of society by any social or domestic ties or relationships, and indifferent both to the general welfare and to their own particular condition.</w:t>
      </w:r>
      <w:r>
        <w:rPr>
          <w:rFonts w:cs="Calibri"/>
          <w:sz w:val="22"/>
          <w:szCs w:val="22"/>
          <w:lang w:val="en-US"/>
        </w:rPr>
        <w:t>’</w:t>
      </w:r>
      <w:r>
        <w:rPr>
          <w:rStyle w:val="FootnoteReference"/>
          <w:rFonts w:cs="Calibri"/>
          <w:sz w:val="22"/>
          <w:szCs w:val="22"/>
          <w:lang w:val="en-US"/>
        </w:rPr>
        <w:footnoteReference w:id="233"/>
      </w:r>
    </w:p>
    <w:p w14:paraId="1EF84D84" w14:textId="77777777" w:rsidR="009847E8" w:rsidRDefault="009847E8" w:rsidP="00DA61CC">
      <w:pPr>
        <w:spacing w:before="240" w:after="240" w:line="276" w:lineRule="auto"/>
        <w:ind w:firstLine="284"/>
        <w:jc w:val="both"/>
        <w:rPr>
          <w:rFonts w:cs="Calibri"/>
          <w:sz w:val="22"/>
          <w:szCs w:val="22"/>
          <w:lang w:val="en-US"/>
        </w:rPr>
      </w:pPr>
      <w:r>
        <w:rPr>
          <w:rFonts w:cs="Calibri"/>
          <w:sz w:val="22"/>
          <w:szCs w:val="22"/>
          <w:lang w:val="en-US"/>
        </w:rPr>
        <w:t xml:space="preserve">The isolation of this class of citizens would lead to the danger of ‘the ruling power’: it was not only about morally uplifting people who were partially Europeans, but also about preserving </w:t>
      </w:r>
      <w:r>
        <w:rPr>
          <w:rFonts w:cs="Calibri"/>
          <w:sz w:val="22"/>
          <w:szCs w:val="22"/>
          <w:lang w:val="en-US"/>
        </w:rPr>
        <w:lastRenderedPageBreak/>
        <w:t>colonial authority and the prevention of creating a class of citizens that are likely to become spiteful towards the colonial state. Indeed, the racial hate of Indo-Europeans toward Europeans was considered the consequence of the intersection of economic status, cultural degeneracy and ‘racial issues’.</w:t>
      </w:r>
      <w:r>
        <w:rPr>
          <w:rStyle w:val="FootnoteReference"/>
          <w:rFonts w:cs="Calibri"/>
          <w:sz w:val="22"/>
          <w:szCs w:val="22"/>
          <w:lang w:val="en-US"/>
        </w:rPr>
        <w:footnoteReference w:id="234"/>
      </w:r>
      <w:r>
        <w:rPr>
          <w:rFonts w:cs="Calibri"/>
          <w:sz w:val="22"/>
          <w:szCs w:val="22"/>
          <w:lang w:val="en-US"/>
        </w:rPr>
        <w:t xml:space="preserve"> </w:t>
      </w:r>
    </w:p>
    <w:p w14:paraId="36C284C4" w14:textId="77777777" w:rsidR="009847E8" w:rsidRDefault="009847E8" w:rsidP="00C3328E">
      <w:pPr>
        <w:spacing w:before="240" w:line="276" w:lineRule="auto"/>
        <w:ind w:firstLine="284"/>
        <w:jc w:val="both"/>
        <w:rPr>
          <w:rFonts w:cs="Calibri"/>
          <w:sz w:val="22"/>
          <w:szCs w:val="22"/>
          <w:lang w:val="en-US"/>
        </w:rPr>
      </w:pPr>
      <w:r>
        <w:rPr>
          <w:rFonts w:cs="Calibri"/>
          <w:sz w:val="22"/>
          <w:szCs w:val="22"/>
          <w:lang w:val="en-US"/>
        </w:rPr>
        <w:t>Although there was an abundance of institutions that took Indo-European boys and girls from their parents, and provided them with a ‘Christian, enlightened’ upbringing, the report on pauperism nonetheless concluded that all of these measures failed to fulfil their aims of ridding Indies society of their ‘pauperism’, mainly because the interracialized children failed to gain access to governmental positions.</w:t>
      </w:r>
      <w:r>
        <w:rPr>
          <w:rStyle w:val="FootnoteReference"/>
          <w:rFonts w:cs="Calibri"/>
          <w:sz w:val="22"/>
          <w:szCs w:val="22"/>
          <w:lang w:val="en-US"/>
        </w:rPr>
        <w:footnoteReference w:id="235"/>
      </w:r>
    </w:p>
    <w:p w14:paraId="5F6C1570" w14:textId="77777777" w:rsidR="009847E8" w:rsidRPr="001D6CB4" w:rsidRDefault="009847E8">
      <w:pPr>
        <w:pStyle w:val="Maxhoofdtekst"/>
        <w:numPr>
          <w:ilvl w:val="2"/>
          <w:numId w:val="4"/>
        </w:numPr>
        <w:spacing w:line="276" w:lineRule="auto"/>
        <w:outlineLvl w:val="2"/>
        <w:rPr>
          <w:rFonts w:cs="Calibri"/>
          <w:lang w:val="en-US"/>
        </w:rPr>
      </w:pPr>
      <w:bookmarkStart w:id="35" w:name="_Toc234183624"/>
      <w:r w:rsidRPr="001D6CB4">
        <w:rPr>
          <w:rFonts w:cs="Calibri"/>
          <w:lang w:val="en-US"/>
        </w:rPr>
        <w:t>The njai as a ‘bad’ mother</w:t>
      </w:r>
      <w:bookmarkEnd w:id="35"/>
    </w:p>
    <w:p w14:paraId="507F5968" w14:textId="77777777" w:rsidR="009847E8" w:rsidRPr="001D6CB4" w:rsidRDefault="009847E8" w:rsidP="00C3328E">
      <w:pPr>
        <w:pStyle w:val="Maxhoofdtekst"/>
        <w:spacing w:line="276" w:lineRule="auto"/>
        <w:ind w:firstLine="284"/>
        <w:rPr>
          <w:rFonts w:cs="Calibri"/>
          <w:lang w:val="en-US"/>
        </w:rPr>
      </w:pPr>
      <w:r w:rsidRPr="001D6CB4">
        <w:rPr>
          <w:rFonts w:cs="Calibri"/>
          <w:lang w:val="en-US"/>
        </w:rPr>
        <w:t>The njai was both servant and mother, and in both roles, she was deemed incapable of providing children with a morally sound upbringing, based on cultural and racial fears.</w:t>
      </w:r>
      <w:r w:rsidRPr="001D6CB4">
        <w:rPr>
          <w:rStyle w:val="FootnoteReference"/>
          <w:rFonts w:cs="Calibri"/>
          <w:lang w:val="en-US"/>
        </w:rPr>
        <w:footnoteReference w:id="236"/>
      </w:r>
      <w:r w:rsidRPr="001D6CB4">
        <w:rPr>
          <w:rFonts w:cs="Calibri"/>
          <w:lang w:val="en-US"/>
        </w:rPr>
        <w:t xml:space="preserve"> </w:t>
      </w:r>
      <w:r>
        <w:rPr>
          <w:rFonts w:cs="Calibri"/>
          <w:lang w:val="en-US"/>
        </w:rPr>
        <w:t>Indonesian</w:t>
      </w:r>
      <w:r w:rsidRPr="001D6CB4">
        <w:rPr>
          <w:rFonts w:cs="Calibri"/>
          <w:lang w:val="en-US"/>
        </w:rPr>
        <w:t xml:space="preserve"> women were ‘the source of sexual arousal, moral deviance, misguided reason and objects of control’.</w:t>
      </w:r>
      <w:r w:rsidRPr="001D6CB4">
        <w:rPr>
          <w:rStyle w:val="FootnoteReference"/>
          <w:rFonts w:cs="Calibri"/>
          <w:lang w:val="en-US"/>
        </w:rPr>
        <w:footnoteReference w:id="237"/>
      </w:r>
      <w:r w:rsidRPr="001D6CB4">
        <w:rPr>
          <w:rFonts w:cs="Calibri"/>
          <w:lang w:val="en-US"/>
        </w:rPr>
        <w:t xml:space="preserve"> Indeed, it was not purely an issue of sex, but also of cultural interference. </w:t>
      </w:r>
      <w:r>
        <w:rPr>
          <w:rFonts w:cs="Calibri"/>
          <w:lang w:val="en-US"/>
        </w:rPr>
        <w:t>For instance, the previously discussed physician J.A. Wilkens emphasizes the ‘evil’ example which concubinage between European fathers and Indonesian mothers sets in the miserable upbringing of Indo-European children: ‘</w:t>
      </w:r>
      <w:r w:rsidRPr="00DF6FA8">
        <w:rPr>
          <w:rFonts w:cs="Calibri"/>
          <w:lang w:val="en-US"/>
        </w:rPr>
        <w:t xml:space="preserve">The true home education, in which the father and mother regularly engage with their children to shape their young hearts and minds, does not exist </w:t>
      </w:r>
      <w:r>
        <w:rPr>
          <w:rFonts w:cs="Calibri"/>
          <w:lang w:val="en-US"/>
        </w:rPr>
        <w:t>in the Indies’.</w:t>
      </w:r>
      <w:r>
        <w:rPr>
          <w:rStyle w:val="FootnoteReference"/>
          <w:rFonts w:cs="Calibri"/>
          <w:lang w:val="en-US"/>
        </w:rPr>
        <w:footnoteReference w:id="238"/>
      </w:r>
      <w:r w:rsidRPr="001D6CB4">
        <w:rPr>
          <w:rFonts w:cs="Calibri"/>
          <w:lang w:val="en-US"/>
        </w:rPr>
        <w:t xml:space="preserve"> </w:t>
      </w:r>
      <w:r>
        <w:rPr>
          <w:rFonts w:cs="Calibri"/>
          <w:lang w:val="en-US"/>
        </w:rPr>
        <w:t>L</w:t>
      </w:r>
      <w:r w:rsidRPr="001D6CB4">
        <w:rPr>
          <w:rFonts w:cs="Calibri"/>
          <w:lang w:val="en-US"/>
        </w:rPr>
        <w:t>aziness, sexual promiscuity, haughtiness, mistreatment of servants, and contempt for labor were considered strong indicators of character flaws and a neglected upbringing among Indo youth, the primary causes of poverty and political discontent among them.</w:t>
      </w:r>
      <w:r w:rsidRPr="001D6CB4">
        <w:rPr>
          <w:rStyle w:val="FootnoteReference"/>
          <w:rFonts w:cs="Calibri"/>
          <w:lang w:val="en-US"/>
        </w:rPr>
        <w:footnoteReference w:id="239"/>
      </w:r>
      <w:r>
        <w:rPr>
          <w:rFonts w:cs="Calibri"/>
          <w:lang w:val="en-US"/>
        </w:rPr>
        <w:t xml:space="preserve"> It would therefore be better if children were taken away from their mother; indeed it would be a blessing, as argued in a Dutch Indies educational book in 1908: ‘would not such a nursery school be a blessing for children of the Indische popular class that frequently vegetate in a village house in the midst of chickens and dogs, tended – not raised – by a mother who does not know what rearing is?’</w:t>
      </w:r>
      <w:r>
        <w:rPr>
          <w:rStyle w:val="FootnoteReference"/>
          <w:rFonts w:cs="Calibri"/>
          <w:lang w:val="en-US"/>
        </w:rPr>
        <w:footnoteReference w:id="240"/>
      </w:r>
      <w:r>
        <w:rPr>
          <w:rFonts w:cs="Calibri"/>
          <w:lang w:val="en-US"/>
        </w:rPr>
        <w:t xml:space="preserve"> Clearly, Indonesian women were considered poor mothers, accused of lacking the moral character for providing a proper upbringing.</w:t>
      </w:r>
    </w:p>
    <w:p w14:paraId="4095BDF4" w14:textId="77777777" w:rsidR="009847E8" w:rsidRDefault="009847E8" w:rsidP="00DF6FA8">
      <w:pPr>
        <w:pStyle w:val="Maxhoofdtekst"/>
        <w:spacing w:line="276" w:lineRule="auto"/>
        <w:ind w:firstLine="284"/>
        <w:rPr>
          <w:rFonts w:cs="Calibri"/>
          <w:lang w:val="en-US"/>
        </w:rPr>
      </w:pPr>
      <w:r w:rsidRPr="001D6CB4">
        <w:rPr>
          <w:rFonts w:cs="Calibri"/>
          <w:lang w:val="en-US"/>
        </w:rPr>
        <w:t xml:space="preserve">These same </w:t>
      </w:r>
      <w:r w:rsidRPr="00DF6FA8">
        <w:rPr>
          <w:rFonts w:cs="Calibri"/>
          <w:lang w:val="en-US"/>
        </w:rPr>
        <w:t xml:space="preserve">discourses appear around the </w:t>
      </w:r>
      <w:r w:rsidRPr="00DF6FA8">
        <w:rPr>
          <w:rFonts w:cs="Calibri"/>
          <w:i/>
          <w:iCs/>
          <w:lang w:val="en-US"/>
        </w:rPr>
        <w:t xml:space="preserve">babu, </w:t>
      </w:r>
      <w:r w:rsidRPr="00DF6FA8">
        <w:rPr>
          <w:rFonts w:cs="Calibri"/>
          <w:lang w:val="en-US"/>
        </w:rPr>
        <w:t>as Stoler and others have noted</w:t>
      </w:r>
      <w:r>
        <w:rPr>
          <w:rFonts w:cs="Calibri"/>
          <w:lang w:val="en-US"/>
        </w:rPr>
        <w:t>:</w:t>
      </w:r>
      <w:r w:rsidRPr="001D6CB4">
        <w:rPr>
          <w:rFonts w:cs="Calibri"/>
          <w:lang w:val="en-US"/>
        </w:rPr>
        <w:t xml:space="preserve"> Indonesian women who worked as maids and nannies for European families in the Dutch East Indies</w:t>
      </w:r>
      <w:r>
        <w:rPr>
          <w:rFonts w:cs="Calibri"/>
          <w:lang w:val="en-US"/>
        </w:rPr>
        <w:t xml:space="preserve"> were seen as dangers to the morality of (Indo-)European children</w:t>
      </w:r>
      <w:r w:rsidRPr="001D6CB4">
        <w:rPr>
          <w:rFonts w:cs="Calibri"/>
          <w:lang w:val="en-US"/>
        </w:rPr>
        <w:t>.</w:t>
      </w:r>
      <w:r w:rsidRPr="001D6CB4">
        <w:rPr>
          <w:rStyle w:val="FootnoteReference"/>
          <w:rFonts w:cs="Calibri"/>
          <w:lang w:val="en-US"/>
        </w:rPr>
        <w:footnoteReference w:id="241"/>
      </w:r>
      <w:r w:rsidRPr="001D6CB4">
        <w:rPr>
          <w:rFonts w:cs="Calibri"/>
          <w:lang w:val="en-US"/>
        </w:rPr>
        <w:t xml:space="preserve"> </w:t>
      </w:r>
      <w:r>
        <w:rPr>
          <w:rFonts w:cs="Calibri"/>
          <w:lang w:val="en-US"/>
        </w:rPr>
        <w:t>Household m</w:t>
      </w:r>
      <w:r w:rsidRPr="00DF6FA8">
        <w:rPr>
          <w:rFonts w:cs="Calibri"/>
          <w:lang w:val="en-US"/>
        </w:rPr>
        <w:t xml:space="preserve">anuals </w:t>
      </w:r>
      <w:r w:rsidRPr="001D6CB4">
        <w:rPr>
          <w:rFonts w:cs="Calibri"/>
          <w:lang w:val="en-US"/>
        </w:rPr>
        <w:t xml:space="preserve">constructed mainly by colonial women for newcomers in the Dutch East Indies prescribed spatial arrangements, childrearing habits and the necessary limitations to interaction between European children and the servant who </w:t>
      </w:r>
      <w:r w:rsidRPr="001D6CB4">
        <w:rPr>
          <w:rFonts w:cs="Calibri"/>
          <w:lang w:val="en-US"/>
        </w:rPr>
        <w:lastRenderedPageBreak/>
        <w:t>takes care of them.</w:t>
      </w:r>
      <w:r w:rsidRPr="001D6CB4">
        <w:rPr>
          <w:rStyle w:val="FootnoteReference"/>
          <w:rFonts w:cs="Calibri"/>
          <w:lang w:val="en-US"/>
        </w:rPr>
        <w:footnoteReference w:id="242"/>
      </w:r>
      <w:r w:rsidRPr="001D6CB4">
        <w:rPr>
          <w:rFonts w:cs="Calibri"/>
          <w:lang w:val="en-US"/>
        </w:rPr>
        <w:t xml:space="preserve"> The </w:t>
      </w:r>
      <w:r w:rsidRPr="00C3328E">
        <w:rPr>
          <w:rFonts w:cs="Calibri"/>
          <w:i/>
          <w:iCs/>
          <w:lang w:val="en-US"/>
        </w:rPr>
        <w:t>babu</w:t>
      </w:r>
      <w:r w:rsidRPr="001D6CB4">
        <w:rPr>
          <w:rFonts w:cs="Calibri"/>
          <w:lang w:val="en-US"/>
        </w:rPr>
        <w:t xml:space="preserve"> was often depicted as lazy, dirty and unreliable</w:t>
      </w:r>
      <w:r>
        <w:rPr>
          <w:rFonts w:cs="Calibri"/>
          <w:lang w:val="en-US"/>
        </w:rPr>
        <w:t xml:space="preserve"> and c</w:t>
      </w:r>
      <w:r w:rsidRPr="001D6CB4">
        <w:rPr>
          <w:rFonts w:cs="Calibri"/>
          <w:lang w:val="en-US"/>
        </w:rPr>
        <w:t>hildren should not be allowed to eat the food the servants gave them. Children should be forbidden to have conversations with the Indonesian servants. As teenagers, they should be kept away from the servants’ quarters, because there they would learn</w:t>
      </w:r>
      <w:r>
        <w:rPr>
          <w:rFonts w:cs="Calibri"/>
          <w:lang w:val="en-US"/>
        </w:rPr>
        <w:t xml:space="preserve"> about </w:t>
      </w:r>
      <w:r w:rsidRPr="001D6CB4">
        <w:rPr>
          <w:rFonts w:cs="Calibri"/>
          <w:lang w:val="en-US"/>
        </w:rPr>
        <w:t>improper and precocious sex</w:t>
      </w:r>
      <w:r>
        <w:rPr>
          <w:rFonts w:cs="Calibri"/>
          <w:lang w:val="en-US"/>
        </w:rPr>
        <w:t>ual norms -</w:t>
      </w:r>
      <w:r w:rsidRPr="001D6CB4">
        <w:rPr>
          <w:rFonts w:cs="Calibri"/>
          <w:lang w:val="en-US"/>
        </w:rPr>
        <w:t xml:space="preserve"> by the puritanical standards of twentieth-century Western moral codes.</w:t>
      </w:r>
      <w:r w:rsidRPr="001D6CB4">
        <w:rPr>
          <w:rStyle w:val="FootnoteReference"/>
          <w:rFonts w:cs="Calibri"/>
          <w:lang w:val="en-US"/>
        </w:rPr>
        <w:footnoteReference w:id="243"/>
      </w:r>
      <w:r w:rsidRPr="001D6CB4">
        <w:rPr>
          <w:rFonts w:cs="Calibri"/>
          <w:lang w:val="en-US"/>
        </w:rPr>
        <w:t xml:space="preserve"> The </w:t>
      </w:r>
      <w:r w:rsidRPr="00F818E5">
        <w:rPr>
          <w:rFonts w:cs="Calibri"/>
          <w:i/>
          <w:iCs/>
          <w:lang w:val="en-US"/>
        </w:rPr>
        <w:t>babu</w:t>
      </w:r>
      <w:r w:rsidRPr="001D6CB4">
        <w:rPr>
          <w:rFonts w:cs="Calibri"/>
          <w:lang w:val="en-US"/>
        </w:rPr>
        <w:t xml:space="preserve"> was not allowed to wash her master</w:t>
      </w:r>
      <w:r>
        <w:rPr>
          <w:rFonts w:cs="Calibri"/>
          <w:lang w:val="en-US"/>
        </w:rPr>
        <w:t>’</w:t>
      </w:r>
      <w:r w:rsidRPr="001D6CB4">
        <w:rPr>
          <w:rFonts w:cs="Calibri"/>
          <w:lang w:val="en-US"/>
        </w:rPr>
        <w:t>s clothing together with her own.</w:t>
      </w:r>
      <w:r w:rsidRPr="001D6CB4">
        <w:rPr>
          <w:rStyle w:val="FootnoteReference"/>
          <w:rFonts w:cs="Calibri"/>
          <w:lang w:val="en-US"/>
        </w:rPr>
        <w:footnoteReference w:id="244"/>
      </w:r>
      <w:r w:rsidRPr="001D6CB4">
        <w:rPr>
          <w:rFonts w:cs="Calibri"/>
          <w:lang w:val="en-US"/>
        </w:rPr>
        <w:t xml:space="preserve"> Furthermore, mothers were discouraged from having a </w:t>
      </w:r>
      <w:r w:rsidRPr="00C3328E">
        <w:rPr>
          <w:rFonts w:cs="Calibri"/>
          <w:i/>
          <w:iCs/>
          <w:lang w:val="en-US"/>
        </w:rPr>
        <w:t>babu</w:t>
      </w:r>
      <w:r w:rsidRPr="001D6CB4">
        <w:rPr>
          <w:rFonts w:cs="Calibri"/>
          <w:lang w:val="en-US"/>
        </w:rPr>
        <w:t xml:space="preserve"> take care of their children altogether by doctor Pierre Peverelli, claiming that the woman’s unclean hands could infect young girls with venereal diseases.</w:t>
      </w:r>
      <w:r w:rsidRPr="001D6CB4">
        <w:rPr>
          <w:rStyle w:val="FootnoteReference"/>
          <w:rFonts w:cs="Calibri"/>
          <w:lang w:val="en-US"/>
        </w:rPr>
        <w:footnoteReference w:id="245"/>
      </w:r>
      <w:r>
        <w:rPr>
          <w:rFonts w:cs="Calibri"/>
          <w:lang w:val="en-US"/>
        </w:rPr>
        <w:t xml:space="preserve"> These discourses show that the morality and health of Indonesian women was broadly criticized, showing their incapability of providing a healthy and moral upbringing for (Indo-)European children. </w:t>
      </w:r>
    </w:p>
    <w:p w14:paraId="4BA504F1" w14:textId="77777777" w:rsidR="009847E8" w:rsidRPr="003D0261" w:rsidRDefault="009847E8" w:rsidP="000D6B84">
      <w:pPr>
        <w:spacing w:before="240" w:after="240" w:line="276" w:lineRule="auto"/>
        <w:ind w:firstLine="284"/>
        <w:jc w:val="both"/>
        <w:rPr>
          <w:rFonts w:cs="Calibri"/>
          <w:sz w:val="22"/>
          <w:szCs w:val="22"/>
          <w:lang w:val="en-US"/>
        </w:rPr>
      </w:pPr>
      <w:r>
        <w:rPr>
          <w:rFonts w:cs="Calibri"/>
          <w:sz w:val="22"/>
          <w:szCs w:val="22"/>
          <w:lang w:val="en-US"/>
        </w:rPr>
        <w:t xml:space="preserve">Such negative discourses were not limited to Indonesian women in civil society; they also appeared in </w:t>
      </w:r>
      <w:r w:rsidRPr="002F27B5">
        <w:rPr>
          <w:rFonts w:cs="Calibri"/>
          <w:sz w:val="22"/>
          <w:szCs w:val="22"/>
          <w:lang w:val="en-US"/>
        </w:rPr>
        <w:t>the military context, as illustrated by General Boetje</w:t>
      </w:r>
      <w:r>
        <w:rPr>
          <w:rFonts w:cs="Calibri"/>
          <w:sz w:val="22"/>
          <w:szCs w:val="22"/>
          <w:lang w:val="en-US"/>
        </w:rPr>
        <w:t xml:space="preserve"> (</w:t>
      </w:r>
      <w:r w:rsidRPr="001D6CB4">
        <w:rPr>
          <w:rFonts w:cs="Calibri"/>
          <w:sz w:val="22"/>
          <w:szCs w:val="22"/>
          <w:lang w:val="en-US"/>
        </w:rPr>
        <w:t>acting Army Commandant in the Dutch East Indies</w:t>
      </w:r>
      <w:r>
        <w:rPr>
          <w:rFonts w:cs="Calibri"/>
          <w:sz w:val="22"/>
          <w:szCs w:val="22"/>
          <w:lang w:val="en-US"/>
        </w:rPr>
        <w:t>,</w:t>
      </w:r>
      <w:r w:rsidRPr="00F122BD">
        <w:t xml:space="preserve"> </w:t>
      </w:r>
      <w:r>
        <w:t xml:space="preserve">from </w:t>
      </w:r>
      <w:r w:rsidRPr="00F122BD">
        <w:rPr>
          <w:rFonts w:cs="Calibri"/>
          <w:sz w:val="22"/>
          <w:szCs w:val="22"/>
          <w:lang w:val="en-US"/>
        </w:rPr>
        <w:t>1869</w:t>
      </w:r>
      <w:r>
        <w:rPr>
          <w:rFonts w:cs="Calibri"/>
          <w:sz w:val="22"/>
          <w:szCs w:val="22"/>
          <w:lang w:val="en-US"/>
        </w:rPr>
        <w:t xml:space="preserve"> until </w:t>
      </w:r>
      <w:r w:rsidRPr="00F122BD">
        <w:rPr>
          <w:rFonts w:cs="Calibri"/>
          <w:sz w:val="22"/>
          <w:szCs w:val="22"/>
          <w:lang w:val="en-US"/>
        </w:rPr>
        <w:t>1905</w:t>
      </w:r>
      <w:r w:rsidRPr="001D6CB4">
        <w:rPr>
          <w:rFonts w:cs="Calibri"/>
          <w:sz w:val="22"/>
          <w:szCs w:val="22"/>
          <w:lang w:val="en-US"/>
        </w:rPr>
        <w:t>)</w:t>
      </w:r>
      <w:r>
        <w:rPr>
          <w:rFonts w:cs="Calibri"/>
          <w:sz w:val="22"/>
          <w:szCs w:val="22"/>
          <w:lang w:val="en-US"/>
        </w:rPr>
        <w:t xml:space="preserve"> who argued that Indonesian</w:t>
      </w:r>
      <w:r w:rsidRPr="001D6CB4">
        <w:rPr>
          <w:rFonts w:cs="Calibri"/>
          <w:sz w:val="22"/>
          <w:szCs w:val="22"/>
          <w:lang w:val="en-US"/>
        </w:rPr>
        <w:t xml:space="preserve"> women and </w:t>
      </w:r>
      <w:r>
        <w:rPr>
          <w:rFonts w:cs="Calibri"/>
          <w:sz w:val="22"/>
          <w:szCs w:val="22"/>
          <w:lang w:val="en-US"/>
        </w:rPr>
        <w:t>their</w:t>
      </w:r>
      <w:r w:rsidRPr="001D6CB4">
        <w:rPr>
          <w:rFonts w:cs="Calibri"/>
          <w:sz w:val="22"/>
          <w:szCs w:val="22"/>
          <w:lang w:val="en-US"/>
        </w:rPr>
        <w:t xml:space="preserve"> children should not return to the kampong together after </w:t>
      </w:r>
      <w:r>
        <w:rPr>
          <w:rFonts w:cs="Calibri"/>
          <w:sz w:val="22"/>
          <w:szCs w:val="22"/>
          <w:lang w:val="en-US"/>
        </w:rPr>
        <w:t>t</w:t>
      </w:r>
      <w:r w:rsidRPr="001D6CB4">
        <w:rPr>
          <w:rFonts w:cs="Calibri"/>
          <w:sz w:val="22"/>
          <w:szCs w:val="22"/>
          <w:lang w:val="en-US"/>
        </w:rPr>
        <w:t>he</w:t>
      </w:r>
      <w:r>
        <w:rPr>
          <w:rFonts w:cs="Calibri"/>
          <w:sz w:val="22"/>
          <w:szCs w:val="22"/>
          <w:lang w:val="en-US"/>
        </w:rPr>
        <w:t>i</w:t>
      </w:r>
      <w:r w:rsidRPr="001D6CB4">
        <w:rPr>
          <w:rFonts w:cs="Calibri"/>
          <w:sz w:val="22"/>
          <w:szCs w:val="22"/>
          <w:lang w:val="en-US"/>
        </w:rPr>
        <w:t>r European partner</w:t>
      </w:r>
      <w:r>
        <w:rPr>
          <w:rFonts w:cs="Calibri"/>
          <w:sz w:val="22"/>
          <w:szCs w:val="22"/>
          <w:lang w:val="en-US"/>
        </w:rPr>
        <w:t>s</w:t>
      </w:r>
      <w:r w:rsidRPr="001D6CB4">
        <w:rPr>
          <w:rFonts w:cs="Calibri"/>
          <w:sz w:val="22"/>
          <w:szCs w:val="22"/>
          <w:lang w:val="en-US"/>
        </w:rPr>
        <w:t xml:space="preserve"> had left them and returned to the metropole.</w:t>
      </w:r>
      <w:r w:rsidRPr="001D6CB4">
        <w:rPr>
          <w:rStyle w:val="FootnoteReference"/>
          <w:rFonts w:cs="Calibri"/>
          <w:sz w:val="22"/>
          <w:szCs w:val="22"/>
          <w:lang w:val="en-US"/>
        </w:rPr>
        <w:footnoteReference w:id="246"/>
      </w:r>
      <w:r w:rsidRPr="001D6CB4">
        <w:rPr>
          <w:rFonts w:cs="Calibri"/>
          <w:sz w:val="22"/>
          <w:szCs w:val="22"/>
          <w:lang w:val="en-US"/>
        </w:rPr>
        <w:t xml:space="preserve"> He argued that ‘any native wom</w:t>
      </w:r>
      <w:r>
        <w:rPr>
          <w:rFonts w:cs="Calibri"/>
          <w:sz w:val="22"/>
          <w:szCs w:val="22"/>
          <w:lang w:val="en-US"/>
        </w:rPr>
        <w:t>a</w:t>
      </w:r>
      <w:r w:rsidRPr="001D6CB4">
        <w:rPr>
          <w:rFonts w:cs="Calibri"/>
          <w:sz w:val="22"/>
          <w:szCs w:val="22"/>
          <w:lang w:val="en-US"/>
        </w:rPr>
        <w:t>n who has abandoned herself to follow a European soldier, has sunk very low in the eyes of her fellow-countrymen.’</w:t>
      </w:r>
      <w:r w:rsidRPr="001D6CB4">
        <w:rPr>
          <w:rStyle w:val="FootnoteReference"/>
          <w:rFonts w:cs="Calibri"/>
          <w:sz w:val="22"/>
          <w:szCs w:val="22"/>
          <w:lang w:val="en-US"/>
        </w:rPr>
        <w:footnoteReference w:id="247"/>
      </w:r>
      <w:r w:rsidRPr="001D6CB4">
        <w:rPr>
          <w:rFonts w:cs="Calibri"/>
          <w:sz w:val="22"/>
          <w:szCs w:val="22"/>
          <w:lang w:val="en-US"/>
        </w:rPr>
        <w:t xml:space="preserve"> Accordingly, it may be predicted that she will have no other choice than to turn to prostitution for her livelihood. </w:t>
      </w:r>
      <w:r>
        <w:rPr>
          <w:rFonts w:cs="Calibri"/>
          <w:sz w:val="22"/>
          <w:szCs w:val="22"/>
          <w:lang w:val="en-US"/>
        </w:rPr>
        <w:t xml:space="preserve">However, </w:t>
      </w:r>
      <w:r w:rsidRPr="001D6CB4">
        <w:rPr>
          <w:rFonts w:cs="Calibri"/>
          <w:sz w:val="22"/>
          <w:szCs w:val="22"/>
          <w:lang w:val="en-US"/>
        </w:rPr>
        <w:t>Ming adds</w:t>
      </w:r>
      <w:r>
        <w:rPr>
          <w:rFonts w:cs="Calibri"/>
          <w:sz w:val="22"/>
          <w:szCs w:val="22"/>
          <w:lang w:val="en-US"/>
        </w:rPr>
        <w:t xml:space="preserve">, </w:t>
      </w:r>
      <w:r w:rsidRPr="001D6CB4">
        <w:rPr>
          <w:rFonts w:cs="Calibri"/>
          <w:sz w:val="22"/>
          <w:szCs w:val="22"/>
          <w:lang w:val="en-US"/>
        </w:rPr>
        <w:t>no illusion must be held that the General was sympathetic to the fate of the abandoned njai</w:t>
      </w:r>
      <w:r>
        <w:rPr>
          <w:rFonts w:cs="Calibri"/>
          <w:sz w:val="22"/>
          <w:szCs w:val="22"/>
          <w:lang w:val="en-US"/>
        </w:rPr>
        <w:t xml:space="preserve">: </w:t>
      </w:r>
      <w:r w:rsidRPr="001D6CB4">
        <w:rPr>
          <w:rFonts w:cs="Calibri"/>
          <w:sz w:val="22"/>
          <w:szCs w:val="22"/>
          <w:lang w:val="en-US"/>
        </w:rPr>
        <w:t>‘If only the mother were willing and able to hide from her child the fact that it had a European father, there would be no further need to take account of her fate, no matter how miserable in many cases it must be.’</w:t>
      </w:r>
      <w:r w:rsidRPr="001D6CB4">
        <w:rPr>
          <w:rStyle w:val="FootnoteReference"/>
          <w:rFonts w:cs="Calibri"/>
          <w:sz w:val="22"/>
          <w:szCs w:val="22"/>
          <w:lang w:val="en-US"/>
        </w:rPr>
        <w:footnoteReference w:id="248"/>
      </w:r>
    </w:p>
    <w:p w14:paraId="14BB8073" w14:textId="77777777" w:rsidR="009847E8" w:rsidRDefault="009847E8" w:rsidP="000D6B84">
      <w:pPr>
        <w:tabs>
          <w:tab w:val="left" w:pos="2268"/>
        </w:tabs>
        <w:spacing w:before="240" w:after="240" w:line="276" w:lineRule="auto"/>
        <w:ind w:firstLine="284"/>
        <w:jc w:val="both"/>
        <w:rPr>
          <w:rFonts w:cs="Calibri"/>
          <w:sz w:val="22"/>
          <w:szCs w:val="22"/>
          <w:lang w:val="en-US"/>
        </w:rPr>
      </w:pPr>
      <w:r>
        <w:rPr>
          <w:rFonts w:cs="Calibri"/>
          <w:sz w:val="22"/>
          <w:szCs w:val="22"/>
          <w:lang w:val="en-US"/>
        </w:rPr>
        <w:t>In the reports examining ‘pauperism among Indo-Europeans’ and the fate of ‘abandoned’ Indo-European children, Indonesian mothers remained remarkably absent as possible caregivers for their children. The majority of the report on the state relief for Europeans focuses on the grants and money spent on welfare funds and the costs of the orphanages the government has to cover, especially as the number of children in orphanages kept increasing during the 19</w:t>
      </w:r>
      <w:r w:rsidRPr="009D1B01">
        <w:rPr>
          <w:rFonts w:cs="Calibri"/>
          <w:sz w:val="22"/>
          <w:szCs w:val="22"/>
          <w:vertAlign w:val="superscript"/>
          <w:lang w:val="en-US"/>
        </w:rPr>
        <w:t>th</w:t>
      </w:r>
      <w:r>
        <w:rPr>
          <w:rFonts w:cs="Calibri"/>
          <w:sz w:val="22"/>
          <w:szCs w:val="22"/>
          <w:lang w:val="en-US"/>
        </w:rPr>
        <w:t xml:space="preserve"> century and the grant amounts had to keep being levelled in order to properly provide food and clothing for the children.</w:t>
      </w:r>
      <w:r>
        <w:rPr>
          <w:rStyle w:val="FootnoteReference"/>
          <w:rFonts w:cs="Calibri"/>
          <w:sz w:val="22"/>
          <w:szCs w:val="22"/>
          <w:lang w:val="en-US"/>
        </w:rPr>
        <w:footnoteReference w:id="249"/>
      </w:r>
      <w:r>
        <w:rPr>
          <w:rFonts w:cs="Calibri"/>
          <w:sz w:val="22"/>
          <w:szCs w:val="22"/>
          <w:lang w:val="en-US"/>
        </w:rPr>
        <w:t xml:space="preserve"> A solution would then be ‘public charity’, such as letting the Indonesian mother and her kin take care of the children.</w:t>
      </w:r>
      <w:r>
        <w:rPr>
          <w:rStyle w:val="FootnoteReference"/>
          <w:rFonts w:cs="Calibri"/>
          <w:sz w:val="22"/>
          <w:szCs w:val="22"/>
          <w:lang w:val="en-US"/>
        </w:rPr>
        <w:footnoteReference w:id="250"/>
      </w:r>
      <w:r>
        <w:rPr>
          <w:rFonts w:cs="Calibri"/>
          <w:sz w:val="22"/>
          <w:szCs w:val="22"/>
          <w:lang w:val="en-US"/>
        </w:rPr>
        <w:t xml:space="preserve"> Yet this proposition was certainly out of the question:</w:t>
      </w:r>
    </w:p>
    <w:p w14:paraId="783B68A8" w14:textId="77777777" w:rsidR="009847E8" w:rsidRDefault="009847E8" w:rsidP="000D6B84">
      <w:pPr>
        <w:tabs>
          <w:tab w:val="left" w:pos="2268"/>
        </w:tabs>
        <w:spacing w:before="240" w:after="240" w:line="276" w:lineRule="auto"/>
        <w:ind w:left="708"/>
        <w:jc w:val="both"/>
        <w:rPr>
          <w:rFonts w:cs="Calibri"/>
          <w:sz w:val="22"/>
          <w:szCs w:val="22"/>
          <w:lang w:val="en-US"/>
        </w:rPr>
      </w:pPr>
      <w:r>
        <w:rPr>
          <w:rFonts w:cs="Calibri"/>
          <w:sz w:val="22"/>
          <w:szCs w:val="22"/>
          <w:lang w:val="en-US"/>
        </w:rPr>
        <w:lastRenderedPageBreak/>
        <w:t>‘</w:t>
      </w:r>
      <w:r w:rsidRPr="009D1B01">
        <w:rPr>
          <w:rFonts w:cs="Calibri"/>
          <w:sz w:val="22"/>
          <w:szCs w:val="22"/>
          <w:lang w:val="en-US"/>
        </w:rPr>
        <w:t xml:space="preserve">If there were no orphanages, the children who would otherwise be cared for there </w:t>
      </w:r>
      <w:r w:rsidRPr="009D1B01">
        <w:rPr>
          <w:rFonts w:cs="Calibri"/>
          <w:i/>
          <w:iCs/>
          <w:sz w:val="22"/>
          <w:szCs w:val="22"/>
          <w:lang w:val="en-US"/>
        </w:rPr>
        <w:t xml:space="preserve">would for the most part remain with their mothers </w:t>
      </w:r>
      <w:r>
        <w:rPr>
          <w:rFonts w:cs="Calibri"/>
          <w:sz w:val="22"/>
          <w:szCs w:val="22"/>
          <w:lang w:val="en-US"/>
        </w:rPr>
        <w:t xml:space="preserve">– who </w:t>
      </w:r>
      <w:r w:rsidRPr="009D1B01">
        <w:rPr>
          <w:rFonts w:cs="Calibri"/>
          <w:sz w:val="22"/>
          <w:szCs w:val="22"/>
          <w:lang w:val="en-US"/>
        </w:rPr>
        <w:t>belonged to the native population</w:t>
      </w:r>
      <w:r>
        <w:rPr>
          <w:rFonts w:cs="Calibri"/>
          <w:sz w:val="22"/>
          <w:szCs w:val="22"/>
          <w:lang w:val="en-US"/>
        </w:rPr>
        <w:t xml:space="preserve"> – and </w:t>
      </w:r>
      <w:r w:rsidRPr="009D1B01">
        <w:rPr>
          <w:rFonts w:cs="Calibri"/>
          <w:sz w:val="22"/>
          <w:szCs w:val="22"/>
          <w:lang w:val="en-US"/>
        </w:rPr>
        <w:t xml:space="preserve">their relatives, so that, however much they belonged to the Europeans by virtue of the names they bore and their entry in the civil registry, they would grow up among the natives and identify completely with them. And now, the Council believed, </w:t>
      </w:r>
      <w:r w:rsidRPr="009D1B01">
        <w:rPr>
          <w:rFonts w:cs="Calibri"/>
          <w:i/>
          <w:iCs/>
          <w:sz w:val="22"/>
          <w:szCs w:val="22"/>
          <w:lang w:val="en-US"/>
        </w:rPr>
        <w:t>it could never serve to confirm the foundations of peace and contentment to create an element closely linked to the native,</w:t>
      </w:r>
      <w:r w:rsidRPr="009D1B01">
        <w:rPr>
          <w:rFonts w:cs="Calibri"/>
          <w:sz w:val="22"/>
          <w:szCs w:val="22"/>
          <w:lang w:val="en-US"/>
        </w:rPr>
        <w:t xml:space="preserve"> which, due to physical causes, was far superior to him in energy and enterprise, shared common interests with him, yet also harbored certain and not unfounded grievances against the European, so that, on this basis, the continued existence of the orphanages had to be regarded as a matter of the utmost importance to the State.</w:t>
      </w:r>
      <w:r>
        <w:rPr>
          <w:rFonts w:cs="Calibri"/>
          <w:sz w:val="22"/>
          <w:szCs w:val="22"/>
          <w:lang w:val="en-US"/>
        </w:rPr>
        <w:t>’</w:t>
      </w:r>
      <w:r>
        <w:rPr>
          <w:rStyle w:val="FootnoteReference"/>
          <w:rFonts w:cs="Calibri"/>
          <w:sz w:val="22"/>
          <w:szCs w:val="22"/>
          <w:lang w:val="en-US"/>
        </w:rPr>
        <w:footnoteReference w:id="251"/>
      </w:r>
    </w:p>
    <w:p w14:paraId="1A2AEDAB" w14:textId="77777777" w:rsidR="009847E8" w:rsidRDefault="009847E8" w:rsidP="000D6B84">
      <w:pPr>
        <w:spacing w:before="240" w:after="240" w:line="276" w:lineRule="auto"/>
        <w:ind w:firstLine="284"/>
        <w:jc w:val="both"/>
        <w:rPr>
          <w:rFonts w:cs="Calibri"/>
          <w:sz w:val="22"/>
          <w:szCs w:val="22"/>
          <w:lang w:val="en-US"/>
        </w:rPr>
      </w:pPr>
      <w:r>
        <w:rPr>
          <w:rFonts w:cs="Calibri"/>
          <w:sz w:val="22"/>
          <w:szCs w:val="22"/>
          <w:lang w:val="en-US"/>
        </w:rPr>
        <w:t xml:space="preserve">Indeed, many of the ‘orphans’ in the Javanese orphanages were not actually orphans in the sense that both their parents had passed away; their father may have died or abandoned them, but their mother was often still alive. In 1892, this matter was brought forward by MP Bool during a meeting of the Second Chamber of the Dutch Parliament. He noted that, since the grants mainly benefited non-orphans, rather than </w:t>
      </w:r>
      <w:r w:rsidRPr="009D1B01">
        <w:rPr>
          <w:rFonts w:cs="Calibri"/>
          <w:i/>
          <w:iCs/>
          <w:sz w:val="22"/>
          <w:szCs w:val="22"/>
          <w:lang w:val="en-US"/>
        </w:rPr>
        <w:t>actual</w:t>
      </w:r>
      <w:r>
        <w:rPr>
          <w:rFonts w:cs="Calibri"/>
          <w:sz w:val="22"/>
          <w:szCs w:val="22"/>
          <w:lang w:val="en-US"/>
        </w:rPr>
        <w:t xml:space="preserve"> orphans, releasing the children who still had a mother could substantially provide cuts in the fundings of orphanages.</w:t>
      </w:r>
      <w:r>
        <w:rPr>
          <w:rStyle w:val="FootnoteReference"/>
          <w:rFonts w:cs="Calibri"/>
          <w:sz w:val="22"/>
          <w:szCs w:val="22"/>
          <w:lang w:val="en-US"/>
        </w:rPr>
        <w:footnoteReference w:id="252"/>
      </w:r>
      <w:r>
        <w:rPr>
          <w:rFonts w:cs="Calibri"/>
          <w:sz w:val="22"/>
          <w:szCs w:val="22"/>
          <w:lang w:val="en-US"/>
        </w:rPr>
        <w:t xml:space="preserve"> However, this proposal was firmly rejected by the then-minister of Education: </w:t>
      </w:r>
    </w:p>
    <w:p w14:paraId="7BEC7DAD" w14:textId="77777777" w:rsidR="009847E8" w:rsidRDefault="009847E8" w:rsidP="000D6B84">
      <w:pPr>
        <w:spacing w:before="240" w:after="240" w:line="276" w:lineRule="auto"/>
        <w:ind w:left="708"/>
        <w:jc w:val="both"/>
        <w:rPr>
          <w:rFonts w:cs="Calibri"/>
          <w:sz w:val="22"/>
          <w:szCs w:val="22"/>
          <w:lang w:val="en-US"/>
        </w:rPr>
      </w:pPr>
      <w:r>
        <w:rPr>
          <w:rFonts w:cs="Calibri"/>
          <w:sz w:val="22"/>
          <w:szCs w:val="22"/>
          <w:lang w:val="en-US"/>
        </w:rPr>
        <w:t>‘</w:t>
      </w:r>
      <w:r w:rsidRPr="009D1B01">
        <w:rPr>
          <w:rFonts w:cs="Calibri"/>
          <w:sz w:val="22"/>
          <w:szCs w:val="22"/>
          <w:lang w:val="en-US"/>
        </w:rPr>
        <w:t>What exactly does Mr. Bool want? That these children be left in the care of native women, to be raised in the village or in the barracks? They might not starve to death, but they would not amount to much, and so admission to an institution is a blessing that should be praised, not criticized.</w:t>
      </w:r>
      <w:r>
        <w:rPr>
          <w:rFonts w:cs="Calibri"/>
          <w:sz w:val="22"/>
          <w:szCs w:val="22"/>
          <w:lang w:val="en-US"/>
        </w:rPr>
        <w:t>’</w:t>
      </w:r>
      <w:r>
        <w:rPr>
          <w:rStyle w:val="FootnoteReference"/>
          <w:rFonts w:cs="Calibri"/>
          <w:sz w:val="22"/>
          <w:szCs w:val="22"/>
          <w:lang w:val="en-US"/>
        </w:rPr>
        <w:footnoteReference w:id="253"/>
      </w:r>
    </w:p>
    <w:p w14:paraId="3A9E5DC5" w14:textId="77777777" w:rsidR="009847E8" w:rsidRPr="003D0261" w:rsidRDefault="009847E8" w:rsidP="000D6B84">
      <w:pPr>
        <w:spacing w:before="240" w:after="240" w:line="276" w:lineRule="auto"/>
        <w:ind w:firstLine="284"/>
        <w:jc w:val="both"/>
        <w:rPr>
          <w:rFonts w:cs="Calibri"/>
          <w:sz w:val="22"/>
          <w:szCs w:val="22"/>
          <w:lang w:val="en-US"/>
        </w:rPr>
      </w:pPr>
      <w:r>
        <w:rPr>
          <w:rFonts w:cs="Calibri"/>
          <w:sz w:val="22"/>
          <w:szCs w:val="22"/>
          <w:lang w:val="en-US"/>
        </w:rPr>
        <w:t xml:space="preserve">Although the children who required orphan care were children of ‘lesser civil servants’, and expenses had to be kept at the minimum amount, it was important that either way, the Indo-European children without their father had to be cared for by the Dutch state, </w:t>
      </w:r>
      <w:r w:rsidRPr="009D1B01">
        <w:rPr>
          <w:rFonts w:cs="Calibri"/>
          <w:sz w:val="22"/>
          <w:szCs w:val="22"/>
          <w:lang w:val="en-US"/>
        </w:rPr>
        <w:t xml:space="preserve">for </w:t>
      </w:r>
      <w:r>
        <w:rPr>
          <w:rFonts w:cs="Calibri"/>
          <w:sz w:val="22"/>
          <w:szCs w:val="22"/>
          <w:lang w:val="en-US"/>
        </w:rPr>
        <w:t>their</w:t>
      </w:r>
      <w:r w:rsidRPr="009D1B01">
        <w:rPr>
          <w:rFonts w:cs="Calibri"/>
          <w:sz w:val="22"/>
          <w:szCs w:val="22"/>
          <w:lang w:val="en-US"/>
        </w:rPr>
        <w:t xml:space="preserve"> </w:t>
      </w:r>
      <w:r>
        <w:rPr>
          <w:rFonts w:cs="Calibri"/>
          <w:sz w:val="22"/>
          <w:szCs w:val="22"/>
          <w:lang w:val="en-US"/>
        </w:rPr>
        <w:t>‘</w:t>
      </w:r>
      <w:r w:rsidRPr="009D1B01">
        <w:rPr>
          <w:rFonts w:cs="Calibri"/>
          <w:sz w:val="22"/>
          <w:szCs w:val="22"/>
          <w:lang w:val="en-US"/>
        </w:rPr>
        <w:t>prestige</w:t>
      </w:r>
      <w:r>
        <w:rPr>
          <w:rFonts w:cs="Calibri"/>
          <w:sz w:val="22"/>
          <w:szCs w:val="22"/>
          <w:lang w:val="en-US"/>
        </w:rPr>
        <w:t xml:space="preserve">’ </w:t>
      </w:r>
      <w:r w:rsidRPr="009D1B01">
        <w:rPr>
          <w:rFonts w:cs="Calibri"/>
          <w:sz w:val="22"/>
          <w:szCs w:val="22"/>
          <w:lang w:val="en-US"/>
        </w:rPr>
        <w:t>does not allow these descendants of Europeans</w:t>
      </w:r>
      <w:r>
        <w:rPr>
          <w:rFonts w:cs="Calibri"/>
          <w:sz w:val="22"/>
          <w:szCs w:val="22"/>
          <w:lang w:val="en-US"/>
        </w:rPr>
        <w:t xml:space="preserve"> to be left</w:t>
      </w:r>
      <w:r w:rsidRPr="009D1B01">
        <w:rPr>
          <w:rFonts w:cs="Calibri"/>
          <w:sz w:val="22"/>
          <w:szCs w:val="22"/>
          <w:lang w:val="en-US"/>
        </w:rPr>
        <w:t xml:space="preserve"> neglected, which in many cases would be tantamount to </w:t>
      </w:r>
      <w:r>
        <w:rPr>
          <w:rFonts w:cs="Calibri"/>
          <w:sz w:val="22"/>
          <w:szCs w:val="22"/>
          <w:lang w:val="en-US"/>
        </w:rPr>
        <w:t>leaving them with the Indonesian</w:t>
      </w:r>
      <w:r w:rsidRPr="009D1B01">
        <w:rPr>
          <w:rFonts w:cs="Calibri"/>
          <w:sz w:val="22"/>
          <w:szCs w:val="22"/>
          <w:lang w:val="en-US"/>
        </w:rPr>
        <w:t xml:space="preserve"> population</w:t>
      </w:r>
      <w:r>
        <w:rPr>
          <w:rFonts w:cs="Calibri"/>
          <w:sz w:val="22"/>
          <w:szCs w:val="22"/>
          <w:lang w:val="en-US"/>
        </w:rPr>
        <w:t>.</w:t>
      </w:r>
      <w:r>
        <w:rPr>
          <w:rStyle w:val="FootnoteReference"/>
          <w:rFonts w:cs="Calibri"/>
          <w:sz w:val="22"/>
          <w:szCs w:val="22"/>
          <w:lang w:val="en-US"/>
        </w:rPr>
        <w:footnoteReference w:id="254"/>
      </w:r>
      <w:r>
        <w:rPr>
          <w:rFonts w:cs="Calibri"/>
          <w:sz w:val="22"/>
          <w:szCs w:val="22"/>
          <w:lang w:val="en-US"/>
        </w:rPr>
        <w:t xml:space="preserve"> </w:t>
      </w:r>
    </w:p>
    <w:p w14:paraId="68801539" w14:textId="77777777" w:rsidR="009847E8" w:rsidRDefault="009847E8">
      <w:pPr>
        <w:pStyle w:val="ListParagraph"/>
        <w:numPr>
          <w:ilvl w:val="2"/>
          <w:numId w:val="4"/>
        </w:numPr>
        <w:spacing w:before="240" w:after="240" w:line="276" w:lineRule="auto"/>
        <w:jc w:val="both"/>
        <w:outlineLvl w:val="2"/>
        <w:rPr>
          <w:rFonts w:cs="Calibri"/>
          <w:sz w:val="22"/>
          <w:szCs w:val="22"/>
          <w:lang w:val="en-US"/>
        </w:rPr>
      </w:pPr>
      <w:bookmarkStart w:id="36" w:name="_Toc234183625"/>
      <w:r>
        <w:rPr>
          <w:rFonts w:cs="Calibri"/>
          <w:sz w:val="22"/>
          <w:szCs w:val="22"/>
          <w:lang w:val="en-US"/>
        </w:rPr>
        <w:t>Child separation practices legitimized by law</w:t>
      </w:r>
      <w:r>
        <w:rPr>
          <w:rStyle w:val="FootnoteReference"/>
          <w:rFonts w:cs="Calibri"/>
          <w:sz w:val="22"/>
          <w:szCs w:val="22"/>
          <w:lang w:val="en-US"/>
        </w:rPr>
        <w:footnoteReference w:id="255"/>
      </w:r>
      <w:bookmarkEnd w:id="36"/>
    </w:p>
    <w:p w14:paraId="14BB1090" w14:textId="77777777" w:rsidR="009847E8" w:rsidRDefault="009847E8" w:rsidP="00DA61CC">
      <w:pPr>
        <w:spacing w:before="240" w:after="240" w:line="276" w:lineRule="auto"/>
        <w:ind w:firstLine="284"/>
        <w:jc w:val="both"/>
        <w:rPr>
          <w:rFonts w:cs="Calibri"/>
          <w:sz w:val="22"/>
          <w:szCs w:val="22"/>
          <w:lang w:val="en-US"/>
        </w:rPr>
      </w:pPr>
      <w:r w:rsidRPr="003D0261">
        <w:rPr>
          <w:rFonts w:cs="Calibri"/>
          <w:sz w:val="22"/>
          <w:szCs w:val="22"/>
          <w:lang w:val="en-US"/>
        </w:rPr>
        <w:t xml:space="preserve">The belief that </w:t>
      </w:r>
      <w:r>
        <w:rPr>
          <w:rFonts w:cs="Calibri"/>
          <w:sz w:val="22"/>
          <w:szCs w:val="22"/>
          <w:lang w:val="en-US"/>
        </w:rPr>
        <w:t xml:space="preserve">unmarried Indonesian </w:t>
      </w:r>
      <w:r w:rsidRPr="003D0261">
        <w:rPr>
          <w:rFonts w:cs="Calibri"/>
          <w:sz w:val="22"/>
          <w:szCs w:val="22"/>
          <w:lang w:val="en-US"/>
        </w:rPr>
        <w:t xml:space="preserve">women were unfit to properly care for their multiracialized Indo-European children was </w:t>
      </w:r>
      <w:r>
        <w:rPr>
          <w:rFonts w:cs="Calibri"/>
          <w:sz w:val="22"/>
          <w:szCs w:val="22"/>
          <w:lang w:val="en-US"/>
        </w:rPr>
        <w:t xml:space="preserve">also </w:t>
      </w:r>
      <w:r w:rsidRPr="003D0261">
        <w:rPr>
          <w:rFonts w:cs="Calibri"/>
          <w:sz w:val="22"/>
          <w:szCs w:val="22"/>
          <w:lang w:val="en-US"/>
        </w:rPr>
        <w:t xml:space="preserve">reflected in </w:t>
      </w:r>
      <w:r>
        <w:rPr>
          <w:rFonts w:cs="Calibri"/>
          <w:sz w:val="22"/>
          <w:szCs w:val="22"/>
          <w:lang w:val="en-US"/>
        </w:rPr>
        <w:t>the law</w:t>
      </w:r>
      <w:r w:rsidRPr="003D0261">
        <w:rPr>
          <w:rFonts w:cs="Calibri"/>
          <w:sz w:val="22"/>
          <w:szCs w:val="22"/>
          <w:lang w:val="en-US"/>
        </w:rPr>
        <w:t>.</w:t>
      </w:r>
      <w:r w:rsidRPr="00DA61CC">
        <w:rPr>
          <w:rFonts w:cs="Calibri"/>
          <w:sz w:val="22"/>
          <w:szCs w:val="22"/>
          <w:lang w:val="en-US"/>
        </w:rPr>
        <w:t xml:space="preserve"> </w:t>
      </w:r>
      <w:r w:rsidRPr="003D0261">
        <w:rPr>
          <w:rFonts w:cs="Calibri"/>
          <w:sz w:val="22"/>
          <w:szCs w:val="22"/>
          <w:lang w:val="en-US"/>
        </w:rPr>
        <w:t>According to article 300 of the Indies Civil Code, the father is the primary custodian of his children.</w:t>
      </w:r>
      <w:r>
        <w:rPr>
          <w:rStyle w:val="FootnoteReference"/>
          <w:rFonts w:cs="Calibri"/>
          <w:sz w:val="22"/>
          <w:szCs w:val="22"/>
          <w:lang w:val="en-US"/>
        </w:rPr>
        <w:footnoteReference w:id="256"/>
      </w:r>
      <w:r w:rsidRPr="003D0261">
        <w:rPr>
          <w:rFonts w:cs="Calibri"/>
          <w:sz w:val="22"/>
          <w:szCs w:val="22"/>
          <w:lang w:val="en-US"/>
        </w:rPr>
        <w:t xml:space="preserve"> Under article 284, third </w:t>
      </w:r>
      <w:r w:rsidRPr="003D0261">
        <w:rPr>
          <w:rFonts w:cs="Calibri"/>
          <w:sz w:val="22"/>
          <w:szCs w:val="22"/>
          <w:lang w:val="en-US"/>
        </w:rPr>
        <w:lastRenderedPageBreak/>
        <w:t>paragraph of the Dutch East Indies Civil Code</w:t>
      </w:r>
      <w:r>
        <w:rPr>
          <w:rFonts w:cs="Calibri"/>
          <w:sz w:val="22"/>
          <w:szCs w:val="22"/>
          <w:lang w:val="en-US"/>
        </w:rPr>
        <w:t xml:space="preserve"> of</w:t>
      </w:r>
      <w:r w:rsidRPr="003D0261">
        <w:rPr>
          <w:rFonts w:cs="Calibri"/>
          <w:sz w:val="22"/>
          <w:szCs w:val="22"/>
          <w:lang w:val="en-US"/>
        </w:rPr>
        <w:t xml:space="preserve"> 1896, recognition of the child by a European father led to the </w:t>
      </w:r>
      <w:r>
        <w:rPr>
          <w:rFonts w:cs="Calibri"/>
          <w:sz w:val="22"/>
          <w:szCs w:val="22"/>
          <w:lang w:val="en-US"/>
        </w:rPr>
        <w:t>Indonesian</w:t>
      </w:r>
      <w:r w:rsidRPr="003D0261">
        <w:rPr>
          <w:rFonts w:cs="Calibri"/>
          <w:sz w:val="22"/>
          <w:szCs w:val="22"/>
          <w:lang w:val="en-US"/>
        </w:rPr>
        <w:t xml:space="preserve"> mother automatically losing any legal connection to her child: </w:t>
      </w:r>
    </w:p>
    <w:p w14:paraId="67772A85" w14:textId="77777777" w:rsidR="009847E8" w:rsidRDefault="009847E8" w:rsidP="00DA61CC">
      <w:pPr>
        <w:spacing w:before="240" w:after="240" w:line="276" w:lineRule="auto"/>
        <w:ind w:left="708"/>
        <w:jc w:val="both"/>
        <w:rPr>
          <w:rFonts w:cs="Calibri"/>
          <w:sz w:val="22"/>
          <w:szCs w:val="22"/>
          <w:lang w:val="en-US"/>
        </w:rPr>
      </w:pPr>
      <w:r w:rsidRPr="003D0261">
        <w:rPr>
          <w:rFonts w:cs="Calibri"/>
          <w:sz w:val="22"/>
          <w:szCs w:val="22"/>
          <w:lang w:val="en-US"/>
        </w:rPr>
        <w:t>‘By the acknowledgment of a natural child whose mother belongs to the indigenous or equivalent population</w:t>
      </w:r>
      <w:r w:rsidRPr="003D0261">
        <w:rPr>
          <w:rFonts w:cs="Calibri"/>
          <w:i/>
          <w:iCs/>
          <w:sz w:val="22"/>
          <w:szCs w:val="22"/>
          <w:lang w:val="en-US"/>
        </w:rPr>
        <w:t xml:space="preserve">, </w:t>
      </w:r>
      <w:r w:rsidRPr="003D0261">
        <w:rPr>
          <w:rFonts w:cs="Calibri"/>
          <w:sz w:val="22"/>
          <w:szCs w:val="22"/>
          <w:lang w:val="en-US"/>
        </w:rPr>
        <w:t>the civil relationships derived from the natural rejection are terminated, without prejudice to the consequences attached to an acknowledgment by the mother, in cases where she is granted the authority to do so upon subsequent marriage to the father’.</w:t>
      </w:r>
      <w:r w:rsidRPr="0035171B">
        <w:rPr>
          <w:vertAlign w:val="superscript"/>
          <w:lang w:val="en-US"/>
        </w:rPr>
        <w:footnoteReference w:id="257"/>
      </w:r>
      <w:r w:rsidRPr="003D0261">
        <w:rPr>
          <w:rFonts w:cs="Calibri"/>
          <w:sz w:val="22"/>
          <w:szCs w:val="22"/>
          <w:lang w:val="en-US"/>
        </w:rPr>
        <w:t xml:space="preserve"> </w:t>
      </w:r>
    </w:p>
    <w:p w14:paraId="61A711B9" w14:textId="77777777" w:rsidR="009847E8" w:rsidRDefault="009847E8" w:rsidP="00884BC9">
      <w:pPr>
        <w:spacing w:before="240" w:after="240" w:line="276" w:lineRule="auto"/>
        <w:ind w:firstLine="284"/>
        <w:jc w:val="both"/>
        <w:rPr>
          <w:rFonts w:cs="Calibri"/>
          <w:sz w:val="22"/>
          <w:szCs w:val="22"/>
          <w:lang w:val="en-US"/>
        </w:rPr>
      </w:pPr>
      <w:r w:rsidRPr="003D0261">
        <w:rPr>
          <w:rFonts w:cs="Calibri"/>
          <w:sz w:val="22"/>
          <w:szCs w:val="22"/>
          <w:lang w:val="en-US"/>
        </w:rPr>
        <w:t xml:space="preserve">This </w:t>
      </w:r>
      <w:r>
        <w:rPr>
          <w:rFonts w:cs="Calibri"/>
          <w:sz w:val="22"/>
          <w:szCs w:val="22"/>
          <w:lang w:val="en-US"/>
        </w:rPr>
        <w:t>provision</w:t>
      </w:r>
      <w:r w:rsidRPr="003D0261">
        <w:rPr>
          <w:rFonts w:cs="Calibri"/>
          <w:sz w:val="22"/>
          <w:szCs w:val="22"/>
          <w:lang w:val="en-US"/>
        </w:rPr>
        <w:t xml:space="preserve"> made it legally possible for a European father, by acknowledging his child, to sever the child’s ties to </w:t>
      </w:r>
      <w:r>
        <w:rPr>
          <w:rFonts w:cs="Calibri"/>
          <w:sz w:val="22"/>
          <w:szCs w:val="22"/>
          <w:lang w:val="en-US"/>
        </w:rPr>
        <w:t>their</w:t>
      </w:r>
      <w:r w:rsidRPr="003D0261">
        <w:rPr>
          <w:rFonts w:cs="Calibri"/>
          <w:sz w:val="22"/>
          <w:szCs w:val="22"/>
          <w:lang w:val="en-US"/>
        </w:rPr>
        <w:t xml:space="preserve"> </w:t>
      </w:r>
      <w:r>
        <w:rPr>
          <w:rFonts w:cs="Calibri"/>
          <w:sz w:val="22"/>
          <w:szCs w:val="22"/>
          <w:lang w:val="en-US"/>
        </w:rPr>
        <w:t>Indonesian</w:t>
      </w:r>
      <w:r w:rsidRPr="003D0261">
        <w:rPr>
          <w:rFonts w:cs="Calibri"/>
          <w:sz w:val="22"/>
          <w:szCs w:val="22"/>
          <w:lang w:val="en-US"/>
        </w:rPr>
        <w:t xml:space="preserve"> mother. However, the article require</w:t>
      </w:r>
      <w:r>
        <w:rPr>
          <w:rFonts w:cs="Calibri"/>
          <w:sz w:val="22"/>
          <w:szCs w:val="22"/>
          <w:lang w:val="en-US"/>
        </w:rPr>
        <w:t>s</w:t>
      </w:r>
      <w:r w:rsidRPr="003D0261">
        <w:rPr>
          <w:rFonts w:cs="Calibri"/>
          <w:sz w:val="22"/>
          <w:szCs w:val="22"/>
          <w:lang w:val="en-US"/>
        </w:rPr>
        <w:t xml:space="preserve"> that the mother consents to his acknowledgement, even if the mother belongs to the </w:t>
      </w:r>
      <w:r>
        <w:rPr>
          <w:rFonts w:cs="Calibri"/>
          <w:sz w:val="22"/>
          <w:szCs w:val="22"/>
          <w:lang w:val="en-US"/>
        </w:rPr>
        <w:t>Indonesian</w:t>
      </w:r>
      <w:r w:rsidRPr="003D0261">
        <w:rPr>
          <w:rFonts w:cs="Calibri"/>
          <w:sz w:val="22"/>
          <w:szCs w:val="22"/>
          <w:lang w:val="en-US"/>
        </w:rPr>
        <w:t xml:space="preserve"> population </w:t>
      </w:r>
      <w:r>
        <w:rPr>
          <w:rFonts w:cs="Calibri"/>
          <w:sz w:val="22"/>
          <w:szCs w:val="22"/>
          <w:lang w:val="en-US"/>
        </w:rPr>
        <w:t>(</w:t>
      </w:r>
      <w:r w:rsidRPr="003D0261">
        <w:rPr>
          <w:rFonts w:cs="Calibri"/>
          <w:sz w:val="22"/>
          <w:szCs w:val="22"/>
          <w:lang w:val="en-US"/>
        </w:rPr>
        <w:t>or</w:t>
      </w:r>
      <w:r>
        <w:rPr>
          <w:rFonts w:cs="Calibri"/>
          <w:sz w:val="22"/>
          <w:szCs w:val="22"/>
          <w:lang w:val="en-US"/>
        </w:rPr>
        <w:t xml:space="preserve"> </w:t>
      </w:r>
      <w:r w:rsidRPr="003D0261">
        <w:rPr>
          <w:rFonts w:cs="Calibri"/>
          <w:sz w:val="22"/>
          <w:szCs w:val="22"/>
          <w:lang w:val="en-US"/>
        </w:rPr>
        <w:t>equivalent to it</w:t>
      </w:r>
      <w:r>
        <w:rPr>
          <w:rFonts w:cs="Calibri"/>
          <w:sz w:val="22"/>
          <w:szCs w:val="22"/>
          <w:lang w:val="en-US"/>
        </w:rPr>
        <w:t>)</w:t>
      </w:r>
      <w:r w:rsidRPr="003D0261">
        <w:rPr>
          <w:rFonts w:cs="Calibri"/>
          <w:sz w:val="22"/>
          <w:szCs w:val="22"/>
          <w:lang w:val="en-US"/>
        </w:rPr>
        <w:t>. Therefore, the father cannot unilaterally acknowledge a child while the mother is alive</w:t>
      </w:r>
      <w:r>
        <w:rPr>
          <w:rFonts w:cs="Calibri"/>
          <w:sz w:val="22"/>
          <w:szCs w:val="22"/>
          <w:lang w:val="en-US"/>
        </w:rPr>
        <w:t xml:space="preserve">. </w:t>
      </w:r>
    </w:p>
    <w:p w14:paraId="615FC524" w14:textId="77777777" w:rsidR="009847E8" w:rsidRDefault="009847E8" w:rsidP="009E1997">
      <w:pPr>
        <w:spacing w:before="240" w:after="240" w:line="276" w:lineRule="auto"/>
        <w:ind w:firstLine="284"/>
        <w:jc w:val="both"/>
        <w:rPr>
          <w:rFonts w:cs="Calibri"/>
          <w:sz w:val="22"/>
          <w:szCs w:val="22"/>
          <w:lang w:val="en-US"/>
        </w:rPr>
      </w:pPr>
      <w:r w:rsidRPr="003D0261">
        <w:rPr>
          <w:rFonts w:cs="Calibri"/>
          <w:sz w:val="22"/>
          <w:szCs w:val="22"/>
          <w:lang w:val="en-US"/>
        </w:rPr>
        <w:t>If the person exercising parental authority (mainly the father) is dissatisfied with the conduct of his child, he may order that child to be placed in a state or private institution to be designated by the Council of Justice.</w:t>
      </w:r>
      <w:r>
        <w:rPr>
          <w:rStyle w:val="FootnoteReference"/>
          <w:rFonts w:cs="Calibri"/>
          <w:sz w:val="22"/>
          <w:szCs w:val="22"/>
          <w:lang w:val="en-US"/>
        </w:rPr>
        <w:footnoteReference w:id="258"/>
      </w:r>
      <w:r w:rsidRPr="003D0261">
        <w:rPr>
          <w:rFonts w:cs="Calibri"/>
          <w:sz w:val="22"/>
          <w:szCs w:val="22"/>
          <w:lang w:val="en-US"/>
        </w:rPr>
        <w:t xml:space="preserve"> If the father was absent, parental authority </w:t>
      </w:r>
      <w:r>
        <w:rPr>
          <w:rFonts w:cs="Calibri"/>
          <w:sz w:val="22"/>
          <w:szCs w:val="22"/>
          <w:lang w:val="en-US"/>
        </w:rPr>
        <w:t>was</w:t>
      </w:r>
      <w:r w:rsidRPr="003D0261">
        <w:rPr>
          <w:rFonts w:cs="Calibri"/>
          <w:sz w:val="22"/>
          <w:szCs w:val="22"/>
          <w:lang w:val="en-US"/>
        </w:rPr>
        <w:t xml:space="preserve"> passed to the Council of Justice instead of the mother. The Council then appoint</w:t>
      </w:r>
      <w:r>
        <w:rPr>
          <w:rFonts w:cs="Calibri"/>
          <w:sz w:val="22"/>
          <w:szCs w:val="22"/>
          <w:lang w:val="en-US"/>
        </w:rPr>
        <w:t>ed guardianship to</w:t>
      </w:r>
      <w:r w:rsidRPr="003D0261">
        <w:rPr>
          <w:rFonts w:cs="Calibri"/>
          <w:sz w:val="22"/>
          <w:szCs w:val="22"/>
          <w:lang w:val="en-US"/>
        </w:rPr>
        <w:t xml:space="preserve"> state or private institutions of charity.</w:t>
      </w:r>
      <w:r>
        <w:rPr>
          <w:rStyle w:val="FootnoteReference"/>
          <w:rFonts w:cs="Calibri"/>
          <w:sz w:val="22"/>
          <w:szCs w:val="22"/>
          <w:lang w:val="en-US"/>
        </w:rPr>
        <w:footnoteReference w:id="259"/>
      </w:r>
      <w:r w:rsidRPr="003D0261">
        <w:rPr>
          <w:rFonts w:cs="Calibri"/>
          <w:sz w:val="22"/>
          <w:szCs w:val="22"/>
          <w:lang w:val="en-US"/>
        </w:rPr>
        <w:t xml:space="preserve"> The Indonesian mother is </w:t>
      </w:r>
      <w:r>
        <w:rPr>
          <w:rFonts w:cs="Calibri"/>
          <w:sz w:val="22"/>
          <w:szCs w:val="22"/>
          <w:lang w:val="en-US"/>
        </w:rPr>
        <w:t>virtually</w:t>
      </w:r>
      <w:r w:rsidRPr="003D0261">
        <w:rPr>
          <w:rFonts w:cs="Calibri"/>
          <w:sz w:val="22"/>
          <w:szCs w:val="22"/>
          <w:lang w:val="en-US"/>
        </w:rPr>
        <w:t xml:space="preserve"> rightless in her possibility to fight the termination of her parental authority: although the parent whose custodial rights are taken away may have the right to appeal against such a decision,</w:t>
      </w:r>
      <w:r>
        <w:rPr>
          <w:rStyle w:val="FootnoteReference"/>
          <w:rFonts w:cs="Calibri"/>
          <w:sz w:val="22"/>
          <w:szCs w:val="22"/>
          <w:lang w:val="en-US"/>
        </w:rPr>
        <w:footnoteReference w:id="260"/>
      </w:r>
      <w:r w:rsidRPr="003D0261">
        <w:rPr>
          <w:rFonts w:cs="Calibri"/>
          <w:sz w:val="22"/>
          <w:szCs w:val="22"/>
          <w:lang w:val="en-US"/>
        </w:rPr>
        <w:t xml:space="preserve"> it is noted that the fourteenth title of the code, under which these </w:t>
      </w:r>
      <w:r>
        <w:rPr>
          <w:rFonts w:cs="Calibri"/>
          <w:sz w:val="22"/>
          <w:szCs w:val="22"/>
          <w:lang w:val="en-US"/>
        </w:rPr>
        <w:t>provisions</w:t>
      </w:r>
      <w:r w:rsidRPr="003D0261">
        <w:rPr>
          <w:rFonts w:cs="Calibri"/>
          <w:sz w:val="22"/>
          <w:szCs w:val="22"/>
          <w:lang w:val="en-US"/>
        </w:rPr>
        <w:t xml:space="preserve"> fall, are ‘not applicable to foreign Orientals</w:t>
      </w:r>
      <w:r>
        <w:rPr>
          <w:rFonts w:cs="Calibri"/>
          <w:sz w:val="22"/>
          <w:szCs w:val="22"/>
          <w:lang w:val="en-US"/>
        </w:rPr>
        <w:t xml:space="preserve"> and natives</w:t>
      </w:r>
      <w:r w:rsidRPr="003D0261">
        <w:rPr>
          <w:rFonts w:cs="Calibri"/>
          <w:sz w:val="22"/>
          <w:szCs w:val="22"/>
          <w:lang w:val="en-US"/>
        </w:rPr>
        <w:t>’.</w:t>
      </w:r>
      <w:r>
        <w:rPr>
          <w:rStyle w:val="FootnoteReference"/>
          <w:rFonts w:cs="Calibri"/>
          <w:sz w:val="22"/>
          <w:szCs w:val="22"/>
          <w:lang w:val="en-US"/>
        </w:rPr>
        <w:footnoteReference w:id="261"/>
      </w:r>
      <w:r w:rsidRPr="009E1997">
        <w:rPr>
          <w:rFonts w:cs="Calibri"/>
          <w:sz w:val="22"/>
          <w:szCs w:val="22"/>
          <w:lang w:val="en-US"/>
        </w:rPr>
        <w:t xml:space="preserve"> </w:t>
      </w:r>
      <w:r>
        <w:rPr>
          <w:rFonts w:cs="Calibri"/>
          <w:sz w:val="22"/>
          <w:szCs w:val="22"/>
          <w:lang w:val="en-US"/>
        </w:rPr>
        <w:t>In many Council of Justice rulings on legal guardianship, the court often merely states the legal grounds based on which guardianship is taken away from a parent, and that the reason the guardianship is taken away is that the child will otherwise be neglected. The guardianship is then transferred to the custody council, who will put the child in an orphanage.</w:t>
      </w:r>
      <w:r>
        <w:rPr>
          <w:rStyle w:val="FootnoteReference"/>
          <w:rFonts w:cs="Calibri"/>
          <w:sz w:val="22"/>
          <w:szCs w:val="22"/>
          <w:lang w:val="en-US"/>
        </w:rPr>
        <w:footnoteReference w:id="262"/>
      </w:r>
      <w:r>
        <w:rPr>
          <w:rFonts w:cs="Calibri"/>
          <w:sz w:val="22"/>
          <w:szCs w:val="22"/>
          <w:lang w:val="en-US"/>
        </w:rPr>
        <w:t xml:space="preserve"> </w:t>
      </w:r>
    </w:p>
    <w:p w14:paraId="321AD53D" w14:textId="77777777" w:rsidR="009847E8" w:rsidRDefault="009847E8" w:rsidP="00D4065E">
      <w:pPr>
        <w:spacing w:before="240" w:after="240" w:line="276" w:lineRule="auto"/>
        <w:ind w:firstLine="284"/>
        <w:jc w:val="both"/>
        <w:rPr>
          <w:rFonts w:cs="Calibri"/>
          <w:sz w:val="22"/>
          <w:szCs w:val="22"/>
          <w:lang w:val="en-US"/>
        </w:rPr>
      </w:pPr>
      <w:r>
        <w:rPr>
          <w:rFonts w:cs="Calibri"/>
          <w:sz w:val="22"/>
          <w:szCs w:val="22"/>
          <w:lang w:val="en-US"/>
        </w:rPr>
        <w:t xml:space="preserve">The right to remove parental authority from parents is granted to orphanages or state institutions such as Pro Juventute, as shown by F.M.G. van Walsem. Such institutions may request the removal of guardianship with the Dutch East Indies Council of Justice: </w:t>
      </w:r>
    </w:p>
    <w:p w14:paraId="4A7352DC" w14:textId="77777777" w:rsidR="009847E8" w:rsidRDefault="009847E8" w:rsidP="00D4065E">
      <w:pPr>
        <w:spacing w:before="240" w:after="240" w:line="276" w:lineRule="auto"/>
        <w:ind w:left="708"/>
        <w:jc w:val="both"/>
        <w:rPr>
          <w:rFonts w:cs="Calibri"/>
          <w:sz w:val="22"/>
          <w:szCs w:val="22"/>
          <w:lang w:val="en-US"/>
        </w:rPr>
      </w:pPr>
      <w:r>
        <w:rPr>
          <w:rFonts w:cs="Calibri"/>
          <w:sz w:val="22"/>
          <w:szCs w:val="22"/>
          <w:lang w:val="en-US"/>
        </w:rPr>
        <w:lastRenderedPageBreak/>
        <w:t>‘</w:t>
      </w:r>
      <w:r w:rsidRPr="001E0274">
        <w:rPr>
          <w:rFonts w:cs="Calibri"/>
          <w:sz w:val="22"/>
          <w:szCs w:val="22"/>
          <w:lang w:val="en-US"/>
        </w:rPr>
        <w:t>If the guardian in question is a father or a mother</w:t>
      </w:r>
      <w:r>
        <w:rPr>
          <w:rFonts w:cs="Calibri"/>
          <w:sz w:val="22"/>
          <w:szCs w:val="22"/>
          <w:lang w:val="en-US"/>
        </w:rPr>
        <w:t xml:space="preserve"> </w:t>
      </w:r>
      <w:r w:rsidRPr="001E0274">
        <w:rPr>
          <w:rFonts w:cs="Calibri"/>
          <w:sz w:val="22"/>
          <w:szCs w:val="22"/>
          <w:lang w:val="en-US"/>
        </w:rPr>
        <w:t>who leads a notoriously dissolute life, or who demonstrates</w:t>
      </w:r>
      <w:r>
        <w:rPr>
          <w:rFonts w:cs="Calibri"/>
          <w:sz w:val="22"/>
          <w:szCs w:val="22"/>
          <w:lang w:val="en-US"/>
        </w:rPr>
        <w:t xml:space="preserve"> </w:t>
      </w:r>
      <w:r w:rsidRPr="001E0274">
        <w:rPr>
          <w:rFonts w:cs="Calibri"/>
          <w:sz w:val="22"/>
          <w:szCs w:val="22"/>
          <w:lang w:val="en-US"/>
        </w:rPr>
        <w:t>negligence in the exercise of guardianship, then</w:t>
      </w:r>
      <w:r>
        <w:rPr>
          <w:rFonts w:cs="Calibri"/>
          <w:sz w:val="22"/>
          <w:szCs w:val="22"/>
          <w:lang w:val="en-US"/>
        </w:rPr>
        <w:t xml:space="preserve"> </w:t>
      </w:r>
      <w:r w:rsidRPr="001E0274">
        <w:rPr>
          <w:rFonts w:cs="Calibri"/>
          <w:sz w:val="22"/>
          <w:szCs w:val="22"/>
          <w:lang w:val="en-US"/>
        </w:rPr>
        <w:t xml:space="preserve">“Pro Juventute” shall </w:t>
      </w:r>
      <w:r>
        <w:rPr>
          <w:rFonts w:cs="Calibri"/>
          <w:sz w:val="22"/>
          <w:szCs w:val="22"/>
          <w:lang w:val="en-US"/>
        </w:rPr>
        <w:t xml:space="preserve">(…)  turn </w:t>
      </w:r>
      <w:r w:rsidRPr="001E0274">
        <w:rPr>
          <w:rFonts w:cs="Calibri"/>
          <w:sz w:val="22"/>
          <w:szCs w:val="22"/>
          <w:lang w:val="en-US"/>
        </w:rPr>
        <w:t>to the Orphanage Board or to</w:t>
      </w:r>
      <w:r>
        <w:rPr>
          <w:rFonts w:cs="Calibri"/>
          <w:sz w:val="22"/>
          <w:szCs w:val="22"/>
          <w:lang w:val="en-US"/>
        </w:rPr>
        <w:t xml:space="preserve"> </w:t>
      </w:r>
      <w:r w:rsidRPr="001E0274">
        <w:rPr>
          <w:rFonts w:cs="Calibri"/>
          <w:sz w:val="22"/>
          <w:szCs w:val="22"/>
          <w:lang w:val="en-US"/>
        </w:rPr>
        <w:t>the Public Prosecutor with a request</w:t>
      </w:r>
      <w:r>
        <w:rPr>
          <w:rFonts w:cs="Calibri"/>
          <w:sz w:val="22"/>
          <w:szCs w:val="22"/>
          <w:lang w:val="en-US"/>
        </w:rPr>
        <w:t xml:space="preserve"> </w:t>
      </w:r>
      <w:r w:rsidRPr="001E0274">
        <w:rPr>
          <w:rFonts w:cs="Calibri"/>
          <w:sz w:val="22"/>
          <w:szCs w:val="22"/>
          <w:lang w:val="en-US"/>
        </w:rPr>
        <w:t>to bring the matter of removal from guardianship before the Council of Justice,</w:t>
      </w:r>
      <w:r>
        <w:rPr>
          <w:rFonts w:cs="Calibri"/>
          <w:sz w:val="22"/>
          <w:szCs w:val="22"/>
          <w:lang w:val="en-US"/>
        </w:rPr>
        <w:t xml:space="preserve"> </w:t>
      </w:r>
      <w:r w:rsidRPr="001E0274">
        <w:rPr>
          <w:rFonts w:cs="Calibri"/>
          <w:sz w:val="22"/>
          <w:szCs w:val="22"/>
          <w:lang w:val="en-US"/>
        </w:rPr>
        <w:t>stating that “Pro</w:t>
      </w:r>
      <w:r>
        <w:rPr>
          <w:rFonts w:cs="Calibri"/>
          <w:sz w:val="22"/>
          <w:szCs w:val="22"/>
          <w:lang w:val="en-US"/>
        </w:rPr>
        <w:t xml:space="preserve"> </w:t>
      </w:r>
      <w:r w:rsidRPr="001E0274">
        <w:rPr>
          <w:rFonts w:cs="Calibri"/>
          <w:sz w:val="22"/>
          <w:szCs w:val="22"/>
          <w:lang w:val="en-US"/>
        </w:rPr>
        <w:t>Juventute” will ensure that suitable placements are found for the children in a timely manner,</w:t>
      </w:r>
      <w:r>
        <w:rPr>
          <w:rFonts w:cs="Calibri"/>
          <w:sz w:val="22"/>
          <w:szCs w:val="22"/>
          <w:lang w:val="en-US"/>
        </w:rPr>
        <w:t xml:space="preserve"> </w:t>
      </w:r>
      <w:r w:rsidRPr="001E0274">
        <w:rPr>
          <w:rFonts w:cs="Calibri"/>
          <w:sz w:val="22"/>
          <w:szCs w:val="22"/>
          <w:lang w:val="en-US"/>
        </w:rPr>
        <w:t>either in institutions or with eligible</w:t>
      </w:r>
      <w:r>
        <w:rPr>
          <w:rFonts w:cs="Calibri"/>
          <w:sz w:val="22"/>
          <w:szCs w:val="22"/>
          <w:lang w:val="en-US"/>
        </w:rPr>
        <w:t xml:space="preserve"> </w:t>
      </w:r>
      <w:r w:rsidRPr="001E0274">
        <w:rPr>
          <w:rFonts w:cs="Calibri"/>
          <w:sz w:val="22"/>
          <w:szCs w:val="22"/>
          <w:lang w:val="en-US"/>
        </w:rPr>
        <w:t xml:space="preserve">families, </w:t>
      </w:r>
      <w:r>
        <w:rPr>
          <w:rFonts w:cs="Calibri"/>
          <w:sz w:val="22"/>
          <w:szCs w:val="22"/>
          <w:lang w:val="en-US"/>
        </w:rPr>
        <w:t>(...)</w:t>
      </w:r>
      <w:r w:rsidRPr="001E0274">
        <w:rPr>
          <w:rFonts w:cs="Calibri"/>
          <w:sz w:val="22"/>
          <w:szCs w:val="22"/>
          <w:lang w:val="en-US"/>
        </w:rPr>
        <w:t>,</w:t>
      </w:r>
      <w:r>
        <w:rPr>
          <w:rFonts w:cs="Calibri"/>
          <w:sz w:val="22"/>
          <w:szCs w:val="22"/>
          <w:lang w:val="en-US"/>
        </w:rPr>
        <w:t xml:space="preserve"> </w:t>
      </w:r>
      <w:r w:rsidRPr="001E0274">
        <w:rPr>
          <w:rFonts w:cs="Calibri"/>
          <w:sz w:val="22"/>
          <w:szCs w:val="22"/>
          <w:lang w:val="en-US"/>
        </w:rPr>
        <w:t>while in urgent cases, the necessity will</w:t>
      </w:r>
      <w:r>
        <w:rPr>
          <w:rFonts w:cs="Calibri"/>
          <w:sz w:val="22"/>
          <w:szCs w:val="22"/>
          <w:lang w:val="en-US"/>
        </w:rPr>
        <w:t xml:space="preserve"> </w:t>
      </w:r>
      <w:r w:rsidRPr="001E0274">
        <w:rPr>
          <w:rFonts w:cs="Calibri"/>
          <w:sz w:val="22"/>
          <w:szCs w:val="22"/>
          <w:lang w:val="en-US"/>
        </w:rPr>
        <w:t>that the Council of Justice exercise</w:t>
      </w:r>
      <w:r>
        <w:rPr>
          <w:rFonts w:cs="Calibri"/>
          <w:sz w:val="22"/>
          <w:szCs w:val="22"/>
          <w:lang w:val="en-US"/>
        </w:rPr>
        <w:t xml:space="preserve"> </w:t>
      </w:r>
      <w:r w:rsidRPr="001E0274">
        <w:rPr>
          <w:rFonts w:cs="Calibri"/>
          <w:sz w:val="22"/>
          <w:szCs w:val="22"/>
          <w:lang w:val="en-US"/>
        </w:rPr>
        <w:t>the authority granted to it by law</w:t>
      </w:r>
      <w:r>
        <w:rPr>
          <w:rFonts w:cs="Calibri"/>
          <w:sz w:val="22"/>
          <w:szCs w:val="22"/>
          <w:lang w:val="en-US"/>
        </w:rPr>
        <w:t xml:space="preserve"> </w:t>
      </w:r>
      <w:r w:rsidRPr="001E0274">
        <w:rPr>
          <w:rFonts w:cs="Calibri"/>
          <w:sz w:val="22"/>
          <w:szCs w:val="22"/>
          <w:lang w:val="en-US"/>
        </w:rPr>
        <w:t>(</w:t>
      </w:r>
      <w:r>
        <w:rPr>
          <w:rFonts w:cs="Calibri"/>
          <w:sz w:val="22"/>
          <w:szCs w:val="22"/>
          <w:lang w:val="en-US"/>
        </w:rPr>
        <w:t>under article</w:t>
      </w:r>
      <w:r w:rsidRPr="001E0274">
        <w:rPr>
          <w:rFonts w:cs="Calibri"/>
          <w:sz w:val="22"/>
          <w:szCs w:val="22"/>
          <w:lang w:val="en-US"/>
        </w:rPr>
        <w:t xml:space="preserve"> 382 of the Civil Code) to suspend the guardian, pending the proceedings,</w:t>
      </w:r>
      <w:r>
        <w:rPr>
          <w:rFonts w:cs="Calibri"/>
          <w:sz w:val="22"/>
          <w:szCs w:val="22"/>
          <w:lang w:val="en-US"/>
        </w:rPr>
        <w:t xml:space="preserve"> </w:t>
      </w:r>
      <w:r w:rsidRPr="001E0274">
        <w:rPr>
          <w:rFonts w:cs="Calibri"/>
          <w:sz w:val="22"/>
          <w:szCs w:val="22"/>
          <w:lang w:val="en-US"/>
        </w:rPr>
        <w:t>even while he is still performing his duties,</w:t>
      </w:r>
      <w:r>
        <w:rPr>
          <w:rFonts w:cs="Calibri"/>
          <w:sz w:val="22"/>
          <w:szCs w:val="22"/>
          <w:lang w:val="en-US"/>
        </w:rPr>
        <w:t xml:space="preserve"> </w:t>
      </w:r>
      <w:r w:rsidRPr="001E0274">
        <w:rPr>
          <w:rFonts w:cs="Calibri"/>
          <w:sz w:val="22"/>
          <w:szCs w:val="22"/>
          <w:lang w:val="en-US"/>
        </w:rPr>
        <w:t>in order to immediately remove the children from the harmful influence</w:t>
      </w:r>
      <w:r>
        <w:rPr>
          <w:rFonts w:cs="Calibri"/>
          <w:sz w:val="22"/>
          <w:szCs w:val="22"/>
          <w:lang w:val="en-US"/>
        </w:rPr>
        <w:t xml:space="preserve"> </w:t>
      </w:r>
      <w:r w:rsidRPr="001E0274">
        <w:rPr>
          <w:rFonts w:cs="Calibri"/>
          <w:sz w:val="22"/>
          <w:szCs w:val="22"/>
          <w:lang w:val="en-US"/>
        </w:rPr>
        <w:t>and have them placed in institutions or families</w:t>
      </w:r>
      <w:r>
        <w:rPr>
          <w:rFonts w:cs="Calibri"/>
          <w:sz w:val="22"/>
          <w:szCs w:val="22"/>
          <w:lang w:val="en-US"/>
        </w:rPr>
        <w:t>.’</w:t>
      </w:r>
      <w:r>
        <w:rPr>
          <w:rStyle w:val="FootnoteReference"/>
          <w:rFonts w:cs="Calibri"/>
          <w:sz w:val="22"/>
          <w:szCs w:val="22"/>
          <w:lang w:val="en-US"/>
        </w:rPr>
        <w:footnoteReference w:id="263"/>
      </w:r>
    </w:p>
    <w:p w14:paraId="453EA99F" w14:textId="77777777" w:rsidR="009847E8" w:rsidRDefault="009847E8" w:rsidP="00DA61CC">
      <w:pPr>
        <w:spacing w:before="240" w:after="240" w:line="276" w:lineRule="auto"/>
        <w:ind w:firstLine="284"/>
        <w:jc w:val="both"/>
        <w:rPr>
          <w:rFonts w:cs="Calibri"/>
          <w:sz w:val="22"/>
          <w:szCs w:val="22"/>
          <w:lang w:val="en-US"/>
        </w:rPr>
      </w:pPr>
      <w:r>
        <w:rPr>
          <w:rFonts w:cs="Calibri"/>
          <w:sz w:val="22"/>
          <w:szCs w:val="22"/>
          <w:lang w:val="en-US"/>
        </w:rPr>
        <w:t>However, there has been an occasion when an Indonesian mother appealed against the termination of her parental authority. On 23 April 1936, the Indies Supreme Court ruled on a request by an unmarried, Indonesian mother, to regain custody of her child, who was in the care of the Orphanage Board.</w:t>
      </w:r>
      <w:r>
        <w:rPr>
          <w:rStyle w:val="FootnoteReference"/>
          <w:rFonts w:cs="Calibri"/>
          <w:sz w:val="22"/>
          <w:szCs w:val="22"/>
          <w:lang w:val="en-US"/>
        </w:rPr>
        <w:footnoteReference w:id="264"/>
      </w:r>
      <w:r>
        <w:rPr>
          <w:rFonts w:cs="Calibri"/>
          <w:sz w:val="22"/>
          <w:szCs w:val="22"/>
          <w:lang w:val="en-US"/>
        </w:rPr>
        <w:t xml:space="preserve"> The court ruled that, as the child received their father’s surname and was declared subject to the European legal provisions, against which the mother failed to appeal, it appeared as though the mother </w:t>
      </w:r>
      <w:r w:rsidRPr="00812718">
        <w:rPr>
          <w:rFonts w:cs="Calibri"/>
          <w:i/>
          <w:iCs/>
          <w:sz w:val="22"/>
          <w:szCs w:val="22"/>
          <w:lang w:val="en-US"/>
        </w:rPr>
        <w:t>wanted</w:t>
      </w:r>
      <w:r>
        <w:rPr>
          <w:rFonts w:cs="Calibri"/>
          <w:sz w:val="22"/>
          <w:szCs w:val="22"/>
          <w:lang w:val="en-US"/>
        </w:rPr>
        <w:t xml:space="preserve"> to transfer custody to the child’s father. According to adat law, the Court concludes, the mother has indeed lost her custody, and the European father legitimately became the child’s legal guardian.</w:t>
      </w:r>
      <w:r>
        <w:rPr>
          <w:rStyle w:val="FootnoteReference"/>
          <w:rFonts w:cs="Calibri"/>
          <w:sz w:val="22"/>
          <w:szCs w:val="22"/>
          <w:lang w:val="en-US"/>
        </w:rPr>
        <w:footnoteReference w:id="265"/>
      </w:r>
      <w:r>
        <w:rPr>
          <w:rFonts w:cs="Calibri"/>
          <w:sz w:val="22"/>
          <w:szCs w:val="22"/>
          <w:lang w:val="en-US"/>
        </w:rPr>
        <w:t xml:space="preserve"> </w:t>
      </w:r>
    </w:p>
    <w:p w14:paraId="0FFE2197" w14:textId="77777777" w:rsidR="009847E8" w:rsidRDefault="009847E8" w:rsidP="00F818E5">
      <w:pPr>
        <w:spacing w:before="240" w:after="240" w:line="276" w:lineRule="auto"/>
        <w:ind w:firstLine="284"/>
        <w:jc w:val="both"/>
        <w:rPr>
          <w:rFonts w:cs="Calibri"/>
          <w:sz w:val="22"/>
          <w:szCs w:val="22"/>
          <w:lang w:val="en-US"/>
        </w:rPr>
      </w:pPr>
      <w:r>
        <w:rPr>
          <w:rFonts w:cs="Calibri"/>
          <w:sz w:val="22"/>
          <w:szCs w:val="22"/>
          <w:lang w:val="en-US"/>
        </w:rPr>
        <w:t>Furthermore, the Dutch East Indies legal system firmly distinguished between marital and extramarital relationship, where single Indonesian mothers would be considered unable to provide her children with a proper upbringing, as becomes evident from a Supreme Court ruling of 19 December 1935.</w:t>
      </w:r>
      <w:r w:rsidRPr="001D6CB4">
        <w:rPr>
          <w:rFonts w:cs="Calibri"/>
          <w:sz w:val="22"/>
          <w:szCs w:val="22"/>
          <w:lang w:val="en-US"/>
        </w:rPr>
        <w:t xml:space="preserve"> </w:t>
      </w:r>
      <w:r>
        <w:rPr>
          <w:rFonts w:cs="Calibri"/>
          <w:sz w:val="22"/>
          <w:szCs w:val="22"/>
          <w:lang w:val="en-US"/>
        </w:rPr>
        <w:t>Following an appeal to a custody order, the Supreme Court of the Dutch East Indies decided in a case where a European man requested to be appointed as legal guardian over his children. The children were born out of an extramarital relationship in concubinage. According to the court, ‘life as a concubine generally constitutes a serious obstacle to appointment as a guardian, but there is no fixed rule on this matter’.</w:t>
      </w:r>
      <w:r>
        <w:rPr>
          <w:rStyle w:val="FootnoteReference"/>
          <w:rFonts w:cs="Calibri"/>
          <w:sz w:val="22"/>
          <w:szCs w:val="22"/>
          <w:lang w:val="en-US"/>
        </w:rPr>
        <w:footnoteReference w:id="266"/>
      </w:r>
    </w:p>
    <w:p w14:paraId="235B55C1" w14:textId="77777777" w:rsidR="009847E8" w:rsidRDefault="009847E8" w:rsidP="00F818E5">
      <w:pPr>
        <w:spacing w:before="240" w:after="240" w:line="276" w:lineRule="auto"/>
        <w:ind w:firstLine="284"/>
        <w:jc w:val="both"/>
        <w:rPr>
          <w:rFonts w:cs="Calibri"/>
          <w:sz w:val="22"/>
          <w:szCs w:val="22"/>
          <w:lang w:val="en-US"/>
        </w:rPr>
      </w:pPr>
      <w:r>
        <w:rPr>
          <w:rFonts w:cs="Calibri"/>
          <w:sz w:val="22"/>
          <w:szCs w:val="22"/>
          <w:lang w:val="en-US"/>
        </w:rPr>
        <w:t>However, the parents were already legally married, so the extramarital relationship no longer existed</w:t>
      </w:r>
      <w:r w:rsidRPr="00F16490">
        <w:rPr>
          <w:rFonts w:cs="Calibri"/>
          <w:sz w:val="22"/>
          <w:szCs w:val="22"/>
          <w:lang w:val="en-US"/>
        </w:rPr>
        <w:t>.</w:t>
      </w:r>
      <w:r>
        <w:rPr>
          <w:rStyle w:val="FootnoteReference"/>
          <w:rFonts w:cs="Calibri"/>
          <w:sz w:val="22"/>
          <w:szCs w:val="22"/>
          <w:lang w:val="en-US"/>
        </w:rPr>
        <w:footnoteReference w:id="267"/>
      </w:r>
      <w:r>
        <w:rPr>
          <w:rFonts w:cs="Calibri"/>
          <w:sz w:val="22"/>
          <w:szCs w:val="22"/>
          <w:lang w:val="en-US"/>
        </w:rPr>
        <w:t xml:space="preserve"> Here, the court’s reasoning in this ruling marks a strikingly progressive turn: what was considered of the utmost importance to awarding guardianship is the best interest of the minor. In this case this meant having his mother remain as his guardian. Since</w:t>
      </w:r>
      <w:r w:rsidRPr="00F16490">
        <w:rPr>
          <w:rFonts w:cs="Calibri"/>
          <w:sz w:val="22"/>
          <w:szCs w:val="22"/>
          <w:lang w:val="en-US"/>
        </w:rPr>
        <w:t xml:space="preserve"> 1926,</w:t>
      </w:r>
      <w:r>
        <w:rPr>
          <w:rFonts w:cs="Calibri"/>
          <w:sz w:val="22"/>
          <w:szCs w:val="22"/>
          <w:lang w:val="en-US"/>
        </w:rPr>
        <w:t xml:space="preserve"> she </w:t>
      </w:r>
      <w:r w:rsidRPr="00F16490">
        <w:rPr>
          <w:rFonts w:cs="Calibri"/>
          <w:sz w:val="22"/>
          <w:szCs w:val="22"/>
          <w:lang w:val="en-US"/>
        </w:rPr>
        <w:t xml:space="preserve">had continuously </w:t>
      </w:r>
      <w:r>
        <w:rPr>
          <w:rFonts w:cs="Calibri"/>
          <w:sz w:val="22"/>
          <w:szCs w:val="22"/>
          <w:lang w:val="en-US"/>
        </w:rPr>
        <w:t>raised</w:t>
      </w:r>
      <w:r w:rsidRPr="00F16490">
        <w:rPr>
          <w:rFonts w:cs="Calibri"/>
          <w:sz w:val="22"/>
          <w:szCs w:val="22"/>
          <w:lang w:val="en-US"/>
        </w:rPr>
        <w:t xml:space="preserve"> the child, who was now used to that environment.</w:t>
      </w:r>
      <w:r>
        <w:rPr>
          <w:rFonts w:cs="Calibri"/>
          <w:sz w:val="22"/>
          <w:szCs w:val="22"/>
          <w:lang w:val="en-US"/>
        </w:rPr>
        <w:t xml:space="preserve"> His father</w:t>
      </w:r>
      <w:r w:rsidRPr="00F16490">
        <w:rPr>
          <w:rFonts w:cs="Calibri"/>
          <w:sz w:val="22"/>
          <w:szCs w:val="22"/>
          <w:lang w:val="en-US"/>
        </w:rPr>
        <w:t>'s plans were either to leave the child's upbringing largely to his second wife, to place the boy in a</w:t>
      </w:r>
      <w:r>
        <w:rPr>
          <w:rFonts w:cs="Calibri"/>
          <w:sz w:val="22"/>
          <w:szCs w:val="22"/>
          <w:lang w:val="en-US"/>
        </w:rPr>
        <w:t xml:space="preserve">n </w:t>
      </w:r>
      <w:r w:rsidRPr="00F16490">
        <w:rPr>
          <w:rFonts w:cs="Calibri"/>
          <w:sz w:val="22"/>
          <w:szCs w:val="22"/>
          <w:lang w:val="en-US"/>
        </w:rPr>
        <w:t xml:space="preserve">institution or send him to the Netherlands. The court </w:t>
      </w:r>
      <w:r>
        <w:rPr>
          <w:rFonts w:cs="Calibri"/>
          <w:sz w:val="22"/>
          <w:szCs w:val="22"/>
          <w:lang w:val="en-US"/>
        </w:rPr>
        <w:t>ruled</w:t>
      </w:r>
      <w:r w:rsidRPr="00F16490">
        <w:rPr>
          <w:rFonts w:cs="Calibri"/>
          <w:sz w:val="22"/>
          <w:szCs w:val="22"/>
          <w:lang w:val="en-US"/>
        </w:rPr>
        <w:t xml:space="preserve"> that there were no grounds to justify </w:t>
      </w:r>
      <w:r>
        <w:rPr>
          <w:rFonts w:cs="Calibri"/>
          <w:sz w:val="22"/>
          <w:szCs w:val="22"/>
          <w:lang w:val="en-US"/>
        </w:rPr>
        <w:t>‘</w:t>
      </w:r>
      <w:r w:rsidRPr="00F16490">
        <w:rPr>
          <w:rFonts w:cs="Calibri"/>
          <w:sz w:val="22"/>
          <w:szCs w:val="22"/>
          <w:lang w:val="en-US"/>
        </w:rPr>
        <w:t xml:space="preserve">uprooting </w:t>
      </w:r>
      <w:r w:rsidRPr="00F16490">
        <w:rPr>
          <w:rFonts w:cs="Calibri"/>
          <w:sz w:val="22"/>
          <w:szCs w:val="22"/>
          <w:lang w:val="en-US"/>
        </w:rPr>
        <w:lastRenderedPageBreak/>
        <w:t>the child from his familiar environment</w:t>
      </w:r>
      <w:r>
        <w:rPr>
          <w:rFonts w:cs="Calibri"/>
          <w:sz w:val="22"/>
          <w:szCs w:val="22"/>
          <w:lang w:val="en-US"/>
        </w:rPr>
        <w:t>’</w:t>
      </w:r>
      <w:r w:rsidRPr="00F16490">
        <w:rPr>
          <w:rFonts w:cs="Calibri"/>
          <w:sz w:val="22"/>
          <w:szCs w:val="22"/>
          <w:lang w:val="en-US"/>
        </w:rPr>
        <w:t xml:space="preserve"> for an alternative that offered no assurance of being better for him</w:t>
      </w:r>
      <w:r>
        <w:rPr>
          <w:rFonts w:cs="Calibri"/>
          <w:sz w:val="22"/>
          <w:szCs w:val="22"/>
          <w:lang w:val="en-US"/>
        </w:rPr>
        <w:t>.</w:t>
      </w:r>
      <w:r>
        <w:rPr>
          <w:rStyle w:val="FootnoteReference"/>
          <w:rFonts w:cs="Calibri"/>
          <w:sz w:val="22"/>
          <w:szCs w:val="22"/>
          <w:lang w:val="en-US"/>
        </w:rPr>
        <w:footnoteReference w:id="268"/>
      </w:r>
      <w:r>
        <w:rPr>
          <w:rFonts w:cs="Calibri"/>
          <w:sz w:val="22"/>
          <w:szCs w:val="22"/>
          <w:lang w:val="en-US"/>
        </w:rPr>
        <w:t xml:space="preserve"> </w:t>
      </w:r>
    </w:p>
    <w:p w14:paraId="01F593ED" w14:textId="77777777" w:rsidR="009847E8" w:rsidRDefault="009847E8" w:rsidP="0001459B">
      <w:pPr>
        <w:spacing w:before="240" w:after="240" w:line="276" w:lineRule="auto"/>
        <w:ind w:firstLine="284"/>
        <w:jc w:val="both"/>
        <w:rPr>
          <w:rFonts w:cs="Calibri"/>
          <w:sz w:val="22"/>
          <w:szCs w:val="22"/>
          <w:lang w:val="en-US"/>
        </w:rPr>
      </w:pPr>
      <w:r>
        <w:rPr>
          <w:rFonts w:cs="Calibri"/>
          <w:sz w:val="22"/>
          <w:szCs w:val="22"/>
          <w:lang w:val="en-US"/>
        </w:rPr>
        <w:t xml:space="preserve">Nonetheless, in most cases, the heteronormative, Christian view on ‘good’ sexualities and ‘good’ mothers as being married women remained dominant regarding custody: only married mothers are deemed to be mothers that can be trusted with legal guardianship </w:t>
      </w:r>
      <w:r w:rsidRPr="001D6CB4">
        <w:rPr>
          <w:rFonts w:cs="Calibri"/>
          <w:lang w:val="en-US"/>
        </w:rPr>
        <w:t>–</w:t>
      </w:r>
      <w:r>
        <w:rPr>
          <w:rFonts w:cs="Calibri"/>
          <w:sz w:val="22"/>
          <w:szCs w:val="22"/>
          <w:lang w:val="en-US"/>
        </w:rPr>
        <w:t xml:space="preserve"> mothers whose children were born out of extramarital relationships, such as concubinage, were heavily distrusted.</w:t>
      </w:r>
      <w:r>
        <w:rPr>
          <w:rStyle w:val="FootnoteReference"/>
          <w:rFonts w:cs="Calibri"/>
          <w:sz w:val="22"/>
          <w:szCs w:val="22"/>
          <w:lang w:val="en-US"/>
        </w:rPr>
        <w:footnoteReference w:id="269"/>
      </w:r>
      <w:r>
        <w:rPr>
          <w:rFonts w:cs="Calibri"/>
          <w:sz w:val="22"/>
          <w:szCs w:val="22"/>
          <w:lang w:val="en-US"/>
        </w:rPr>
        <w:t xml:space="preserve"> This also relates to the issue of citizenship: concubines who married their European partner automatically became Europeans, whereas those who did not marry, remained a ‘native’ citizen. This racialized category of citizenship decided to what extent mothers had custody rights over their multiracialized children, and whether the state deemed it necessary to intervene for the sake of the health of the race.</w:t>
      </w:r>
      <w:r>
        <w:rPr>
          <w:rStyle w:val="FootnoteReference"/>
          <w:rFonts w:cs="Calibri"/>
          <w:sz w:val="22"/>
          <w:szCs w:val="22"/>
          <w:lang w:val="en-US"/>
        </w:rPr>
        <w:footnoteReference w:id="270"/>
      </w:r>
      <w:r>
        <w:rPr>
          <w:rFonts w:cs="Calibri"/>
          <w:sz w:val="22"/>
          <w:szCs w:val="22"/>
          <w:lang w:val="en-US"/>
        </w:rPr>
        <w:t xml:space="preserve"> </w:t>
      </w:r>
    </w:p>
    <w:p w14:paraId="45389129" w14:textId="77777777" w:rsidR="009847E8" w:rsidRDefault="009847E8">
      <w:pPr>
        <w:pStyle w:val="ListParagraph"/>
        <w:numPr>
          <w:ilvl w:val="1"/>
          <w:numId w:val="4"/>
        </w:numPr>
        <w:tabs>
          <w:tab w:val="left" w:pos="2268"/>
        </w:tabs>
        <w:spacing w:before="240" w:after="240" w:line="276" w:lineRule="auto"/>
        <w:jc w:val="both"/>
        <w:outlineLvl w:val="1"/>
        <w:rPr>
          <w:rFonts w:cs="Calibri"/>
          <w:b/>
          <w:bCs/>
          <w:sz w:val="22"/>
          <w:szCs w:val="22"/>
          <w:lang w:val="en-US"/>
        </w:rPr>
      </w:pPr>
      <w:bookmarkStart w:id="37" w:name="_Toc234183626"/>
      <w:r w:rsidRPr="00173283">
        <w:rPr>
          <w:rFonts w:cs="Calibri"/>
          <w:b/>
          <w:bCs/>
          <w:sz w:val="22"/>
          <w:szCs w:val="22"/>
          <w:lang w:val="en-US"/>
        </w:rPr>
        <w:t>Producing productive citizens</w:t>
      </w:r>
      <w:bookmarkEnd w:id="37"/>
    </w:p>
    <w:p w14:paraId="2625B63A" w14:textId="77777777" w:rsidR="009847E8" w:rsidRDefault="009847E8" w:rsidP="009E1997">
      <w:pPr>
        <w:tabs>
          <w:tab w:val="left" w:pos="2268"/>
        </w:tabs>
        <w:spacing w:before="240" w:line="276" w:lineRule="auto"/>
        <w:ind w:firstLine="284"/>
        <w:jc w:val="both"/>
        <w:rPr>
          <w:rFonts w:cs="Calibri"/>
          <w:sz w:val="22"/>
          <w:szCs w:val="22"/>
          <w:lang w:val="en-US"/>
        </w:rPr>
      </w:pPr>
      <w:r>
        <w:rPr>
          <w:rFonts w:cs="Calibri"/>
          <w:sz w:val="22"/>
          <w:szCs w:val="22"/>
          <w:lang w:val="en-US"/>
        </w:rPr>
        <w:t xml:space="preserve">As discussed in section 3.2.2, the Dutch government was eager to ‘produce productive citizens’ in the orphanages and boarding schools for Indo-European children. It is this objective that I focus on in this section. </w:t>
      </w:r>
    </w:p>
    <w:p w14:paraId="0FCCA1DF" w14:textId="77777777" w:rsidR="009847E8" w:rsidRDefault="009847E8" w:rsidP="009E1997">
      <w:pPr>
        <w:tabs>
          <w:tab w:val="left" w:pos="2268"/>
        </w:tabs>
        <w:spacing w:before="240" w:line="276" w:lineRule="auto"/>
        <w:ind w:firstLine="284"/>
        <w:jc w:val="both"/>
        <w:rPr>
          <w:rFonts w:cs="Calibri"/>
          <w:sz w:val="22"/>
          <w:szCs w:val="22"/>
          <w:lang w:val="en-US"/>
        </w:rPr>
      </w:pPr>
      <w:r>
        <w:rPr>
          <w:rFonts w:cs="Calibri"/>
          <w:sz w:val="22"/>
          <w:szCs w:val="22"/>
          <w:lang w:val="en-US"/>
        </w:rPr>
        <w:t xml:space="preserve">According to </w:t>
      </w:r>
      <w:r w:rsidRPr="00747F75">
        <w:rPr>
          <w:rFonts w:cs="Calibri"/>
          <w:sz w:val="22"/>
          <w:szCs w:val="22"/>
          <w:lang w:val="en-US"/>
        </w:rPr>
        <w:t xml:space="preserve">article 193 of the </w:t>
      </w:r>
      <w:r>
        <w:rPr>
          <w:rFonts w:cs="Calibri"/>
          <w:sz w:val="22"/>
          <w:szCs w:val="22"/>
          <w:lang w:val="en-US"/>
        </w:rPr>
        <w:t xml:space="preserve">Dutch East Indies </w:t>
      </w:r>
      <w:r w:rsidRPr="002F27B5">
        <w:rPr>
          <w:rFonts w:cs="Calibri"/>
          <w:sz w:val="22"/>
          <w:szCs w:val="22"/>
          <w:lang w:val="en-US"/>
        </w:rPr>
        <w:t>Constitution</w:t>
      </w:r>
      <w:r>
        <w:rPr>
          <w:rFonts w:cs="Calibri"/>
          <w:sz w:val="22"/>
          <w:szCs w:val="22"/>
          <w:lang w:val="en-US"/>
        </w:rPr>
        <w:t xml:space="preserve"> of 1887</w:t>
      </w:r>
      <w:r w:rsidRPr="00747F75">
        <w:rPr>
          <w:rFonts w:cs="Calibri"/>
          <w:sz w:val="22"/>
          <w:szCs w:val="22"/>
          <w:lang w:val="en-US"/>
        </w:rPr>
        <w:t>,</w:t>
      </w:r>
      <w:r>
        <w:rPr>
          <w:rFonts w:cs="Calibri"/>
          <w:sz w:val="22"/>
          <w:szCs w:val="22"/>
          <w:lang w:val="en-US"/>
        </w:rPr>
        <w:t xml:space="preserve"> it is one of the main tasks of the government to provide ‘r</w:t>
      </w:r>
      <w:r w:rsidRPr="00171F94">
        <w:rPr>
          <w:rFonts w:cs="Calibri"/>
          <w:sz w:val="22"/>
          <w:szCs w:val="22"/>
          <w:lang w:val="en-US"/>
        </w:rPr>
        <w:t xml:space="preserve">elief for the </w:t>
      </w:r>
      <w:r>
        <w:rPr>
          <w:rFonts w:cs="Calibri"/>
          <w:sz w:val="22"/>
          <w:szCs w:val="22"/>
          <w:lang w:val="en-US"/>
        </w:rPr>
        <w:t>p</w:t>
      </w:r>
      <w:r w:rsidRPr="00171F94">
        <w:rPr>
          <w:rFonts w:cs="Calibri"/>
          <w:sz w:val="22"/>
          <w:szCs w:val="22"/>
          <w:lang w:val="en-US"/>
        </w:rPr>
        <w:t xml:space="preserve">oor and the </w:t>
      </w:r>
      <w:r>
        <w:rPr>
          <w:rFonts w:cs="Calibri"/>
          <w:sz w:val="22"/>
          <w:szCs w:val="22"/>
          <w:lang w:val="en-US"/>
        </w:rPr>
        <w:t>e</w:t>
      </w:r>
      <w:r w:rsidRPr="00171F94">
        <w:rPr>
          <w:rFonts w:cs="Calibri"/>
          <w:sz w:val="22"/>
          <w:szCs w:val="22"/>
          <w:lang w:val="en-US"/>
        </w:rPr>
        <w:t>ducation of</w:t>
      </w:r>
      <w:r>
        <w:rPr>
          <w:rFonts w:cs="Calibri"/>
          <w:sz w:val="22"/>
          <w:szCs w:val="22"/>
          <w:lang w:val="en-US"/>
        </w:rPr>
        <w:t xml:space="preserve"> p</w:t>
      </w:r>
      <w:r w:rsidRPr="00171F94">
        <w:rPr>
          <w:rFonts w:cs="Calibri"/>
          <w:sz w:val="22"/>
          <w:szCs w:val="22"/>
          <w:lang w:val="en-US"/>
        </w:rPr>
        <w:t xml:space="preserve">oor </w:t>
      </w:r>
      <w:r>
        <w:rPr>
          <w:rFonts w:cs="Calibri"/>
          <w:sz w:val="22"/>
          <w:szCs w:val="22"/>
          <w:lang w:val="en-US"/>
        </w:rPr>
        <w:t>c</w:t>
      </w:r>
      <w:r w:rsidRPr="00171F94">
        <w:rPr>
          <w:rFonts w:cs="Calibri"/>
          <w:sz w:val="22"/>
          <w:szCs w:val="22"/>
          <w:lang w:val="en-US"/>
        </w:rPr>
        <w:t>hildren</w:t>
      </w:r>
      <w:r>
        <w:rPr>
          <w:rFonts w:cs="Calibri"/>
          <w:sz w:val="22"/>
          <w:szCs w:val="22"/>
          <w:lang w:val="en-US"/>
        </w:rPr>
        <w:t>’, including in the Indies part of the Dutch Kingdom.</w:t>
      </w:r>
      <w:r>
        <w:rPr>
          <w:rStyle w:val="FootnoteReference"/>
          <w:rFonts w:cs="Calibri"/>
          <w:sz w:val="22"/>
          <w:szCs w:val="22"/>
          <w:lang w:val="en-US"/>
        </w:rPr>
        <w:footnoteReference w:id="271"/>
      </w:r>
      <w:r>
        <w:rPr>
          <w:rFonts w:cs="Calibri"/>
          <w:sz w:val="22"/>
          <w:szCs w:val="22"/>
          <w:lang w:val="en-US"/>
        </w:rPr>
        <w:t xml:space="preserve"> </w:t>
      </w:r>
      <w:r w:rsidRPr="00171F94">
        <w:rPr>
          <w:rFonts w:cs="Calibri"/>
          <w:sz w:val="22"/>
          <w:szCs w:val="22"/>
          <w:lang w:val="en-US"/>
        </w:rPr>
        <w:t xml:space="preserve">Therefore, pastors in charge of the orphanages </w:t>
      </w:r>
      <w:r>
        <w:rPr>
          <w:rFonts w:cs="Calibri"/>
          <w:sz w:val="22"/>
          <w:szCs w:val="22"/>
          <w:lang w:val="en-US"/>
        </w:rPr>
        <w:t>considered</w:t>
      </w:r>
      <w:r w:rsidRPr="00171F94">
        <w:rPr>
          <w:rFonts w:cs="Calibri"/>
          <w:sz w:val="22"/>
          <w:szCs w:val="22"/>
          <w:lang w:val="en-US"/>
        </w:rPr>
        <w:t xml:space="preserve"> that the colonial government should, by all rights, be able to monitor the results produced by orphan care</w:t>
      </w:r>
      <w:r>
        <w:rPr>
          <w:rFonts w:cs="Calibri"/>
          <w:sz w:val="22"/>
          <w:szCs w:val="22"/>
          <w:lang w:val="en-US"/>
        </w:rPr>
        <w:t>.</w:t>
      </w:r>
      <w:r>
        <w:rPr>
          <w:rStyle w:val="FootnoteReference"/>
          <w:rFonts w:cs="Calibri"/>
          <w:sz w:val="22"/>
          <w:szCs w:val="22"/>
          <w:lang w:val="en-US"/>
        </w:rPr>
        <w:footnoteReference w:id="272"/>
      </w:r>
      <w:r>
        <w:rPr>
          <w:rFonts w:cs="Calibri"/>
          <w:sz w:val="22"/>
          <w:szCs w:val="22"/>
          <w:lang w:val="en-US"/>
        </w:rPr>
        <w:t xml:space="preserve"> </w:t>
      </w:r>
      <w:r w:rsidRPr="00171F94">
        <w:rPr>
          <w:rFonts w:cs="Calibri"/>
          <w:sz w:val="22"/>
          <w:szCs w:val="22"/>
          <w:lang w:val="en-US"/>
        </w:rPr>
        <w:t xml:space="preserve">It was </w:t>
      </w:r>
      <w:r>
        <w:rPr>
          <w:rFonts w:cs="Calibri"/>
          <w:sz w:val="22"/>
          <w:szCs w:val="22"/>
          <w:lang w:val="en-US"/>
        </w:rPr>
        <w:t xml:space="preserve">considered </w:t>
      </w:r>
      <w:r w:rsidRPr="00171F94">
        <w:rPr>
          <w:rFonts w:cs="Calibri"/>
          <w:sz w:val="22"/>
          <w:szCs w:val="22"/>
          <w:lang w:val="en-US"/>
        </w:rPr>
        <w:t xml:space="preserve">urgently necessary to monitor </w:t>
      </w:r>
      <w:r>
        <w:rPr>
          <w:rFonts w:cs="Calibri"/>
          <w:sz w:val="22"/>
          <w:szCs w:val="22"/>
          <w:lang w:val="en-US"/>
        </w:rPr>
        <w:t>these</w:t>
      </w:r>
      <w:r w:rsidRPr="00171F94">
        <w:rPr>
          <w:rFonts w:cs="Calibri"/>
          <w:sz w:val="22"/>
          <w:szCs w:val="22"/>
          <w:lang w:val="en-US"/>
        </w:rPr>
        <w:t xml:space="preserve"> results</w:t>
      </w:r>
      <w:r>
        <w:rPr>
          <w:rFonts w:cs="Calibri"/>
          <w:sz w:val="22"/>
          <w:szCs w:val="22"/>
          <w:lang w:val="en-US"/>
        </w:rPr>
        <w:t>,</w:t>
      </w:r>
      <w:r w:rsidRPr="00171F94">
        <w:rPr>
          <w:rFonts w:cs="Calibri"/>
          <w:sz w:val="22"/>
          <w:szCs w:val="22"/>
          <w:lang w:val="en-US"/>
        </w:rPr>
        <w:t xml:space="preserve"> in order to control the outcome for children and to determine whether the orphanages were helping to eradicate poverty in the Indies or actually exacerbating it. In this context, the joint </w:t>
      </w:r>
      <w:r w:rsidRPr="00171F94">
        <w:rPr>
          <w:rFonts w:cs="Calibri"/>
          <w:sz w:val="22"/>
          <w:szCs w:val="22"/>
          <w:lang w:val="en-US"/>
        </w:rPr>
        <w:lastRenderedPageBreak/>
        <w:t xml:space="preserve">living of 'proper' orphans with 'ragged' orphans, as well as half orphans and foundlings, was deemed relevant, as were nutrition and moral upbringing. </w:t>
      </w:r>
    </w:p>
    <w:p w14:paraId="386A9079" w14:textId="77777777" w:rsidR="009847E8" w:rsidRDefault="009847E8" w:rsidP="00561E9B">
      <w:pPr>
        <w:spacing w:before="240" w:after="240" w:line="276" w:lineRule="auto"/>
        <w:ind w:firstLine="284"/>
        <w:jc w:val="both"/>
        <w:rPr>
          <w:rFonts w:cs="Calibri"/>
          <w:sz w:val="22"/>
          <w:szCs w:val="22"/>
          <w:lang w:val="en-US"/>
        </w:rPr>
      </w:pPr>
      <w:r>
        <w:rPr>
          <w:rFonts w:cs="Calibri"/>
          <w:sz w:val="22"/>
          <w:szCs w:val="22"/>
          <w:lang w:val="en-US"/>
        </w:rPr>
        <w:t>It was considered problematic that boys’ orphanages educated them for the Dutch East Indies Army, as it was precisely ‘</w:t>
      </w:r>
      <w:r w:rsidRPr="009E5B56">
        <w:rPr>
          <w:rFonts w:cs="Calibri"/>
          <w:sz w:val="22"/>
          <w:szCs w:val="22"/>
          <w:lang w:val="en-US"/>
        </w:rPr>
        <w:t>the army's peculiar organization</w:t>
      </w:r>
      <w:r>
        <w:rPr>
          <w:rFonts w:cs="Calibri"/>
          <w:sz w:val="22"/>
          <w:szCs w:val="22"/>
          <w:lang w:val="en-US"/>
        </w:rPr>
        <w:t xml:space="preserve">’ which was thought to be the root of the pauperism problem. Most soldiers took in a concubine, with whom they would have children and, if recognized by their European father, those offspring would be </w:t>
      </w:r>
      <w:r w:rsidRPr="005C3389">
        <w:rPr>
          <w:rFonts w:cs="Calibri"/>
          <w:sz w:val="22"/>
          <w:szCs w:val="22"/>
          <w:lang w:val="en-US"/>
        </w:rPr>
        <w:t>European</w:t>
      </w:r>
      <w:r>
        <w:rPr>
          <w:rFonts w:cs="Calibri"/>
          <w:sz w:val="22"/>
          <w:szCs w:val="22"/>
          <w:lang w:val="en-US"/>
        </w:rPr>
        <w:t xml:space="preserve"> children. However, they did not have a bright future as children of a European soldier and a concubine. This misfortune would lead to a ‘dangerous sentiment’ </w:t>
      </w:r>
      <w:r w:rsidRPr="009E5B56">
        <w:rPr>
          <w:rFonts w:cs="Calibri"/>
          <w:sz w:val="22"/>
          <w:szCs w:val="22"/>
          <w:lang w:val="en-US"/>
        </w:rPr>
        <w:t>among generation</w:t>
      </w:r>
      <w:r>
        <w:rPr>
          <w:rFonts w:cs="Calibri"/>
          <w:sz w:val="22"/>
          <w:szCs w:val="22"/>
          <w:lang w:val="en-US"/>
        </w:rPr>
        <w:t>s</w:t>
      </w:r>
      <w:r w:rsidRPr="009E5B56">
        <w:rPr>
          <w:rFonts w:cs="Calibri"/>
          <w:sz w:val="22"/>
          <w:szCs w:val="22"/>
          <w:lang w:val="en-US"/>
        </w:rPr>
        <w:t xml:space="preserve"> </w:t>
      </w:r>
      <w:r>
        <w:rPr>
          <w:rFonts w:cs="Calibri"/>
          <w:sz w:val="22"/>
          <w:szCs w:val="22"/>
          <w:lang w:val="en-US"/>
        </w:rPr>
        <w:t>born out of unions with Indonesian</w:t>
      </w:r>
      <w:r w:rsidRPr="009E5B56">
        <w:rPr>
          <w:rFonts w:cs="Calibri"/>
          <w:sz w:val="22"/>
          <w:szCs w:val="22"/>
          <w:lang w:val="en-US"/>
        </w:rPr>
        <w:t xml:space="preserve"> women, directed against full-blooded Europeans and the government</w:t>
      </w:r>
      <w:r>
        <w:rPr>
          <w:rFonts w:cs="Calibri"/>
          <w:sz w:val="22"/>
          <w:szCs w:val="22"/>
          <w:lang w:val="en-US"/>
        </w:rPr>
        <w:t>.</w:t>
      </w:r>
      <w:r>
        <w:rPr>
          <w:rStyle w:val="FootnoteReference"/>
          <w:rFonts w:cs="Calibri"/>
          <w:sz w:val="22"/>
          <w:szCs w:val="22"/>
          <w:lang w:val="en-US"/>
        </w:rPr>
        <w:footnoteReference w:id="273"/>
      </w:r>
      <w:r>
        <w:rPr>
          <w:rFonts w:cs="Calibri"/>
          <w:sz w:val="22"/>
          <w:szCs w:val="22"/>
          <w:lang w:val="en-US"/>
        </w:rPr>
        <w:t xml:space="preserve"> Consequently, it was decided that boys’ orphanages</w:t>
      </w:r>
      <w:r w:rsidRPr="009E5B56">
        <w:rPr>
          <w:rFonts w:cs="Calibri"/>
          <w:sz w:val="22"/>
          <w:szCs w:val="22"/>
          <w:lang w:val="en-US"/>
        </w:rPr>
        <w:t xml:space="preserve"> would no longer raise boys for the army, since the solution to the </w:t>
      </w:r>
      <w:r>
        <w:rPr>
          <w:rFonts w:cs="Calibri"/>
          <w:sz w:val="22"/>
          <w:szCs w:val="22"/>
          <w:lang w:val="en-US"/>
        </w:rPr>
        <w:t>‘</w:t>
      </w:r>
      <w:r w:rsidRPr="009E5B56">
        <w:rPr>
          <w:rFonts w:cs="Calibri"/>
          <w:sz w:val="22"/>
          <w:szCs w:val="22"/>
          <w:lang w:val="en-US"/>
        </w:rPr>
        <w:t>difficult problem of pauperism in this country could not be found in that direction</w:t>
      </w:r>
      <w:r>
        <w:rPr>
          <w:rFonts w:cs="Calibri"/>
          <w:sz w:val="22"/>
          <w:szCs w:val="22"/>
          <w:lang w:val="en-US"/>
        </w:rPr>
        <w:t>’</w:t>
      </w:r>
      <w:r w:rsidRPr="009E5B56">
        <w:rPr>
          <w:rFonts w:cs="Calibri"/>
          <w:sz w:val="22"/>
          <w:szCs w:val="22"/>
          <w:lang w:val="en-US"/>
        </w:rPr>
        <w:t>.</w:t>
      </w:r>
      <w:r>
        <w:rPr>
          <w:rFonts w:cs="Calibri"/>
          <w:sz w:val="22"/>
          <w:szCs w:val="22"/>
          <w:lang w:val="en-US"/>
        </w:rPr>
        <w:t xml:space="preserve"> </w:t>
      </w:r>
    </w:p>
    <w:p w14:paraId="6B354F17" w14:textId="77777777" w:rsidR="009847E8" w:rsidRDefault="009847E8" w:rsidP="00561E9B">
      <w:pPr>
        <w:spacing w:before="240" w:after="240" w:line="276" w:lineRule="auto"/>
        <w:ind w:firstLine="284"/>
        <w:jc w:val="both"/>
        <w:rPr>
          <w:rFonts w:cs="Calibri"/>
          <w:sz w:val="22"/>
          <w:szCs w:val="22"/>
          <w:lang w:val="en-US"/>
        </w:rPr>
      </w:pPr>
      <w:r w:rsidRPr="00171F94">
        <w:rPr>
          <w:rFonts w:cs="Calibri"/>
          <w:sz w:val="22"/>
          <w:szCs w:val="22"/>
          <w:lang w:val="en-US"/>
        </w:rPr>
        <w:t xml:space="preserve">The </w:t>
      </w:r>
      <w:r>
        <w:rPr>
          <w:rFonts w:cs="Calibri"/>
          <w:sz w:val="22"/>
          <w:szCs w:val="22"/>
          <w:lang w:val="en-US"/>
        </w:rPr>
        <w:t xml:space="preserve">ultimate </w:t>
      </w:r>
      <w:r w:rsidRPr="00171F94">
        <w:rPr>
          <w:rFonts w:cs="Calibri"/>
          <w:sz w:val="22"/>
          <w:szCs w:val="22"/>
          <w:lang w:val="en-US"/>
        </w:rPr>
        <w:t>aim was to raise useful citizens (</w:t>
      </w:r>
      <w:r w:rsidRPr="00171F94">
        <w:rPr>
          <w:rFonts w:cs="Calibri"/>
          <w:i/>
          <w:iCs/>
          <w:sz w:val="22"/>
          <w:szCs w:val="22"/>
          <w:lang w:val="en-US"/>
        </w:rPr>
        <w:t>'bruikbare menschen'</w:t>
      </w:r>
      <w:r w:rsidRPr="00171F94">
        <w:rPr>
          <w:rFonts w:cs="Calibri"/>
          <w:sz w:val="22"/>
          <w:szCs w:val="22"/>
          <w:lang w:val="en-US"/>
        </w:rPr>
        <w:t>)</w:t>
      </w:r>
      <w:r>
        <w:rPr>
          <w:rFonts w:cs="Calibri"/>
          <w:sz w:val="22"/>
          <w:szCs w:val="22"/>
          <w:lang w:val="en-US"/>
        </w:rPr>
        <w:t>.</w:t>
      </w:r>
      <w:r>
        <w:rPr>
          <w:rStyle w:val="FootnoteReference"/>
          <w:rFonts w:cs="Calibri"/>
          <w:sz w:val="22"/>
          <w:szCs w:val="22"/>
          <w:lang w:val="en-US"/>
        </w:rPr>
        <w:footnoteReference w:id="274"/>
      </w:r>
      <w:r>
        <w:rPr>
          <w:rFonts w:cs="Calibri"/>
          <w:sz w:val="22"/>
          <w:szCs w:val="22"/>
          <w:lang w:val="en-US"/>
        </w:rPr>
        <w:t xml:space="preserve"> An important example for Dutch orphanages in the Indies was the Dutch </w:t>
      </w:r>
      <w:r w:rsidRPr="008B2030">
        <w:rPr>
          <w:rFonts w:cs="Calibri"/>
          <w:i/>
          <w:iCs/>
          <w:sz w:val="22"/>
          <w:szCs w:val="22"/>
          <w:lang w:val="en-US"/>
        </w:rPr>
        <w:t>Mettray</w:t>
      </w:r>
      <w:r>
        <w:rPr>
          <w:rFonts w:cs="Calibri"/>
          <w:sz w:val="22"/>
          <w:szCs w:val="22"/>
          <w:lang w:val="en-US"/>
        </w:rPr>
        <w:t xml:space="preserve"> – a </w:t>
      </w:r>
      <w:r w:rsidRPr="008B2030">
        <w:rPr>
          <w:rFonts w:cs="Calibri"/>
          <w:sz w:val="22"/>
          <w:szCs w:val="22"/>
          <w:lang w:val="en-US"/>
        </w:rPr>
        <w:t>Protestant reformatory for non-criminal youths with behavioral problems</w:t>
      </w:r>
      <w:r>
        <w:rPr>
          <w:rFonts w:cs="Calibri"/>
          <w:sz w:val="22"/>
          <w:szCs w:val="22"/>
          <w:lang w:val="en-US"/>
        </w:rPr>
        <w:t xml:space="preserve"> in the Netherlands. This reformatory’s goal was to ‘</w:t>
      </w:r>
      <w:r w:rsidRPr="008B2030">
        <w:rPr>
          <w:rFonts w:cs="Calibri"/>
          <w:sz w:val="22"/>
          <w:szCs w:val="22"/>
          <w:lang w:val="en-US"/>
        </w:rPr>
        <w:t>cultivate a sense of piety in the</w:t>
      </w:r>
      <w:r>
        <w:rPr>
          <w:rFonts w:cs="Calibri"/>
          <w:sz w:val="22"/>
          <w:szCs w:val="22"/>
          <w:lang w:val="en-US"/>
        </w:rPr>
        <w:t xml:space="preserve"> </w:t>
      </w:r>
      <w:r w:rsidRPr="008B2030">
        <w:rPr>
          <w:rFonts w:cs="Calibri"/>
          <w:sz w:val="22"/>
          <w:szCs w:val="22"/>
          <w:lang w:val="en-US"/>
        </w:rPr>
        <w:t>hearts of young people and to keep it alive by constantly monitoring their behavior and disposition, correcting the wrong tendencies, weaknesses, and impulses they display, and developing their good qualities and characteristics.</w:t>
      </w:r>
      <w:r>
        <w:rPr>
          <w:rFonts w:cs="Calibri"/>
          <w:sz w:val="22"/>
          <w:szCs w:val="22"/>
          <w:lang w:val="en-US"/>
        </w:rPr>
        <w:t>’</w:t>
      </w:r>
      <w:r>
        <w:rPr>
          <w:rStyle w:val="FootnoteReference"/>
          <w:rFonts w:cs="Calibri"/>
          <w:sz w:val="22"/>
          <w:szCs w:val="22"/>
          <w:lang w:val="en-US"/>
        </w:rPr>
        <w:footnoteReference w:id="275"/>
      </w:r>
      <w:r>
        <w:rPr>
          <w:rFonts w:cs="Calibri"/>
          <w:sz w:val="22"/>
          <w:szCs w:val="22"/>
          <w:lang w:val="en-US"/>
        </w:rPr>
        <w:t xml:space="preserve"> For this reason, it was decided that there be installed a ‘capable and humane’ person to monitor the development of children in the orphanages, who would be responsible for supervising, studying the ‘pauperism-matter’, collecting statistic data and providing proposals for improvement to the government.</w:t>
      </w:r>
      <w:r>
        <w:rPr>
          <w:rStyle w:val="FootnoteReference"/>
          <w:rFonts w:cs="Calibri"/>
          <w:sz w:val="22"/>
          <w:szCs w:val="22"/>
          <w:lang w:val="en-US"/>
        </w:rPr>
        <w:footnoteReference w:id="276"/>
      </w:r>
      <w:r>
        <w:rPr>
          <w:rFonts w:cs="Calibri"/>
          <w:sz w:val="22"/>
          <w:szCs w:val="22"/>
          <w:lang w:val="en-US"/>
        </w:rPr>
        <w:t xml:space="preserve"> What becomes clear here is</w:t>
      </w:r>
      <w:r w:rsidRPr="000B4CBD">
        <w:rPr>
          <w:rFonts w:cs="Calibri"/>
          <w:sz w:val="22"/>
          <w:szCs w:val="22"/>
          <w:lang w:val="en-US"/>
        </w:rPr>
        <w:t xml:space="preserve"> the modern objective of an enlightened, healthy, civilized state</w:t>
      </w:r>
      <w:r>
        <w:rPr>
          <w:rFonts w:cs="Calibri"/>
          <w:sz w:val="22"/>
          <w:szCs w:val="22"/>
          <w:lang w:val="en-US"/>
        </w:rPr>
        <w:t xml:space="preserve"> </w:t>
      </w:r>
      <w:r w:rsidRPr="001D6CB4">
        <w:rPr>
          <w:rFonts w:cs="Calibri"/>
          <w:lang w:val="en-US"/>
        </w:rPr>
        <w:t>–</w:t>
      </w:r>
      <w:r w:rsidRPr="000B4CBD">
        <w:rPr>
          <w:rFonts w:cs="Calibri"/>
          <w:sz w:val="22"/>
          <w:szCs w:val="22"/>
          <w:lang w:val="en-US"/>
        </w:rPr>
        <w:t xml:space="preserve"> </w:t>
      </w:r>
      <w:r>
        <w:rPr>
          <w:rFonts w:cs="Calibri"/>
          <w:sz w:val="22"/>
          <w:szCs w:val="22"/>
          <w:lang w:val="en-US"/>
        </w:rPr>
        <w:t>providing</w:t>
      </w:r>
      <w:r w:rsidRPr="000B4CBD">
        <w:rPr>
          <w:rFonts w:cs="Calibri"/>
          <w:sz w:val="22"/>
          <w:szCs w:val="22"/>
          <w:lang w:val="en-US"/>
        </w:rPr>
        <w:t xml:space="preserve"> care for abandoned and neglected children </w:t>
      </w:r>
      <w:r>
        <w:rPr>
          <w:rFonts w:cs="Calibri"/>
          <w:sz w:val="22"/>
          <w:szCs w:val="22"/>
          <w:lang w:val="en-US"/>
        </w:rPr>
        <w:t>was</w:t>
      </w:r>
      <w:r w:rsidRPr="000B4CBD">
        <w:rPr>
          <w:rFonts w:cs="Calibri"/>
          <w:sz w:val="22"/>
          <w:szCs w:val="22"/>
          <w:lang w:val="en-US"/>
        </w:rPr>
        <w:t xml:space="preserve"> a way for the government to </w:t>
      </w:r>
      <w:r>
        <w:rPr>
          <w:rFonts w:cs="Calibri"/>
          <w:sz w:val="22"/>
          <w:szCs w:val="22"/>
          <w:lang w:val="en-US"/>
        </w:rPr>
        <w:t>administer and</w:t>
      </w:r>
      <w:r w:rsidRPr="000B4CBD">
        <w:rPr>
          <w:rFonts w:cs="Calibri"/>
          <w:sz w:val="22"/>
          <w:szCs w:val="22"/>
          <w:lang w:val="en-US"/>
        </w:rPr>
        <w:t xml:space="preserve"> control the moral upbringing and health of its future citizens</w:t>
      </w:r>
      <w:r>
        <w:rPr>
          <w:rFonts w:cs="Calibri"/>
          <w:sz w:val="22"/>
          <w:szCs w:val="22"/>
          <w:lang w:val="en-US"/>
        </w:rPr>
        <w:t>,</w:t>
      </w:r>
      <w:r w:rsidRPr="000B4CBD">
        <w:rPr>
          <w:rFonts w:cs="Calibri"/>
          <w:sz w:val="22"/>
          <w:szCs w:val="22"/>
          <w:lang w:val="en-US"/>
        </w:rPr>
        <w:t xml:space="preserve"> namely Indo-European children</w:t>
      </w:r>
      <w:r>
        <w:rPr>
          <w:rFonts w:cs="Calibri"/>
          <w:sz w:val="22"/>
          <w:szCs w:val="22"/>
          <w:lang w:val="en-US"/>
        </w:rPr>
        <w:t>,</w:t>
      </w:r>
      <w:r w:rsidRPr="000B4CBD">
        <w:rPr>
          <w:rFonts w:cs="Calibri"/>
          <w:sz w:val="22"/>
          <w:szCs w:val="22"/>
          <w:lang w:val="en-US"/>
        </w:rPr>
        <w:t xml:space="preserve"> who would </w:t>
      </w:r>
      <w:r>
        <w:rPr>
          <w:rFonts w:cs="Calibri"/>
          <w:sz w:val="22"/>
          <w:szCs w:val="22"/>
          <w:lang w:val="en-US"/>
        </w:rPr>
        <w:t>become its ‘</w:t>
      </w:r>
      <w:r w:rsidRPr="000B4CBD">
        <w:rPr>
          <w:rFonts w:cs="Calibri"/>
          <w:sz w:val="22"/>
          <w:szCs w:val="22"/>
          <w:lang w:val="en-US"/>
        </w:rPr>
        <w:t>civilized</w:t>
      </w:r>
      <w:r>
        <w:rPr>
          <w:rFonts w:cs="Calibri"/>
          <w:sz w:val="22"/>
          <w:szCs w:val="22"/>
          <w:lang w:val="en-US"/>
        </w:rPr>
        <w:t>’</w:t>
      </w:r>
      <w:r w:rsidRPr="000B4CBD">
        <w:rPr>
          <w:rFonts w:cs="Calibri"/>
          <w:sz w:val="22"/>
          <w:szCs w:val="22"/>
          <w:lang w:val="en-US"/>
        </w:rPr>
        <w:t xml:space="preserve"> community</w:t>
      </w:r>
      <w:r>
        <w:rPr>
          <w:rFonts w:cs="Calibri"/>
          <w:sz w:val="22"/>
          <w:szCs w:val="22"/>
          <w:lang w:val="en-US"/>
        </w:rPr>
        <w:t xml:space="preserve"> in the Indies. </w:t>
      </w:r>
    </w:p>
    <w:p w14:paraId="77281D16" w14:textId="77777777" w:rsidR="009847E8" w:rsidRDefault="009847E8" w:rsidP="009E1997">
      <w:pPr>
        <w:tabs>
          <w:tab w:val="left" w:pos="2268"/>
        </w:tabs>
        <w:spacing w:before="240" w:line="276" w:lineRule="auto"/>
        <w:ind w:firstLine="284"/>
        <w:jc w:val="both"/>
        <w:rPr>
          <w:rFonts w:cs="Calibri"/>
          <w:sz w:val="22"/>
          <w:szCs w:val="22"/>
          <w:lang w:val="en-US"/>
        </w:rPr>
      </w:pPr>
      <w:r>
        <w:rPr>
          <w:rFonts w:cs="Calibri"/>
          <w:sz w:val="22"/>
          <w:szCs w:val="22"/>
          <w:lang w:val="en-US"/>
        </w:rPr>
        <w:t xml:space="preserve">The underlying goal was to prevent the creation of a degenerate danger to society of Indo-European children. This becomes </w:t>
      </w:r>
      <w:r w:rsidRPr="00171F94">
        <w:rPr>
          <w:rFonts w:cs="Calibri"/>
          <w:sz w:val="22"/>
          <w:szCs w:val="22"/>
          <w:lang w:val="en-US"/>
        </w:rPr>
        <w:t xml:space="preserve">evident from the </w:t>
      </w:r>
      <w:r>
        <w:rPr>
          <w:rFonts w:cs="Calibri"/>
          <w:sz w:val="22"/>
          <w:szCs w:val="22"/>
          <w:lang w:val="en-US"/>
        </w:rPr>
        <w:t xml:space="preserve">Indies Council’s </w:t>
      </w:r>
      <w:r w:rsidRPr="00171F94">
        <w:rPr>
          <w:rFonts w:cs="Calibri"/>
          <w:sz w:val="22"/>
          <w:szCs w:val="22"/>
          <w:lang w:val="en-US"/>
        </w:rPr>
        <w:t xml:space="preserve">recommendation </w:t>
      </w:r>
      <w:r>
        <w:rPr>
          <w:rFonts w:cs="Calibri"/>
          <w:sz w:val="22"/>
          <w:szCs w:val="22"/>
          <w:lang w:val="en-US"/>
        </w:rPr>
        <w:t xml:space="preserve">in 1901, </w:t>
      </w:r>
      <w:r w:rsidRPr="00171F94">
        <w:rPr>
          <w:rFonts w:cs="Calibri"/>
          <w:sz w:val="22"/>
          <w:szCs w:val="22"/>
          <w:lang w:val="en-US"/>
        </w:rPr>
        <w:t>regarding a request by religious teacher J</w:t>
      </w:r>
      <w:r>
        <w:rPr>
          <w:rFonts w:cs="Calibri"/>
          <w:sz w:val="22"/>
          <w:szCs w:val="22"/>
          <w:lang w:val="en-US"/>
        </w:rPr>
        <w:t xml:space="preserve">ohannes </w:t>
      </w:r>
      <w:r w:rsidRPr="00171F94">
        <w:rPr>
          <w:rFonts w:cs="Calibri"/>
          <w:sz w:val="22"/>
          <w:szCs w:val="22"/>
          <w:lang w:val="en-US"/>
        </w:rPr>
        <w:t xml:space="preserve">van der Steur </w:t>
      </w:r>
      <w:r>
        <w:rPr>
          <w:rFonts w:cs="Calibri"/>
          <w:sz w:val="22"/>
          <w:szCs w:val="22"/>
          <w:lang w:val="en-US"/>
        </w:rPr>
        <w:t>for</w:t>
      </w:r>
      <w:r w:rsidRPr="00171F94">
        <w:rPr>
          <w:rFonts w:cs="Calibri"/>
          <w:sz w:val="22"/>
          <w:szCs w:val="22"/>
          <w:lang w:val="en-US"/>
        </w:rPr>
        <w:t xml:space="preserve"> an increase in subsidies</w:t>
      </w:r>
      <w:r>
        <w:rPr>
          <w:rFonts w:cs="Calibri"/>
          <w:sz w:val="22"/>
          <w:szCs w:val="22"/>
          <w:lang w:val="en-US"/>
        </w:rPr>
        <w:t xml:space="preserve"> for his ‘charitable organization’. The recommendation discusses the issue of Indo-European children in Java, whose mixed heritage leads them to be rejected by both Dutch and Indonesian society. Especially once the child is recognized but abandoned by his European father, the mother can no longer care for him, and the only solution left is adoption in an orphanage. </w:t>
      </w:r>
      <w:r w:rsidRPr="00171F94">
        <w:rPr>
          <w:rFonts w:cs="Calibri"/>
          <w:sz w:val="22"/>
          <w:szCs w:val="22"/>
          <w:lang w:val="en-US"/>
        </w:rPr>
        <w:t xml:space="preserve">Most of them, however, continue to roam the </w:t>
      </w:r>
      <w:r w:rsidRPr="00F818E5">
        <w:rPr>
          <w:rFonts w:cs="Calibri"/>
          <w:i/>
          <w:iCs/>
          <w:sz w:val="22"/>
          <w:szCs w:val="22"/>
          <w:lang w:val="en-US"/>
        </w:rPr>
        <w:t>kampong</w:t>
      </w:r>
      <w:r w:rsidRPr="00171F94">
        <w:rPr>
          <w:rFonts w:cs="Calibri"/>
          <w:sz w:val="22"/>
          <w:szCs w:val="22"/>
          <w:lang w:val="en-US"/>
        </w:rPr>
        <w:t xml:space="preserve"> in a </w:t>
      </w:r>
      <w:r>
        <w:rPr>
          <w:rFonts w:cs="Calibri"/>
          <w:sz w:val="22"/>
          <w:szCs w:val="22"/>
          <w:lang w:val="en-US"/>
        </w:rPr>
        <w:t>‘</w:t>
      </w:r>
      <w:r w:rsidRPr="00171F94">
        <w:rPr>
          <w:rFonts w:cs="Calibri"/>
          <w:sz w:val="22"/>
          <w:szCs w:val="22"/>
          <w:lang w:val="en-US"/>
        </w:rPr>
        <w:t>feral state</w:t>
      </w:r>
      <w:r>
        <w:rPr>
          <w:rFonts w:cs="Calibri"/>
          <w:sz w:val="22"/>
          <w:szCs w:val="22"/>
          <w:lang w:val="en-US"/>
        </w:rPr>
        <w:t>’</w:t>
      </w:r>
      <w:r w:rsidRPr="00171F94">
        <w:rPr>
          <w:rFonts w:cs="Calibri"/>
          <w:sz w:val="22"/>
          <w:szCs w:val="22"/>
          <w:lang w:val="en-US"/>
        </w:rPr>
        <w:t>.</w:t>
      </w:r>
      <w:r>
        <w:rPr>
          <w:rStyle w:val="FootnoteReference"/>
          <w:rFonts w:cs="Calibri"/>
          <w:sz w:val="22"/>
          <w:szCs w:val="22"/>
          <w:lang w:val="en-US"/>
        </w:rPr>
        <w:footnoteReference w:id="277"/>
      </w:r>
      <w:r>
        <w:rPr>
          <w:rFonts w:cs="Calibri"/>
          <w:sz w:val="22"/>
          <w:szCs w:val="22"/>
          <w:lang w:val="en-US"/>
        </w:rPr>
        <w:t xml:space="preserve"> Among the Indonesians living in the kampongs on Java, the report claims, there was a ‘bitter resentment’ against Europeans, and therefore (Indo-)European children were rejected by their society. Consequently, they would not be properly loved and cared for, and without any proper education, such children could end up becoming a </w:t>
      </w:r>
      <w:r>
        <w:rPr>
          <w:rFonts w:cs="Calibri"/>
          <w:sz w:val="22"/>
          <w:szCs w:val="22"/>
          <w:lang w:val="en-US"/>
        </w:rPr>
        <w:lastRenderedPageBreak/>
        <w:t>degenerate danger to the colonial State.</w:t>
      </w:r>
      <w:r>
        <w:rPr>
          <w:rStyle w:val="FootnoteReference"/>
          <w:rFonts w:cs="Calibri"/>
          <w:sz w:val="22"/>
          <w:szCs w:val="22"/>
          <w:lang w:val="en-US"/>
        </w:rPr>
        <w:footnoteReference w:id="278"/>
      </w:r>
      <w:r>
        <w:rPr>
          <w:rFonts w:cs="Calibri"/>
          <w:sz w:val="22"/>
          <w:szCs w:val="22"/>
          <w:lang w:val="en-US"/>
        </w:rPr>
        <w:t xml:space="preserve"> Moreover, the previously mentioned jurist F.M.G. van Walsem argued that proper care of ‘neglected’ children in government institutions rather than kampongs, will also be favorable for the protection of ‘normal’ children: ‘the education and spiritual care of the ‘healthy’ child will also be given their due. Anyone who focuses solely on what is normal, while the abnormal prevails, is an unpedagogical person, because he underestimates the </w:t>
      </w:r>
      <w:r w:rsidRPr="001E0274">
        <w:rPr>
          <w:rFonts w:cs="Calibri"/>
          <w:i/>
          <w:iCs/>
          <w:sz w:val="22"/>
          <w:szCs w:val="22"/>
          <w:lang w:val="en-US"/>
        </w:rPr>
        <w:t>power of evil’</w:t>
      </w:r>
      <w:r>
        <w:rPr>
          <w:rFonts w:cs="Calibri"/>
          <w:sz w:val="22"/>
          <w:szCs w:val="22"/>
          <w:lang w:val="en-US"/>
        </w:rPr>
        <w:t>.</w:t>
      </w:r>
      <w:r>
        <w:rPr>
          <w:rStyle w:val="FootnoteReference"/>
          <w:rFonts w:cs="Calibri"/>
          <w:sz w:val="22"/>
          <w:szCs w:val="22"/>
          <w:lang w:val="en-US"/>
        </w:rPr>
        <w:footnoteReference w:id="279"/>
      </w:r>
      <w:r>
        <w:rPr>
          <w:rFonts w:cs="Calibri"/>
          <w:sz w:val="22"/>
          <w:szCs w:val="22"/>
          <w:lang w:val="en-US"/>
        </w:rPr>
        <w:t xml:space="preserve"> The argument is rooted in a </w:t>
      </w:r>
      <w:r w:rsidRPr="001E0274">
        <w:rPr>
          <w:rFonts w:cs="Calibri"/>
          <w:sz w:val="22"/>
          <w:szCs w:val="22"/>
          <w:lang w:val="en-US"/>
        </w:rPr>
        <w:t>political logic in which the state seeks to maintain its own health by identifying and normalizing internal enemies</w:t>
      </w:r>
      <w:r>
        <w:rPr>
          <w:rFonts w:cs="Calibri"/>
          <w:sz w:val="22"/>
          <w:szCs w:val="22"/>
          <w:lang w:val="en-US"/>
        </w:rPr>
        <w:t>, namely, ‘neglected’ children who are brought up in the kampongs</w:t>
      </w:r>
      <w:r w:rsidRPr="001E0274">
        <w:rPr>
          <w:rFonts w:cs="Calibri"/>
          <w:sz w:val="22"/>
          <w:szCs w:val="22"/>
          <w:lang w:val="en-US"/>
        </w:rPr>
        <w:t>.</w:t>
      </w:r>
    </w:p>
    <w:p w14:paraId="58F0DF62" w14:textId="77777777" w:rsidR="009847E8" w:rsidRPr="00651E9C" w:rsidRDefault="009847E8">
      <w:pPr>
        <w:pStyle w:val="ListParagraph"/>
        <w:numPr>
          <w:ilvl w:val="1"/>
          <w:numId w:val="4"/>
        </w:numPr>
        <w:spacing w:before="240" w:after="0" w:line="276" w:lineRule="auto"/>
        <w:jc w:val="both"/>
        <w:outlineLvl w:val="1"/>
        <w:rPr>
          <w:rFonts w:cs="Calibri"/>
          <w:b/>
          <w:bCs/>
          <w:sz w:val="22"/>
          <w:szCs w:val="22"/>
          <w:lang w:val="en-US"/>
        </w:rPr>
      </w:pPr>
      <w:bookmarkStart w:id="38" w:name="_Toc234183627"/>
      <w:r w:rsidRPr="00991A71">
        <w:rPr>
          <w:rFonts w:cs="Calibri"/>
          <w:b/>
          <w:bCs/>
          <w:sz w:val="22"/>
          <w:szCs w:val="22"/>
          <w:lang w:val="en-US"/>
        </w:rPr>
        <w:t>Conclusion</w:t>
      </w:r>
      <w:bookmarkEnd w:id="38"/>
    </w:p>
    <w:p w14:paraId="2BB69F53" w14:textId="77777777" w:rsidR="009847E8" w:rsidRDefault="009847E8" w:rsidP="0065211B">
      <w:pPr>
        <w:spacing w:before="240" w:after="240" w:line="276" w:lineRule="auto"/>
        <w:ind w:firstLine="284"/>
        <w:jc w:val="both"/>
        <w:rPr>
          <w:rFonts w:cs="Calibri"/>
          <w:sz w:val="22"/>
          <w:szCs w:val="22"/>
          <w:lang w:val="en-US"/>
        </w:rPr>
      </w:pPr>
      <w:r>
        <w:rPr>
          <w:rFonts w:cs="Calibri"/>
          <w:sz w:val="22"/>
          <w:szCs w:val="22"/>
          <w:lang w:val="en-US"/>
        </w:rPr>
        <w:t xml:space="preserve">Indo-European children occupied a paradoxical position within colonial society: </w:t>
      </w:r>
      <w:r w:rsidRPr="00DA33F9">
        <w:rPr>
          <w:rFonts w:cs="Calibri"/>
          <w:sz w:val="22"/>
          <w:szCs w:val="22"/>
          <w:lang w:val="en-US"/>
        </w:rPr>
        <w:t>they were considered one of the primary threats to European bourgeois identity and</w:t>
      </w:r>
      <w:r>
        <w:rPr>
          <w:rFonts w:cs="Calibri"/>
          <w:sz w:val="22"/>
          <w:szCs w:val="22"/>
          <w:lang w:val="en-US"/>
        </w:rPr>
        <w:t xml:space="preserve"> simultaneously</w:t>
      </w:r>
      <w:r w:rsidRPr="00DA33F9">
        <w:rPr>
          <w:rFonts w:cs="Calibri"/>
          <w:sz w:val="22"/>
          <w:szCs w:val="22"/>
          <w:lang w:val="en-US"/>
        </w:rPr>
        <w:t xml:space="preserve">, </w:t>
      </w:r>
      <w:r>
        <w:rPr>
          <w:rFonts w:cs="Calibri"/>
          <w:sz w:val="22"/>
          <w:szCs w:val="22"/>
          <w:lang w:val="en-US"/>
        </w:rPr>
        <w:t>upon</w:t>
      </w:r>
      <w:r w:rsidRPr="00DA33F9">
        <w:rPr>
          <w:rFonts w:cs="Calibri"/>
          <w:sz w:val="22"/>
          <w:szCs w:val="22"/>
          <w:lang w:val="en-US"/>
        </w:rPr>
        <w:t xml:space="preserve"> recogni</w:t>
      </w:r>
      <w:r>
        <w:rPr>
          <w:rFonts w:cs="Calibri"/>
          <w:sz w:val="22"/>
          <w:szCs w:val="22"/>
          <w:lang w:val="en-US"/>
        </w:rPr>
        <w:t>tion</w:t>
      </w:r>
      <w:r w:rsidRPr="00DA33F9">
        <w:rPr>
          <w:rFonts w:cs="Calibri"/>
          <w:sz w:val="22"/>
          <w:szCs w:val="22"/>
          <w:lang w:val="en-US"/>
        </w:rPr>
        <w:t xml:space="preserve"> by their European father, legal</w:t>
      </w:r>
      <w:r>
        <w:rPr>
          <w:rFonts w:cs="Calibri"/>
          <w:sz w:val="22"/>
          <w:szCs w:val="22"/>
          <w:lang w:val="en-US"/>
        </w:rPr>
        <w:t>ly</w:t>
      </w:r>
      <w:r w:rsidRPr="00DA33F9">
        <w:rPr>
          <w:rFonts w:cs="Calibri"/>
          <w:sz w:val="22"/>
          <w:szCs w:val="22"/>
          <w:lang w:val="en-US"/>
        </w:rPr>
        <w:t xml:space="preserve"> equa</w:t>
      </w:r>
      <w:r>
        <w:rPr>
          <w:rFonts w:cs="Calibri"/>
          <w:sz w:val="22"/>
          <w:szCs w:val="22"/>
          <w:lang w:val="en-US"/>
        </w:rPr>
        <w:t>ted</w:t>
      </w:r>
      <w:r w:rsidRPr="00DA33F9">
        <w:rPr>
          <w:rFonts w:cs="Calibri"/>
          <w:sz w:val="22"/>
          <w:szCs w:val="22"/>
          <w:lang w:val="en-US"/>
        </w:rPr>
        <w:t xml:space="preserve"> to European citizens.</w:t>
      </w:r>
      <w:r>
        <w:rPr>
          <w:rFonts w:cs="Calibri"/>
          <w:sz w:val="22"/>
          <w:szCs w:val="22"/>
          <w:lang w:val="en-US"/>
        </w:rPr>
        <w:t xml:space="preserve"> P</w:t>
      </w:r>
      <w:r w:rsidRPr="00DA33F9">
        <w:rPr>
          <w:rFonts w:cs="Calibri"/>
          <w:sz w:val="22"/>
          <w:szCs w:val="22"/>
          <w:lang w:val="en-US"/>
        </w:rPr>
        <w:t>recisely because recognized Indo-European children held European legal status, their degeneration</w:t>
      </w:r>
      <w:r>
        <w:rPr>
          <w:rFonts w:cs="Calibri"/>
          <w:sz w:val="22"/>
          <w:szCs w:val="22"/>
          <w:lang w:val="en-US"/>
        </w:rPr>
        <w:t xml:space="preserve"> and </w:t>
      </w:r>
      <w:r w:rsidRPr="00DA33F9">
        <w:rPr>
          <w:rFonts w:cs="Calibri"/>
          <w:sz w:val="22"/>
          <w:szCs w:val="22"/>
          <w:lang w:val="en-US"/>
        </w:rPr>
        <w:t>multiracialization</w:t>
      </w:r>
      <w:r>
        <w:rPr>
          <w:rFonts w:cs="Calibri"/>
          <w:sz w:val="22"/>
          <w:szCs w:val="22"/>
          <w:lang w:val="en-US"/>
        </w:rPr>
        <w:t xml:space="preserve"> </w:t>
      </w:r>
      <w:r w:rsidRPr="00DA33F9">
        <w:rPr>
          <w:rFonts w:cs="Calibri"/>
          <w:sz w:val="22"/>
          <w:szCs w:val="22"/>
          <w:lang w:val="en-US"/>
        </w:rPr>
        <w:t xml:space="preserve">posed a direct threat to the prestige of the European class. A European citizen raised in an Indonesian household, outside the norms of European bourgeois life, undermined the racial and cultural </w:t>
      </w:r>
      <w:r>
        <w:rPr>
          <w:rFonts w:cs="Calibri"/>
          <w:sz w:val="22"/>
          <w:szCs w:val="22"/>
          <w:lang w:val="en-US"/>
        </w:rPr>
        <w:t>hierarchies</w:t>
      </w:r>
      <w:r w:rsidRPr="00DA33F9">
        <w:rPr>
          <w:rFonts w:cs="Calibri"/>
          <w:sz w:val="22"/>
          <w:szCs w:val="22"/>
          <w:lang w:val="en-US"/>
        </w:rPr>
        <w:t xml:space="preserve"> on which colonial </w:t>
      </w:r>
      <w:r>
        <w:rPr>
          <w:rFonts w:cs="Calibri"/>
          <w:sz w:val="22"/>
          <w:szCs w:val="22"/>
          <w:lang w:val="en-US"/>
        </w:rPr>
        <w:t>authority</w:t>
      </w:r>
      <w:r w:rsidRPr="00DA33F9">
        <w:rPr>
          <w:rFonts w:cs="Calibri"/>
          <w:sz w:val="22"/>
          <w:szCs w:val="22"/>
          <w:lang w:val="en-US"/>
        </w:rPr>
        <w:t xml:space="preserve"> depended.</w:t>
      </w:r>
      <w:r w:rsidRPr="00DA33F9">
        <w:t xml:space="preserve"> </w:t>
      </w:r>
      <w:r w:rsidRPr="00DA33F9">
        <w:rPr>
          <w:rFonts w:cs="Calibri"/>
          <w:sz w:val="22"/>
          <w:szCs w:val="22"/>
          <w:lang w:val="en-US"/>
        </w:rPr>
        <w:t xml:space="preserve">It was therefore in the colonial state's interest to intervene. </w:t>
      </w:r>
      <w:r>
        <w:rPr>
          <w:rFonts w:cs="Calibri"/>
          <w:sz w:val="22"/>
          <w:szCs w:val="22"/>
          <w:lang w:val="en-US"/>
        </w:rPr>
        <w:t>Such ‘neglected’,</w:t>
      </w:r>
      <w:r w:rsidRPr="00DA33F9">
        <w:rPr>
          <w:rFonts w:cs="Calibri"/>
          <w:sz w:val="22"/>
          <w:szCs w:val="22"/>
          <w:lang w:val="en-US"/>
        </w:rPr>
        <w:t xml:space="preserve"> </w:t>
      </w:r>
      <w:r>
        <w:rPr>
          <w:rFonts w:cs="Calibri"/>
          <w:sz w:val="22"/>
          <w:szCs w:val="22"/>
          <w:lang w:val="en-US"/>
        </w:rPr>
        <w:t>‘</w:t>
      </w:r>
      <w:r w:rsidRPr="00DA33F9">
        <w:rPr>
          <w:rFonts w:cs="Calibri"/>
          <w:sz w:val="22"/>
          <w:szCs w:val="22"/>
          <w:lang w:val="en-US"/>
        </w:rPr>
        <w:t>impoverished</w:t>
      </w:r>
      <w:r>
        <w:rPr>
          <w:rFonts w:cs="Calibri"/>
          <w:sz w:val="22"/>
          <w:szCs w:val="22"/>
          <w:lang w:val="en-US"/>
        </w:rPr>
        <w:t>’</w:t>
      </w:r>
      <w:r w:rsidRPr="00DA33F9">
        <w:rPr>
          <w:rFonts w:cs="Calibri"/>
          <w:sz w:val="22"/>
          <w:szCs w:val="22"/>
          <w:lang w:val="en-US"/>
        </w:rPr>
        <w:t xml:space="preserve"> Indo-European </w:t>
      </w:r>
      <w:r>
        <w:rPr>
          <w:rFonts w:cs="Calibri"/>
          <w:sz w:val="22"/>
          <w:szCs w:val="22"/>
          <w:lang w:val="en-US"/>
        </w:rPr>
        <w:t>children</w:t>
      </w:r>
      <w:r w:rsidRPr="00DA33F9">
        <w:rPr>
          <w:rFonts w:cs="Calibri"/>
          <w:sz w:val="22"/>
          <w:szCs w:val="22"/>
          <w:lang w:val="en-US"/>
        </w:rPr>
        <w:t xml:space="preserve"> risked becoming a threat to </w:t>
      </w:r>
      <w:r>
        <w:rPr>
          <w:rFonts w:cs="Calibri"/>
          <w:sz w:val="22"/>
          <w:szCs w:val="22"/>
          <w:lang w:val="en-US"/>
        </w:rPr>
        <w:t>colonial authority, as t</w:t>
      </w:r>
      <w:r w:rsidRPr="00DA33F9">
        <w:rPr>
          <w:rFonts w:cs="Calibri"/>
          <w:sz w:val="22"/>
          <w:szCs w:val="22"/>
          <w:lang w:val="en-US"/>
        </w:rPr>
        <w:t>heir resentment toward Europeans potentially fuel</w:t>
      </w:r>
      <w:r>
        <w:rPr>
          <w:rFonts w:cs="Calibri"/>
          <w:sz w:val="22"/>
          <w:szCs w:val="22"/>
          <w:lang w:val="en-US"/>
        </w:rPr>
        <w:t xml:space="preserve">ed </w:t>
      </w:r>
      <w:r w:rsidRPr="00DA33F9">
        <w:rPr>
          <w:rFonts w:cs="Calibri"/>
          <w:sz w:val="22"/>
          <w:szCs w:val="22"/>
          <w:lang w:val="en-US"/>
        </w:rPr>
        <w:t xml:space="preserve">anti-colonial sentiment. Child separation was the answer to this danger: by removing children from their Indonesian environment and providing them with a morally sound, European upbringing, the state aimed to </w:t>
      </w:r>
      <w:r>
        <w:rPr>
          <w:rFonts w:cs="Calibri"/>
          <w:sz w:val="22"/>
          <w:szCs w:val="22"/>
          <w:lang w:val="en-US"/>
        </w:rPr>
        <w:t>normalize</w:t>
      </w:r>
      <w:r w:rsidRPr="00DA33F9">
        <w:rPr>
          <w:rFonts w:cs="Calibri"/>
          <w:sz w:val="22"/>
          <w:szCs w:val="22"/>
          <w:lang w:val="en-US"/>
        </w:rPr>
        <w:t xml:space="preserve"> </w:t>
      </w:r>
      <w:r>
        <w:rPr>
          <w:rFonts w:cs="Calibri"/>
          <w:sz w:val="22"/>
          <w:szCs w:val="22"/>
          <w:lang w:val="en-US"/>
        </w:rPr>
        <w:t xml:space="preserve">them </w:t>
      </w:r>
      <w:r w:rsidRPr="00DA33F9">
        <w:rPr>
          <w:rFonts w:cs="Calibri"/>
          <w:sz w:val="22"/>
          <w:szCs w:val="22"/>
          <w:lang w:val="en-US"/>
        </w:rPr>
        <w:t>into productive citizen</w:t>
      </w:r>
      <w:r>
        <w:rPr>
          <w:rFonts w:cs="Calibri"/>
          <w:sz w:val="22"/>
          <w:szCs w:val="22"/>
          <w:lang w:val="en-US"/>
        </w:rPr>
        <w:t>s,</w:t>
      </w:r>
      <w:r w:rsidRPr="00DA33F9">
        <w:rPr>
          <w:rFonts w:cs="Calibri"/>
          <w:sz w:val="22"/>
          <w:szCs w:val="22"/>
          <w:lang w:val="en-US"/>
        </w:rPr>
        <w:t xml:space="preserve"> </w:t>
      </w:r>
      <w:r>
        <w:rPr>
          <w:rFonts w:cs="Calibri"/>
          <w:sz w:val="22"/>
          <w:szCs w:val="22"/>
          <w:lang w:val="en-US"/>
        </w:rPr>
        <w:t xml:space="preserve">in order to preserve </w:t>
      </w:r>
      <w:r w:rsidRPr="00DA33F9">
        <w:rPr>
          <w:rFonts w:cs="Calibri"/>
          <w:sz w:val="22"/>
          <w:szCs w:val="22"/>
          <w:lang w:val="en-US"/>
        </w:rPr>
        <w:t>European prestige</w:t>
      </w:r>
      <w:r>
        <w:rPr>
          <w:rFonts w:cs="Calibri"/>
          <w:sz w:val="22"/>
          <w:szCs w:val="22"/>
          <w:lang w:val="en-US"/>
        </w:rPr>
        <w:t xml:space="preserve"> in the colony. </w:t>
      </w:r>
    </w:p>
    <w:p w14:paraId="180AFC23" w14:textId="77777777" w:rsidR="009847E8" w:rsidRPr="00DA33F9" w:rsidRDefault="009847E8" w:rsidP="0053105C">
      <w:pPr>
        <w:tabs>
          <w:tab w:val="left" w:pos="6096"/>
        </w:tabs>
        <w:spacing w:after="240" w:line="276" w:lineRule="auto"/>
        <w:ind w:firstLine="284"/>
        <w:jc w:val="both"/>
        <w:rPr>
          <w:rFonts w:cs="Calibri"/>
          <w:sz w:val="22"/>
          <w:szCs w:val="22"/>
          <w:lang w:val="en-US"/>
        </w:rPr>
      </w:pPr>
      <w:r w:rsidRPr="00DA33F9">
        <w:rPr>
          <w:rFonts w:cs="Calibri"/>
          <w:sz w:val="22"/>
          <w:szCs w:val="22"/>
          <w:lang w:val="en-US"/>
        </w:rPr>
        <w:t>These practices of child separation were justified and legitimized through both normalizing power and regulating power. According to Foucault, these two heterogen</w:t>
      </w:r>
      <w:r>
        <w:rPr>
          <w:rFonts w:cs="Calibri"/>
          <w:sz w:val="22"/>
          <w:szCs w:val="22"/>
          <w:lang w:val="en-US"/>
        </w:rPr>
        <w:t>e</w:t>
      </w:r>
      <w:r w:rsidRPr="00DA33F9">
        <w:rPr>
          <w:rFonts w:cs="Calibri"/>
          <w:sz w:val="22"/>
          <w:szCs w:val="22"/>
          <w:lang w:val="en-US"/>
        </w:rPr>
        <w:t xml:space="preserve">ous forms of power </w:t>
      </w:r>
      <w:r w:rsidRPr="001D6CB4">
        <w:rPr>
          <w:rFonts w:cs="Calibri"/>
          <w:lang w:val="en-US"/>
        </w:rPr>
        <w:t>–</w:t>
      </w:r>
      <w:r w:rsidRPr="00DA33F9">
        <w:rPr>
          <w:rFonts w:cs="Calibri"/>
          <w:sz w:val="22"/>
          <w:szCs w:val="22"/>
          <w:lang w:val="en-US"/>
        </w:rPr>
        <w:t xml:space="preserve"> discipline and legislation – together form the general mechanisms of power in modern society.</w:t>
      </w:r>
      <w:r w:rsidRPr="00DA33F9">
        <w:rPr>
          <w:rFonts w:cs="Calibri"/>
          <w:sz w:val="22"/>
          <w:szCs w:val="22"/>
          <w:vertAlign w:val="superscript"/>
          <w:lang w:val="en-US"/>
        </w:rPr>
        <w:footnoteReference w:id="280"/>
      </w:r>
      <w:r w:rsidRPr="00DA33F9">
        <w:rPr>
          <w:rFonts w:cs="Calibri"/>
          <w:sz w:val="22"/>
          <w:szCs w:val="22"/>
          <w:lang w:val="en-US"/>
        </w:rPr>
        <w:t xml:space="preserve"> For one, the Dutch East Indies civil law produced the Indo-European children’s European identity: when their European father</w:t>
      </w:r>
      <w:r>
        <w:rPr>
          <w:rFonts w:cs="Calibri"/>
          <w:sz w:val="22"/>
          <w:szCs w:val="22"/>
          <w:lang w:val="en-US"/>
        </w:rPr>
        <w:t>s</w:t>
      </w:r>
      <w:r w:rsidRPr="00DA33F9">
        <w:rPr>
          <w:rFonts w:cs="Calibri"/>
          <w:sz w:val="22"/>
          <w:szCs w:val="22"/>
          <w:lang w:val="en-US"/>
        </w:rPr>
        <w:t xml:space="preserve"> recognized them, they would obtain European citizenship, equated to European members of the state and subjected to European law. </w:t>
      </w:r>
      <w:r>
        <w:rPr>
          <w:rFonts w:cs="Calibri"/>
          <w:sz w:val="22"/>
          <w:szCs w:val="22"/>
          <w:lang w:val="en-US"/>
        </w:rPr>
        <w:t>Consequently, t</w:t>
      </w:r>
      <w:r w:rsidRPr="00DA33F9">
        <w:rPr>
          <w:rFonts w:cs="Calibri"/>
          <w:sz w:val="22"/>
          <w:szCs w:val="22"/>
          <w:lang w:val="en-US"/>
        </w:rPr>
        <w:t>heir Indonesian mother</w:t>
      </w:r>
      <w:r>
        <w:rPr>
          <w:rFonts w:cs="Calibri"/>
          <w:sz w:val="22"/>
          <w:szCs w:val="22"/>
          <w:lang w:val="en-US"/>
        </w:rPr>
        <w:t>s</w:t>
      </w:r>
      <w:r w:rsidRPr="00DA33F9">
        <w:rPr>
          <w:rFonts w:cs="Calibri"/>
          <w:sz w:val="22"/>
          <w:szCs w:val="22"/>
          <w:lang w:val="en-US"/>
        </w:rPr>
        <w:t xml:space="preserve"> lost all custody rights. If their father passed away, she would still no longer be appointed as custodian. Instead, the Council of Justice would have the ability to appoint a new guardian, which could be a state or private institution.</w:t>
      </w:r>
      <w:r>
        <w:rPr>
          <w:rFonts w:cs="Calibri"/>
          <w:sz w:val="22"/>
          <w:szCs w:val="22"/>
          <w:lang w:val="en-US"/>
        </w:rPr>
        <w:t xml:space="preserve"> </w:t>
      </w:r>
      <w:r w:rsidRPr="00DA33F9">
        <w:rPr>
          <w:rFonts w:cs="Calibri"/>
          <w:sz w:val="22"/>
          <w:szCs w:val="22"/>
          <w:lang w:val="en-US"/>
        </w:rPr>
        <w:t xml:space="preserve">Subsequently, </w:t>
      </w:r>
      <w:r>
        <w:rPr>
          <w:rFonts w:cs="Calibri"/>
          <w:sz w:val="22"/>
          <w:szCs w:val="22"/>
          <w:lang w:val="en-US"/>
        </w:rPr>
        <w:t>these institutions</w:t>
      </w:r>
      <w:r w:rsidRPr="00DA33F9">
        <w:rPr>
          <w:rFonts w:cs="Calibri"/>
          <w:sz w:val="22"/>
          <w:szCs w:val="22"/>
          <w:lang w:val="en-US"/>
        </w:rPr>
        <w:t xml:space="preserve"> </w:t>
      </w:r>
      <w:r>
        <w:rPr>
          <w:rFonts w:cs="Calibri"/>
          <w:sz w:val="22"/>
          <w:szCs w:val="22"/>
          <w:lang w:val="en-US"/>
        </w:rPr>
        <w:t xml:space="preserve">provided </w:t>
      </w:r>
      <w:r w:rsidRPr="00DA33F9">
        <w:rPr>
          <w:rFonts w:cs="Calibri"/>
          <w:sz w:val="22"/>
          <w:szCs w:val="22"/>
          <w:lang w:val="en-US"/>
        </w:rPr>
        <w:t xml:space="preserve">religious and vocational </w:t>
      </w:r>
      <w:r>
        <w:rPr>
          <w:rFonts w:cs="Calibri"/>
          <w:sz w:val="22"/>
          <w:szCs w:val="22"/>
          <w:lang w:val="en-US"/>
        </w:rPr>
        <w:t>education</w:t>
      </w:r>
      <w:r w:rsidRPr="00DA33F9">
        <w:rPr>
          <w:rFonts w:cs="Calibri"/>
          <w:sz w:val="22"/>
          <w:szCs w:val="22"/>
          <w:lang w:val="en-US"/>
        </w:rPr>
        <w:t xml:space="preserve"> as normalizing </w:t>
      </w:r>
      <w:r>
        <w:rPr>
          <w:rFonts w:cs="Calibri"/>
          <w:sz w:val="22"/>
          <w:szCs w:val="22"/>
          <w:lang w:val="en-US"/>
        </w:rPr>
        <w:t>techniques</w:t>
      </w:r>
      <w:r w:rsidRPr="00DA33F9">
        <w:rPr>
          <w:rFonts w:cs="Calibri"/>
          <w:sz w:val="22"/>
          <w:szCs w:val="22"/>
          <w:lang w:val="en-US"/>
        </w:rPr>
        <w:t xml:space="preserve"> to produce these children </w:t>
      </w:r>
      <w:r>
        <w:rPr>
          <w:rFonts w:cs="Calibri"/>
          <w:sz w:val="22"/>
          <w:szCs w:val="22"/>
          <w:lang w:val="en-US"/>
        </w:rPr>
        <w:t>into moral citizens.</w:t>
      </w:r>
      <w:r w:rsidRPr="00DA33F9">
        <w:rPr>
          <w:rFonts w:cs="Calibri"/>
          <w:sz w:val="22"/>
          <w:szCs w:val="22"/>
          <w:lang w:val="en-US"/>
        </w:rPr>
        <w:t xml:space="preserve"> Together, </w:t>
      </w:r>
      <w:r>
        <w:rPr>
          <w:rFonts w:cs="Calibri"/>
          <w:sz w:val="22"/>
          <w:szCs w:val="22"/>
          <w:lang w:val="en-US"/>
        </w:rPr>
        <w:t>juridical power</w:t>
      </w:r>
      <w:r w:rsidRPr="00DA33F9">
        <w:rPr>
          <w:rFonts w:cs="Calibri"/>
          <w:sz w:val="22"/>
          <w:szCs w:val="22"/>
          <w:lang w:val="en-US"/>
        </w:rPr>
        <w:t xml:space="preserve"> </w:t>
      </w:r>
      <w:r w:rsidRPr="00C17B61">
        <w:rPr>
          <w:rFonts w:cs="Calibri"/>
          <w:i/>
          <w:iCs/>
          <w:sz w:val="22"/>
          <w:szCs w:val="22"/>
          <w:lang w:val="en-US"/>
        </w:rPr>
        <w:t>and</w:t>
      </w:r>
      <w:r w:rsidRPr="00DA33F9">
        <w:rPr>
          <w:rFonts w:cs="Calibri"/>
          <w:sz w:val="22"/>
          <w:szCs w:val="22"/>
          <w:lang w:val="en-US"/>
        </w:rPr>
        <w:t xml:space="preserve"> discipli</w:t>
      </w:r>
      <w:r>
        <w:rPr>
          <w:rFonts w:cs="Calibri"/>
          <w:sz w:val="22"/>
          <w:szCs w:val="22"/>
          <w:lang w:val="en-US"/>
        </w:rPr>
        <w:t>ning power were employed in order to</w:t>
      </w:r>
      <w:r w:rsidRPr="00DA33F9">
        <w:rPr>
          <w:rFonts w:cs="Calibri"/>
          <w:sz w:val="22"/>
          <w:szCs w:val="22"/>
          <w:lang w:val="en-US"/>
        </w:rPr>
        <w:t xml:space="preserve"> </w:t>
      </w:r>
      <w:r>
        <w:rPr>
          <w:rFonts w:cs="Calibri"/>
          <w:sz w:val="22"/>
          <w:szCs w:val="22"/>
          <w:lang w:val="en-US"/>
        </w:rPr>
        <w:t>‘</w:t>
      </w:r>
      <w:r w:rsidRPr="00DA33F9">
        <w:rPr>
          <w:rFonts w:cs="Calibri"/>
          <w:sz w:val="22"/>
          <w:szCs w:val="22"/>
          <w:lang w:val="en-US"/>
        </w:rPr>
        <w:t>resolve</w:t>
      </w:r>
      <w:r>
        <w:rPr>
          <w:rFonts w:cs="Calibri"/>
          <w:sz w:val="22"/>
          <w:szCs w:val="22"/>
          <w:lang w:val="en-US"/>
        </w:rPr>
        <w:t>’</w:t>
      </w:r>
      <w:r w:rsidRPr="00DA33F9">
        <w:rPr>
          <w:rFonts w:cs="Calibri"/>
          <w:sz w:val="22"/>
          <w:szCs w:val="22"/>
          <w:lang w:val="en-US"/>
        </w:rPr>
        <w:t xml:space="preserve"> the paradox of the Indo-European child</w:t>
      </w:r>
      <w:r>
        <w:rPr>
          <w:rFonts w:cs="Calibri"/>
          <w:sz w:val="22"/>
          <w:szCs w:val="22"/>
          <w:lang w:val="en-US"/>
        </w:rPr>
        <w:t>. Institutions such as</w:t>
      </w:r>
      <w:r w:rsidRPr="00DA33F9">
        <w:rPr>
          <w:rFonts w:cs="Calibri"/>
          <w:sz w:val="22"/>
          <w:szCs w:val="22"/>
          <w:lang w:val="en-US"/>
        </w:rPr>
        <w:t xml:space="preserve"> the </w:t>
      </w:r>
      <w:r>
        <w:rPr>
          <w:rFonts w:cs="Calibri"/>
          <w:sz w:val="22"/>
          <w:szCs w:val="22"/>
          <w:lang w:val="en-US"/>
        </w:rPr>
        <w:t>church, schools, the army and the state</w:t>
      </w:r>
      <w:r w:rsidRPr="00DA33F9">
        <w:rPr>
          <w:rFonts w:cs="Calibri"/>
          <w:sz w:val="22"/>
          <w:szCs w:val="22"/>
          <w:lang w:val="en-US"/>
        </w:rPr>
        <w:t xml:space="preserve"> </w:t>
      </w:r>
      <w:r>
        <w:rPr>
          <w:rFonts w:cs="Calibri"/>
          <w:sz w:val="22"/>
          <w:szCs w:val="22"/>
          <w:lang w:val="en-US"/>
        </w:rPr>
        <w:t>intervened in the lives of Indo-Europeans and their mothers, to</w:t>
      </w:r>
      <w:r w:rsidRPr="00DA33F9">
        <w:rPr>
          <w:rFonts w:cs="Calibri"/>
          <w:sz w:val="22"/>
          <w:szCs w:val="22"/>
          <w:lang w:val="en-US"/>
        </w:rPr>
        <w:t xml:space="preserve"> </w:t>
      </w:r>
      <w:r>
        <w:rPr>
          <w:rFonts w:cs="Calibri"/>
          <w:sz w:val="22"/>
          <w:szCs w:val="22"/>
          <w:lang w:val="en-US"/>
        </w:rPr>
        <w:t xml:space="preserve">separate them and </w:t>
      </w:r>
      <w:r w:rsidRPr="00DA33F9">
        <w:rPr>
          <w:rFonts w:cs="Calibri"/>
          <w:sz w:val="22"/>
          <w:szCs w:val="22"/>
          <w:lang w:val="en-US"/>
        </w:rPr>
        <w:t xml:space="preserve">produce </w:t>
      </w:r>
      <w:r>
        <w:rPr>
          <w:rFonts w:cs="Calibri"/>
          <w:sz w:val="22"/>
          <w:szCs w:val="22"/>
          <w:lang w:val="en-US"/>
        </w:rPr>
        <w:t xml:space="preserve">citizens </w:t>
      </w:r>
      <w:r w:rsidRPr="00DA33F9">
        <w:rPr>
          <w:rFonts w:cs="Calibri"/>
          <w:sz w:val="22"/>
          <w:szCs w:val="22"/>
          <w:lang w:val="en-US"/>
        </w:rPr>
        <w:t xml:space="preserve">who </w:t>
      </w:r>
      <w:r>
        <w:rPr>
          <w:rFonts w:cs="Calibri"/>
          <w:sz w:val="22"/>
          <w:szCs w:val="22"/>
          <w:lang w:val="en-US"/>
        </w:rPr>
        <w:t>would no longer pose a threat to the European prestige in the colony.</w:t>
      </w:r>
      <w:r w:rsidRPr="00DA33F9">
        <w:rPr>
          <w:rFonts w:cs="Calibri"/>
          <w:sz w:val="22"/>
          <w:szCs w:val="22"/>
          <w:lang w:val="en-US"/>
        </w:rPr>
        <w:br w:type="page"/>
      </w:r>
    </w:p>
    <w:p w14:paraId="78777B0A" w14:textId="77777777" w:rsidR="009847E8" w:rsidRPr="006A0F82" w:rsidRDefault="009847E8" w:rsidP="000D6B84">
      <w:pPr>
        <w:pStyle w:val="Maxhoofdtekst"/>
        <w:spacing w:line="276" w:lineRule="auto"/>
        <w:outlineLvl w:val="0"/>
        <w:rPr>
          <w:b/>
          <w:bCs/>
          <w:lang w:val="en-US"/>
        </w:rPr>
      </w:pPr>
      <w:bookmarkStart w:id="39" w:name="_Toc234183628"/>
      <w:r w:rsidRPr="00D4065E">
        <w:rPr>
          <w:b/>
          <w:bCs/>
          <w:lang w:val="en-US"/>
        </w:rPr>
        <w:lastRenderedPageBreak/>
        <w:t>Conclusion</w:t>
      </w:r>
      <w:bookmarkEnd w:id="39"/>
    </w:p>
    <w:p w14:paraId="1AB834E8" w14:textId="77777777" w:rsidR="009847E8" w:rsidRDefault="009847E8" w:rsidP="00113E07">
      <w:pPr>
        <w:pStyle w:val="Maxhoofdtekst"/>
        <w:spacing w:line="276" w:lineRule="auto"/>
        <w:ind w:firstLine="284"/>
        <w:rPr>
          <w:lang w:val="en-US"/>
        </w:rPr>
      </w:pPr>
      <w:r w:rsidRPr="00406EB8">
        <w:rPr>
          <w:lang w:val="en-US"/>
        </w:rPr>
        <w:t xml:space="preserve">The </w:t>
      </w:r>
      <w:r>
        <w:rPr>
          <w:lang w:val="en-US"/>
        </w:rPr>
        <w:t>Government</w:t>
      </w:r>
      <w:r w:rsidRPr="00406EB8">
        <w:rPr>
          <w:lang w:val="en-US"/>
        </w:rPr>
        <w:t xml:space="preserve"> Resolution</w:t>
      </w:r>
      <w:r>
        <w:rPr>
          <w:lang w:val="en-US"/>
        </w:rPr>
        <w:t xml:space="preserve"> of 1831 – which legitimized child separation from unmarried Indonesian mothers – framed </w:t>
      </w:r>
      <w:r w:rsidRPr="00406EB8">
        <w:rPr>
          <w:lang w:val="en-US"/>
        </w:rPr>
        <w:t xml:space="preserve">the systematic removal of multiracialized children from their Indonesian mothers as a </w:t>
      </w:r>
      <w:r w:rsidRPr="00706C5E">
        <w:rPr>
          <w:rStyle w:val="Emphasis"/>
          <w:i w:val="0"/>
          <w:iCs w:val="0"/>
          <w:lang w:val="en-US"/>
        </w:rPr>
        <w:t>moral obligation</w:t>
      </w:r>
      <w:r w:rsidRPr="00406EB8">
        <w:rPr>
          <w:lang w:val="en-US"/>
        </w:rPr>
        <w:t xml:space="preserve"> of the state. The language of welfare, care, and Christian upbringing was deployed to justify practices</w:t>
      </w:r>
      <w:r>
        <w:rPr>
          <w:lang w:val="en-US"/>
        </w:rPr>
        <w:t xml:space="preserve"> which produced racial hierarchies and aimed to maintain colonial authority in the Dutch East Indies</w:t>
      </w:r>
      <w:r w:rsidRPr="00406EB8">
        <w:rPr>
          <w:lang w:val="en-US"/>
        </w:rPr>
        <w:t xml:space="preserve">. This thesis has demonstrated that child separation in the Dutch East Indies was a biopolitical technique, </w:t>
      </w:r>
      <w:r>
        <w:rPr>
          <w:lang w:val="en-US"/>
        </w:rPr>
        <w:t>used</w:t>
      </w:r>
      <w:r w:rsidRPr="00406EB8">
        <w:rPr>
          <w:lang w:val="en-US"/>
        </w:rPr>
        <w:t xml:space="preserve"> to produce and preserve a European bourgeois identity in the colony by neutralizing the racial ambiguity embodied by Indo-European children.</w:t>
      </w:r>
    </w:p>
    <w:p w14:paraId="27D26EF1" w14:textId="77777777" w:rsidR="009847E8" w:rsidRPr="00FB5F30" w:rsidRDefault="009847E8" w:rsidP="00113E07">
      <w:pPr>
        <w:pStyle w:val="Maxhoofdtekst"/>
        <w:spacing w:line="276" w:lineRule="auto"/>
        <w:ind w:firstLine="284"/>
        <w:rPr>
          <w:lang w:val="en-US"/>
        </w:rPr>
      </w:pPr>
      <w:r w:rsidRPr="00FB5F30">
        <w:rPr>
          <w:lang w:val="en-US"/>
        </w:rPr>
        <w:t xml:space="preserve">The combination of Foucault's theory of biopower and sexuality with Stoler's decolonial rereading has provided a productive framework for analyzing these practices. Stoler's </w:t>
      </w:r>
      <w:r>
        <w:rPr>
          <w:lang w:val="en-US"/>
        </w:rPr>
        <w:t>attention on</w:t>
      </w:r>
      <w:r w:rsidRPr="00FB5F30">
        <w:rPr>
          <w:lang w:val="en-US"/>
        </w:rPr>
        <w:t xml:space="preserve"> the gendered and imperial dimensions of biopower</w:t>
      </w:r>
      <w:r>
        <w:rPr>
          <w:lang w:val="en-US"/>
        </w:rPr>
        <w:t xml:space="preserve"> – dimensions which</w:t>
      </w:r>
      <w:r w:rsidRPr="00FB5F30">
        <w:rPr>
          <w:lang w:val="en-US"/>
        </w:rPr>
        <w:t xml:space="preserve"> Foucault </w:t>
      </w:r>
      <w:r>
        <w:rPr>
          <w:lang w:val="en-US"/>
        </w:rPr>
        <w:t>overlooked or ignored</w:t>
      </w:r>
      <w:r w:rsidRPr="00FB5F30">
        <w:rPr>
          <w:lang w:val="en-US"/>
        </w:rPr>
        <w:t xml:space="preserve"> </w:t>
      </w:r>
      <w:r>
        <w:rPr>
          <w:lang w:val="en-US"/>
        </w:rPr>
        <w:t xml:space="preserve">– has </w:t>
      </w:r>
      <w:r w:rsidRPr="00FB5F30">
        <w:rPr>
          <w:lang w:val="en-US"/>
        </w:rPr>
        <w:t xml:space="preserve"> been indispensable for understanding how the njai and her children became targets of colonial normalizing interventions. The analysis has shown that colonial discourses on pauperism, motherhood, and childrearing </w:t>
      </w:r>
      <w:r>
        <w:rPr>
          <w:lang w:val="en-US"/>
        </w:rPr>
        <w:t>produced</w:t>
      </w:r>
      <w:r w:rsidRPr="00FB5F30">
        <w:rPr>
          <w:lang w:val="en-US"/>
        </w:rPr>
        <w:t xml:space="preserve"> racial hierarchi</w:t>
      </w:r>
      <w:r>
        <w:rPr>
          <w:lang w:val="en-US"/>
        </w:rPr>
        <w:t>es, through the</w:t>
      </w:r>
      <w:r w:rsidRPr="00FB5F30">
        <w:rPr>
          <w:lang w:val="en-US"/>
        </w:rPr>
        <w:t xml:space="preserve"> </w:t>
      </w:r>
      <w:r>
        <w:rPr>
          <w:lang w:val="en-US"/>
        </w:rPr>
        <w:t>portrayal of</w:t>
      </w:r>
      <w:r w:rsidRPr="00FB5F30">
        <w:rPr>
          <w:lang w:val="en-US"/>
        </w:rPr>
        <w:t xml:space="preserve"> </w:t>
      </w:r>
      <w:r>
        <w:rPr>
          <w:lang w:val="en-US"/>
        </w:rPr>
        <w:t>unmarried</w:t>
      </w:r>
      <w:r w:rsidRPr="00FB5F30">
        <w:rPr>
          <w:lang w:val="en-US"/>
        </w:rPr>
        <w:t xml:space="preserve"> Indonesian mother</w:t>
      </w:r>
      <w:r>
        <w:rPr>
          <w:lang w:val="en-US"/>
        </w:rPr>
        <w:t>s</w:t>
      </w:r>
      <w:r w:rsidRPr="00FB5F30">
        <w:rPr>
          <w:lang w:val="en-US"/>
        </w:rPr>
        <w:t xml:space="preserve"> as unfit parent</w:t>
      </w:r>
      <w:r>
        <w:rPr>
          <w:lang w:val="en-US"/>
        </w:rPr>
        <w:t>s</w:t>
      </w:r>
      <w:r w:rsidRPr="00FB5F30">
        <w:rPr>
          <w:lang w:val="en-US"/>
        </w:rPr>
        <w:t>. The separation of children from their Indonesian kin was, in Foucault's terms, an act of internal racism: the identification</w:t>
      </w:r>
      <w:r>
        <w:rPr>
          <w:lang w:val="en-US"/>
        </w:rPr>
        <w:t xml:space="preserve"> and normalization </w:t>
      </w:r>
      <w:r w:rsidRPr="00FB5F30">
        <w:rPr>
          <w:lang w:val="en-US"/>
        </w:rPr>
        <w:t xml:space="preserve">of an internal enemy in order to secure the health of the colonial </w:t>
      </w:r>
      <w:r>
        <w:rPr>
          <w:lang w:val="en-US"/>
        </w:rPr>
        <w:t>state</w:t>
      </w:r>
      <w:r w:rsidRPr="00FB5F30">
        <w:rPr>
          <w:lang w:val="en-US"/>
        </w:rPr>
        <w:t>.</w:t>
      </w:r>
    </w:p>
    <w:p w14:paraId="4EF6D20A" w14:textId="77777777" w:rsidR="009847E8" w:rsidRPr="00FB5F30" w:rsidRDefault="009847E8" w:rsidP="00113E07">
      <w:pPr>
        <w:pStyle w:val="Maxhoofdtekst"/>
        <w:spacing w:line="276" w:lineRule="auto"/>
        <w:ind w:firstLine="284"/>
        <w:rPr>
          <w:lang w:val="en-US"/>
        </w:rPr>
      </w:pPr>
      <w:r w:rsidRPr="00FB5F30">
        <w:rPr>
          <w:lang w:val="en-US"/>
        </w:rPr>
        <w:t xml:space="preserve">This research has also confirmed that a purely Foucauldian framework is insufficient for analyzing the legal mechanisms through which child separation was implemented and contested. Law in the Dutch East Indies was not merely a repressive </w:t>
      </w:r>
      <w:r>
        <w:rPr>
          <w:lang w:val="en-US"/>
        </w:rPr>
        <w:t>mechanism</w:t>
      </w:r>
      <w:r w:rsidRPr="00FB5F30">
        <w:rPr>
          <w:lang w:val="en-US"/>
        </w:rPr>
        <w:t xml:space="preserve"> </w:t>
      </w:r>
      <w:r w:rsidRPr="001D6CB4">
        <w:rPr>
          <w:rFonts w:cs="Calibri"/>
          <w:lang w:val="en-US"/>
        </w:rPr>
        <w:t>–</w:t>
      </w:r>
      <w:r w:rsidRPr="00FB5F30">
        <w:rPr>
          <w:lang w:val="en-US"/>
        </w:rPr>
        <w:t xml:space="preserve"> </w:t>
      </w:r>
      <w:r w:rsidRPr="008F47D1">
        <w:rPr>
          <w:lang w:val="en-US"/>
        </w:rPr>
        <w:t>rather, law was a productive form power which assigned racial categories, distributed custody rights and determined the conditions under which Indo-European children could be separated from their mothers.</w:t>
      </w:r>
      <w:r w:rsidRPr="00FB5F30">
        <w:rPr>
          <w:lang w:val="en-US"/>
        </w:rPr>
        <w:t xml:space="preserve"> </w:t>
      </w:r>
      <w:r>
        <w:rPr>
          <w:lang w:val="en-US"/>
        </w:rPr>
        <w:t>Simultaneously,</w:t>
      </w:r>
      <w:r w:rsidRPr="00FB5F30">
        <w:rPr>
          <w:lang w:val="en-US"/>
        </w:rPr>
        <w:t xml:space="preserve"> colonial courts were also, on rare occasions, </w:t>
      </w:r>
      <w:r>
        <w:rPr>
          <w:lang w:val="en-US"/>
        </w:rPr>
        <w:t>locations</w:t>
      </w:r>
      <w:r w:rsidRPr="00FB5F30">
        <w:rPr>
          <w:lang w:val="en-US"/>
        </w:rPr>
        <w:t xml:space="preserve"> where Indonesian mothers contested t</w:t>
      </w:r>
      <w:r>
        <w:rPr>
          <w:lang w:val="en-US"/>
        </w:rPr>
        <w:t>his separation</w:t>
      </w:r>
      <w:r w:rsidRPr="00FB5F30">
        <w:rPr>
          <w:lang w:val="en-US"/>
        </w:rPr>
        <w:t xml:space="preserve">. </w:t>
      </w:r>
      <w:r>
        <w:rPr>
          <w:lang w:val="en-US"/>
        </w:rPr>
        <w:t>Considering</w:t>
      </w:r>
      <w:r w:rsidRPr="00FB5F30">
        <w:rPr>
          <w:lang w:val="en-US"/>
        </w:rPr>
        <w:t xml:space="preserve"> law as </w:t>
      </w:r>
      <w:r>
        <w:rPr>
          <w:lang w:val="en-US"/>
        </w:rPr>
        <w:t>a productive power mechanism</w:t>
      </w:r>
      <w:r w:rsidRPr="00FB5F30">
        <w:rPr>
          <w:lang w:val="en-US"/>
        </w:rPr>
        <w:t xml:space="preserve"> and as </w:t>
      </w:r>
      <w:r>
        <w:rPr>
          <w:lang w:val="en-US"/>
        </w:rPr>
        <w:t>an instrument of</w:t>
      </w:r>
      <w:r w:rsidRPr="00FB5F30">
        <w:rPr>
          <w:lang w:val="en-US"/>
        </w:rPr>
        <w:t xml:space="preserve"> resistance</w:t>
      </w:r>
      <w:r>
        <w:rPr>
          <w:lang w:val="en-US"/>
        </w:rPr>
        <w:t xml:space="preserve">, </w:t>
      </w:r>
      <w:r w:rsidRPr="00FB5F30">
        <w:rPr>
          <w:lang w:val="en-US"/>
        </w:rPr>
        <w:t xml:space="preserve">adds </w:t>
      </w:r>
      <w:r>
        <w:rPr>
          <w:lang w:val="en-US"/>
        </w:rPr>
        <w:t>a valuable dimension</w:t>
      </w:r>
      <w:r w:rsidRPr="00FB5F30">
        <w:rPr>
          <w:lang w:val="en-US"/>
        </w:rPr>
        <w:t xml:space="preserve"> to</w:t>
      </w:r>
      <w:r>
        <w:rPr>
          <w:lang w:val="en-US"/>
        </w:rPr>
        <w:t xml:space="preserve"> the theoretical</w:t>
      </w:r>
      <w:r w:rsidRPr="00FB5F30">
        <w:rPr>
          <w:lang w:val="en-US"/>
        </w:rPr>
        <w:t xml:space="preserve"> framework </w:t>
      </w:r>
      <w:r>
        <w:rPr>
          <w:lang w:val="en-US"/>
        </w:rPr>
        <w:t xml:space="preserve">of Foucault and Stoler. </w:t>
      </w:r>
    </w:p>
    <w:p w14:paraId="6DE4B634" w14:textId="77777777" w:rsidR="009847E8" w:rsidRDefault="009847E8" w:rsidP="001E0274">
      <w:pPr>
        <w:spacing w:before="240" w:after="240" w:line="276" w:lineRule="auto"/>
        <w:ind w:firstLine="284"/>
        <w:jc w:val="both"/>
        <w:rPr>
          <w:rFonts w:cs="Calibri"/>
          <w:sz w:val="22"/>
          <w:szCs w:val="22"/>
          <w:lang w:val="en-US"/>
        </w:rPr>
      </w:pPr>
      <w:r>
        <w:rPr>
          <w:rFonts w:cs="Calibri"/>
          <w:sz w:val="22"/>
          <w:szCs w:val="22"/>
          <w:lang w:val="en-US"/>
        </w:rPr>
        <w:t xml:space="preserve">What still intrigues me is the notion of resistance in Foucault’s work and what it means in a colonial context. Although </w:t>
      </w:r>
      <w:r w:rsidRPr="001151A4">
        <w:rPr>
          <w:rFonts w:cs="Calibri"/>
          <w:i/>
          <w:iCs/>
          <w:sz w:val="22"/>
          <w:szCs w:val="22"/>
          <w:lang w:val="en-US"/>
        </w:rPr>
        <w:t>Race and the Education of Desire</w:t>
      </w:r>
      <w:r>
        <w:rPr>
          <w:rFonts w:cs="Calibri"/>
          <w:sz w:val="22"/>
          <w:szCs w:val="22"/>
          <w:lang w:val="en-US"/>
        </w:rPr>
        <w:t xml:space="preserve"> offers a comprehensive rereading of Foucault’s theory of biopower and technologies of sex, Stoler strikingly avoids discussing his concept of resistance in the colonial context. This omission is striking, given the extremely important position that resistance occupies in Foucault’s theory of power. Indeed, re</w:t>
      </w:r>
      <w:r w:rsidRPr="003251F0">
        <w:rPr>
          <w:rFonts w:cs="Calibri"/>
          <w:sz w:val="22"/>
          <w:szCs w:val="22"/>
          <w:lang w:val="en-US"/>
        </w:rPr>
        <w:t xml:space="preserve">sistance is something that is inevitably concomitant to </w:t>
      </w:r>
      <w:r>
        <w:rPr>
          <w:rFonts w:cs="Calibri"/>
          <w:sz w:val="22"/>
          <w:szCs w:val="22"/>
          <w:lang w:val="en-US"/>
        </w:rPr>
        <w:t>bio</w:t>
      </w:r>
      <w:r w:rsidRPr="003251F0">
        <w:rPr>
          <w:rFonts w:cs="Calibri"/>
          <w:sz w:val="22"/>
          <w:szCs w:val="22"/>
          <w:lang w:val="en-US"/>
        </w:rPr>
        <w:t>power: ‘where there is power, there is resistance’.</w:t>
      </w:r>
      <w:r w:rsidRPr="003251F0">
        <w:rPr>
          <w:rFonts w:cs="Calibri"/>
          <w:sz w:val="22"/>
          <w:szCs w:val="22"/>
          <w:vertAlign w:val="superscript"/>
          <w:lang w:val="en-US"/>
        </w:rPr>
        <w:footnoteReference w:id="281"/>
      </w:r>
      <w:r w:rsidRPr="003251F0">
        <w:rPr>
          <w:rFonts w:cs="Calibri"/>
          <w:sz w:val="22"/>
          <w:szCs w:val="22"/>
          <w:lang w:val="en-US"/>
        </w:rPr>
        <w:t xml:space="preserve"> ‘Yet’, </w:t>
      </w:r>
      <w:r>
        <w:rPr>
          <w:rFonts w:cs="Calibri"/>
          <w:sz w:val="22"/>
          <w:szCs w:val="22"/>
          <w:lang w:val="en-US"/>
        </w:rPr>
        <w:t>Foucault</w:t>
      </w:r>
      <w:r w:rsidRPr="003251F0">
        <w:rPr>
          <w:rFonts w:cs="Calibri"/>
          <w:sz w:val="22"/>
          <w:szCs w:val="22"/>
          <w:lang w:val="en-US"/>
        </w:rPr>
        <w:t xml:space="preserve"> continues, ‘this resistance is never in a position of exteriority in relation to power’.</w:t>
      </w:r>
      <w:r w:rsidRPr="003251F0">
        <w:rPr>
          <w:rFonts w:cs="Calibri"/>
          <w:sz w:val="22"/>
          <w:szCs w:val="22"/>
          <w:vertAlign w:val="superscript"/>
          <w:lang w:val="en-US"/>
        </w:rPr>
        <w:footnoteReference w:id="282"/>
      </w:r>
      <w:r w:rsidRPr="003251F0">
        <w:rPr>
          <w:rFonts w:cs="Calibri"/>
          <w:sz w:val="22"/>
          <w:szCs w:val="22"/>
          <w:lang w:val="en-US"/>
        </w:rPr>
        <w:t xml:space="preserve"> It is therefore wrong to think of resistance as a separate ‘substance’, existing independently, before or outside of the realm of power.</w:t>
      </w:r>
      <w:r w:rsidRPr="003251F0">
        <w:rPr>
          <w:rFonts w:cs="Calibri"/>
          <w:sz w:val="22"/>
          <w:szCs w:val="22"/>
          <w:vertAlign w:val="superscript"/>
          <w:lang w:val="en-US"/>
        </w:rPr>
        <w:footnoteReference w:id="283"/>
      </w:r>
      <w:r>
        <w:rPr>
          <w:rFonts w:cs="Calibri"/>
          <w:sz w:val="22"/>
          <w:szCs w:val="22"/>
          <w:lang w:val="en-US"/>
        </w:rPr>
        <w:t xml:space="preserve"> Future research could focus on a decolonial reading of Foucault’s concept of resistance and how it contributes to our understanding of acts of resistance by women within the colony. As Nancy Jouwe, and many other postcolonial scholars have pointed out, enslaved people resisted enslavement in the colony in many ways, including killing their owners, running away, using secret languages and lodging </w:t>
      </w:r>
      <w:r>
        <w:rPr>
          <w:rFonts w:cs="Calibri"/>
          <w:sz w:val="22"/>
          <w:szCs w:val="22"/>
          <w:lang w:val="en-US"/>
        </w:rPr>
        <w:lastRenderedPageBreak/>
        <w:t>complaints with the colonial government institutions.</w:t>
      </w:r>
      <w:r>
        <w:rPr>
          <w:rStyle w:val="FootnoteReference"/>
          <w:rFonts w:cs="Calibri"/>
          <w:sz w:val="22"/>
          <w:szCs w:val="22"/>
          <w:lang w:val="en-US"/>
        </w:rPr>
        <w:footnoteReference w:id="284"/>
      </w:r>
      <w:r>
        <w:rPr>
          <w:rFonts w:cs="Calibri"/>
          <w:sz w:val="22"/>
          <w:szCs w:val="22"/>
          <w:lang w:val="en-US"/>
        </w:rPr>
        <w:t xml:space="preserve"> By extension, there must have been instances of resistance against the practice of child separation in the colony. I am curious to find out about these instances, whether and if so, how they can be understood within Foucault’s framework of power and resistance as concomitant practices. Unfortunately, such research extends beyond the scope and timeframe of this thesis. Nevertheless, it is a topic that I would be keen to explore further. </w:t>
      </w:r>
    </w:p>
    <w:p w14:paraId="7A2ECA4B" w14:textId="77777777" w:rsidR="009847E8" w:rsidRPr="001D6CB4" w:rsidRDefault="009847E8" w:rsidP="00193C3D">
      <w:pPr>
        <w:pStyle w:val="Maxhoofdtekst"/>
        <w:spacing w:line="276" w:lineRule="auto"/>
        <w:ind w:firstLine="284"/>
        <w:rPr>
          <w:rFonts w:cs="Calibri"/>
          <w:lang w:val="en-US"/>
        </w:rPr>
      </w:pPr>
      <w:r>
        <w:rPr>
          <w:rFonts w:cs="Calibri"/>
          <w:lang w:val="en-US"/>
        </w:rPr>
        <w:t>Furthermore, t</w:t>
      </w:r>
      <w:r w:rsidRPr="001D6CB4">
        <w:rPr>
          <w:rFonts w:cs="Calibri"/>
          <w:lang w:val="en-US"/>
        </w:rPr>
        <w:t>he silence surrounding the njai in the Dutch colonial archives is more recently being filled through</w:t>
      </w:r>
      <w:r>
        <w:rPr>
          <w:rFonts w:cs="Calibri"/>
          <w:lang w:val="en-US"/>
        </w:rPr>
        <w:t xml:space="preserve"> the use of literature and storytelling, Indo-Europeans’</w:t>
      </w:r>
      <w:r w:rsidRPr="001D6CB4">
        <w:rPr>
          <w:rFonts w:cs="Calibri"/>
          <w:lang w:val="en-US"/>
        </w:rPr>
        <w:t xml:space="preserve"> stories and mythological narratives about their </w:t>
      </w:r>
      <w:r w:rsidRPr="001D6CB4">
        <w:rPr>
          <w:rFonts w:cs="Calibri"/>
          <w:i/>
          <w:iCs/>
          <w:lang w:val="en-US"/>
        </w:rPr>
        <w:t>voormoeders</w:t>
      </w:r>
      <w:r w:rsidRPr="001D6CB4">
        <w:rPr>
          <w:rFonts w:cs="Calibri"/>
          <w:lang w:val="en-US"/>
        </w:rPr>
        <w:t xml:space="preserve"> (primordial mothers).</w:t>
      </w:r>
      <w:r w:rsidRPr="001D6CB4">
        <w:rPr>
          <w:rStyle w:val="FootnoteReference"/>
          <w:rFonts w:cs="Calibri"/>
          <w:lang w:val="en-US"/>
        </w:rPr>
        <w:footnoteReference w:id="285"/>
      </w:r>
      <w:r w:rsidRPr="001D6CB4">
        <w:rPr>
          <w:rFonts w:cs="Calibri"/>
          <w:lang w:val="en-US"/>
        </w:rPr>
        <w:t xml:space="preserve"> But how does one tell the story of a person who has been given such a marginalized position in the historical narrative? How do you do justice to women about whom you </w:t>
      </w:r>
      <w:r>
        <w:rPr>
          <w:rFonts w:cs="Calibri"/>
          <w:lang w:val="en-US"/>
        </w:rPr>
        <w:t>are aware</w:t>
      </w:r>
      <w:r w:rsidRPr="001D6CB4">
        <w:rPr>
          <w:rFonts w:cs="Calibri"/>
          <w:lang w:val="en-US"/>
        </w:rPr>
        <w:t xml:space="preserve"> </w:t>
      </w:r>
      <w:r>
        <w:rPr>
          <w:rFonts w:cs="Calibri"/>
          <w:lang w:val="en-US"/>
        </w:rPr>
        <w:t xml:space="preserve">you know </w:t>
      </w:r>
      <w:r w:rsidRPr="001D6CB4">
        <w:rPr>
          <w:rFonts w:cs="Calibri"/>
          <w:lang w:val="en-US"/>
        </w:rPr>
        <w:t>very little?</w:t>
      </w:r>
      <w:r w:rsidRPr="001D6CB4">
        <w:rPr>
          <w:rStyle w:val="FootnoteReference"/>
          <w:rFonts w:cs="Calibri"/>
          <w:lang w:val="en-US"/>
        </w:rPr>
        <w:footnoteReference w:id="286"/>
      </w:r>
      <w:r w:rsidRPr="001D6CB4">
        <w:rPr>
          <w:rFonts w:cs="Calibri"/>
          <w:lang w:val="en-US"/>
        </w:rPr>
        <w:t xml:space="preserve"> As Suze Zijlstra notes: </w:t>
      </w:r>
    </w:p>
    <w:p w14:paraId="7013A48A" w14:textId="77777777" w:rsidR="009847E8" w:rsidRDefault="009847E8" w:rsidP="00193C3D">
      <w:pPr>
        <w:pStyle w:val="Maxhoofdtekst"/>
        <w:spacing w:line="276" w:lineRule="auto"/>
        <w:ind w:left="708"/>
        <w:rPr>
          <w:rFonts w:cs="Calibri"/>
          <w:lang w:val="en-US"/>
        </w:rPr>
      </w:pPr>
      <w:r w:rsidRPr="001D6CB4">
        <w:rPr>
          <w:rFonts w:cs="Calibri"/>
          <w:lang w:val="en-US"/>
        </w:rPr>
        <w:t>‘Every woman has her own history, mother, father, family, ancestors, culture, beliefs, color: of each woman, we know that she must have had all sorts of features and feelings, wishes, dreams and fears, even though there is written so little about her, so little to find.’</w:t>
      </w:r>
      <w:r w:rsidRPr="001D6CB4">
        <w:rPr>
          <w:rStyle w:val="FootnoteReference"/>
          <w:rFonts w:cs="Calibri"/>
          <w:lang w:val="en-US"/>
        </w:rPr>
        <w:footnoteReference w:id="287"/>
      </w:r>
    </w:p>
    <w:p w14:paraId="3C9C47BB" w14:textId="77777777" w:rsidR="009847E8" w:rsidRPr="00193C3D" w:rsidRDefault="009847E8" w:rsidP="00193C3D">
      <w:pPr>
        <w:pStyle w:val="Maxhoofdtekst"/>
        <w:spacing w:line="276" w:lineRule="auto"/>
        <w:ind w:firstLine="284"/>
        <w:rPr>
          <w:lang w:val="en-US"/>
        </w:rPr>
      </w:pPr>
      <w:r>
        <w:rPr>
          <w:rFonts w:cs="Calibri"/>
          <w:lang w:val="en-US"/>
        </w:rPr>
        <w:t>One way of trying to do justice to telling the story of the njai, is through Saidiya Hartman’s method of ‘critical fabulation’ as she has formulated in her seminal essay ‘Venus in Two Acts’. The idea of critical fabulation is to try to paint as full a picture of the lives of enslaved or colonized people, by ‘straining against the limit to write a cultural history of the captive, and, at the same time, enacting the impossibility of representing the lives of the captives precisely through the process of narration’.</w:t>
      </w:r>
      <w:r>
        <w:rPr>
          <w:rStyle w:val="FootnoteReference"/>
          <w:rFonts w:cs="Calibri"/>
          <w:lang w:val="en-US"/>
        </w:rPr>
        <w:footnoteReference w:id="288"/>
      </w:r>
      <w:r>
        <w:rPr>
          <w:rFonts w:cs="Calibri"/>
          <w:lang w:val="en-US"/>
        </w:rPr>
        <w:t xml:space="preserve"> Critical fabulation does not intend to ‘give voice’ to the slave, but to provide a narrative of what might have been.</w:t>
      </w:r>
      <w:r w:rsidRPr="00DF6FA8">
        <w:rPr>
          <w:lang w:val="en-US"/>
        </w:rPr>
        <w:t xml:space="preserve"> </w:t>
      </w:r>
      <w:r w:rsidRPr="001D6CB4">
        <w:rPr>
          <w:lang w:val="en-US"/>
        </w:rPr>
        <w:t>As Hartman puts it, ‘Loss gives rise to longing, and in these circumstances, it would not be far-fetched to consider stories as a form of compensation or even as reparations, perhaps the only kind we will ever receive.’</w:t>
      </w:r>
      <w:r>
        <w:rPr>
          <w:lang w:val="en-US"/>
        </w:rPr>
        <w:t xml:space="preserve"> Further research into acts of resistance by njai women could be complemented through this method of critical fabulation.</w:t>
      </w:r>
    </w:p>
    <w:p w14:paraId="5278A5AD" w14:textId="77777777" w:rsidR="009847E8" w:rsidRDefault="009847E8" w:rsidP="00DF6FA8">
      <w:pPr>
        <w:pStyle w:val="Maxhoofdtekst"/>
        <w:spacing w:line="276" w:lineRule="auto"/>
        <w:ind w:firstLine="284"/>
        <w:rPr>
          <w:lang w:val="en-US"/>
        </w:rPr>
      </w:pPr>
      <w:r w:rsidRPr="00406EB8">
        <w:rPr>
          <w:lang w:val="en-US"/>
        </w:rPr>
        <w:t xml:space="preserve">Finally, I return to the image </w:t>
      </w:r>
      <w:r>
        <w:rPr>
          <w:lang w:val="en-US"/>
        </w:rPr>
        <w:t>featured at the beginning</w:t>
      </w:r>
      <w:r w:rsidRPr="00406EB8">
        <w:rPr>
          <w:lang w:val="en-US"/>
        </w:rPr>
        <w:t xml:space="preserve"> of this thesis</w:t>
      </w:r>
      <w:r>
        <w:rPr>
          <w:lang w:val="en-US"/>
        </w:rPr>
        <w:t>: t</w:t>
      </w:r>
      <w:r w:rsidRPr="00406EB8">
        <w:rPr>
          <w:lang w:val="en-US"/>
        </w:rPr>
        <w:t>he photograph taken at a Protestant orphanage in Surabaya</w:t>
      </w:r>
      <w:r>
        <w:rPr>
          <w:lang w:val="en-US"/>
        </w:rPr>
        <w:t xml:space="preserve"> in 1925 </w:t>
      </w:r>
      <w:r w:rsidRPr="001D6CB4">
        <w:rPr>
          <w:rFonts w:cs="Calibri"/>
          <w:lang w:val="en-US"/>
        </w:rPr>
        <w:t>–</w:t>
      </w:r>
      <w:r w:rsidRPr="00406EB8">
        <w:rPr>
          <w:lang w:val="en-US"/>
        </w:rPr>
        <w:t xml:space="preserve"> Governor-General Fock and his European civil servants, dressed uniformly in white, occupying the center of the fram</w:t>
      </w:r>
      <w:r>
        <w:rPr>
          <w:lang w:val="en-US"/>
        </w:rPr>
        <w:t>e</w:t>
      </w:r>
      <w:r w:rsidRPr="00406EB8">
        <w:rPr>
          <w:lang w:val="en-US"/>
        </w:rPr>
        <w:t>; the children visible only at the margin</w:t>
      </w:r>
      <w:r>
        <w:rPr>
          <w:lang w:val="en-US"/>
        </w:rPr>
        <w:t xml:space="preserve">. </w:t>
      </w:r>
      <w:r w:rsidRPr="00406EB8">
        <w:rPr>
          <w:lang w:val="en-US"/>
        </w:rPr>
        <w:t xml:space="preserve"> </w:t>
      </w:r>
      <w:r>
        <w:rPr>
          <w:lang w:val="en-US"/>
        </w:rPr>
        <w:t xml:space="preserve">I believe that this picture symbolizes </w:t>
      </w:r>
      <w:r w:rsidRPr="00C17B61">
        <w:rPr>
          <w:lang w:val="en-US"/>
        </w:rPr>
        <w:t xml:space="preserve">the </w:t>
      </w:r>
      <w:r>
        <w:rPr>
          <w:lang w:val="en-US"/>
        </w:rPr>
        <w:t>power relations</w:t>
      </w:r>
      <w:r w:rsidRPr="00C17B61">
        <w:rPr>
          <w:lang w:val="en-US"/>
        </w:rPr>
        <w:t xml:space="preserve"> </w:t>
      </w:r>
      <w:r>
        <w:rPr>
          <w:lang w:val="en-US"/>
        </w:rPr>
        <w:t>examined in this</w:t>
      </w:r>
      <w:r w:rsidRPr="00C17B61">
        <w:rPr>
          <w:lang w:val="en-US"/>
        </w:rPr>
        <w:t xml:space="preserve"> thesis: the colonial state asserting itself as the rightful guardian of </w:t>
      </w:r>
      <w:r>
        <w:rPr>
          <w:lang w:val="en-US"/>
        </w:rPr>
        <w:t>Indo-European</w:t>
      </w:r>
      <w:r w:rsidRPr="00C17B61">
        <w:rPr>
          <w:lang w:val="en-US"/>
        </w:rPr>
        <w:t xml:space="preserve"> children</w:t>
      </w:r>
      <w:r>
        <w:rPr>
          <w:lang w:val="en-US"/>
        </w:rPr>
        <w:t xml:space="preserve">, while obscuring the interests of these children and their mothers. Moreover, the photograph symbolizes the production of colonial archives: sources which primarily focus on historical narratives produced by those in power, which marginalize and silence the Indonesian perspective. Throughout this thesis, I have attempted to critically analyze the power relations in the colony which dominate the Dutch colonial archives. </w:t>
      </w:r>
      <w:r>
        <w:rPr>
          <w:lang w:val="en-US"/>
        </w:rPr>
        <w:lastRenderedPageBreak/>
        <w:t xml:space="preserve">Hopefully, this thesis thereby contributes to a </w:t>
      </w:r>
      <w:r w:rsidRPr="001D6CB4">
        <w:rPr>
          <w:lang w:val="en-US"/>
        </w:rPr>
        <w:t>‘historiography as a political force, of history writing as a political act, of historical narrative as a tool of the state and as a subversive weapon against it’.</w:t>
      </w:r>
      <w:r w:rsidRPr="001D6CB4">
        <w:rPr>
          <w:rStyle w:val="FootnoteReference"/>
          <w:rFonts w:cs="Calibri"/>
          <w:lang w:val="en-US"/>
        </w:rPr>
        <w:footnoteReference w:id="289"/>
      </w:r>
      <w:r>
        <w:rPr>
          <w:lang w:val="en-US"/>
        </w:rPr>
        <w:t xml:space="preserve"> </w:t>
      </w:r>
    </w:p>
    <w:p w14:paraId="7978C864" w14:textId="77777777" w:rsidR="009847E8" w:rsidRPr="001D6CB4" w:rsidRDefault="009847E8" w:rsidP="00C17B61">
      <w:pPr>
        <w:rPr>
          <w:rFonts w:cs="Calibri"/>
          <w:sz w:val="22"/>
          <w:lang w:val="en-US"/>
        </w:rPr>
      </w:pPr>
      <w:r>
        <w:rPr>
          <w:rFonts w:cs="Calibri"/>
          <w:sz w:val="22"/>
          <w:lang w:val="en-US"/>
        </w:rPr>
        <w:br w:type="page"/>
      </w:r>
    </w:p>
    <w:p w14:paraId="29ACAFC5" w14:textId="77777777" w:rsidR="009847E8" w:rsidRPr="00A21605" w:rsidRDefault="009847E8" w:rsidP="000D6B84">
      <w:pPr>
        <w:pStyle w:val="Maxhoofdtekst"/>
        <w:spacing w:line="276" w:lineRule="auto"/>
        <w:outlineLvl w:val="0"/>
        <w:rPr>
          <w:rFonts w:cs="Calibri"/>
          <w:b/>
          <w:bCs/>
          <w:lang w:val="en-US"/>
        </w:rPr>
      </w:pPr>
      <w:bookmarkStart w:id="40" w:name="_Toc234183629"/>
      <w:r w:rsidRPr="00A21605">
        <w:rPr>
          <w:rFonts w:cs="Calibri"/>
          <w:b/>
          <w:bCs/>
          <w:lang w:val="en-US"/>
        </w:rPr>
        <w:lastRenderedPageBreak/>
        <w:t>Bibliography</w:t>
      </w:r>
      <w:bookmarkEnd w:id="40"/>
    </w:p>
    <w:p w14:paraId="60DFF3C1" w14:textId="77777777" w:rsidR="009847E8" w:rsidRPr="009847E8" w:rsidRDefault="009847E8" w:rsidP="000D6B84">
      <w:pPr>
        <w:pStyle w:val="Maxhoofdtekst"/>
        <w:spacing w:line="276" w:lineRule="auto"/>
        <w:ind w:left="284" w:hanging="284"/>
        <w:rPr>
          <w:rFonts w:cs="Calibri"/>
        </w:rPr>
      </w:pPr>
      <w:r>
        <w:rPr>
          <w:rFonts w:cs="Calibri"/>
          <w:lang w:val="en-US"/>
        </w:rPr>
        <w:t xml:space="preserve">Antunes, Cátia. “Birthing Empire: The States General and the Chartering of the VOC and the WIC.” In: </w:t>
      </w:r>
      <w:r w:rsidRPr="00EE559B">
        <w:rPr>
          <w:rFonts w:cs="Calibri"/>
          <w:i/>
          <w:iCs/>
          <w:lang w:val="en-US"/>
        </w:rPr>
        <w:t>The Dutch Empire between Ideas and Practice, 1600–2000</w:t>
      </w:r>
      <w:r>
        <w:rPr>
          <w:rFonts w:cs="Calibri"/>
          <w:lang w:val="en-US"/>
        </w:rPr>
        <w:t xml:space="preserve">, edited by </w:t>
      </w:r>
      <w:r w:rsidRPr="00EE559B">
        <w:rPr>
          <w:rFonts w:cs="Calibri"/>
          <w:lang w:val="en-US"/>
        </w:rPr>
        <w:t>René Koekkoek, Anne-Isabelle Richard, Arthur Weststeijn</w:t>
      </w:r>
      <w:r>
        <w:rPr>
          <w:rFonts w:cs="Calibri"/>
          <w:lang w:val="en-US"/>
        </w:rPr>
        <w:t xml:space="preserve">. </w:t>
      </w:r>
      <w:proofErr w:type="spellStart"/>
      <w:r w:rsidRPr="009847E8">
        <w:rPr>
          <w:rFonts w:cs="Calibri"/>
        </w:rPr>
        <w:t>Palgrave</w:t>
      </w:r>
      <w:proofErr w:type="spellEnd"/>
      <w:r w:rsidRPr="009847E8">
        <w:rPr>
          <w:rFonts w:cs="Calibri"/>
        </w:rPr>
        <w:t xml:space="preserve"> </w:t>
      </w:r>
      <w:proofErr w:type="spellStart"/>
      <w:r w:rsidRPr="009847E8">
        <w:rPr>
          <w:rFonts w:cs="Calibri"/>
        </w:rPr>
        <w:t>Macmillan</w:t>
      </w:r>
      <w:proofErr w:type="spellEnd"/>
      <w:r w:rsidRPr="009847E8">
        <w:rPr>
          <w:rFonts w:cs="Calibri"/>
        </w:rPr>
        <w:t xml:space="preserve"> </w:t>
      </w:r>
      <w:proofErr w:type="spellStart"/>
      <w:r w:rsidRPr="009847E8">
        <w:rPr>
          <w:rFonts w:cs="Calibri"/>
        </w:rPr>
        <w:t>Cham</w:t>
      </w:r>
      <w:proofErr w:type="spellEnd"/>
      <w:r w:rsidRPr="009847E8">
        <w:rPr>
          <w:rFonts w:cs="Calibri"/>
        </w:rPr>
        <w:t xml:space="preserve">, 2020.  </w:t>
      </w:r>
    </w:p>
    <w:p w14:paraId="0A970F21" w14:textId="77777777" w:rsidR="009847E8" w:rsidRPr="00A21605" w:rsidRDefault="009847E8" w:rsidP="000D6B84">
      <w:pPr>
        <w:pStyle w:val="Maxhoofdtekst"/>
        <w:spacing w:line="276" w:lineRule="auto"/>
        <w:ind w:left="284" w:hanging="284"/>
        <w:rPr>
          <w:rFonts w:cs="Calibri"/>
          <w:lang w:val="en-US"/>
        </w:rPr>
      </w:pPr>
      <w:proofErr w:type="spellStart"/>
      <w:r w:rsidRPr="009847E8">
        <w:rPr>
          <w:rFonts w:cs="Calibri"/>
        </w:rPr>
        <w:t>Baay</w:t>
      </w:r>
      <w:proofErr w:type="spellEnd"/>
      <w:r w:rsidRPr="009847E8">
        <w:rPr>
          <w:rFonts w:cs="Calibri"/>
        </w:rPr>
        <w:t>, Reggie.</w:t>
      </w:r>
      <w:r w:rsidRPr="00A21605">
        <w:rPr>
          <w:rFonts w:cs="Calibri"/>
        </w:rPr>
        <w:t> </w:t>
      </w:r>
      <w:r w:rsidRPr="00A21605">
        <w:rPr>
          <w:rFonts w:cs="Calibri"/>
          <w:i/>
          <w:iCs/>
        </w:rPr>
        <w:t>De njai: Het concubinaat in Nederlands-Indië</w:t>
      </w:r>
      <w:r w:rsidRPr="00A21605">
        <w:rPr>
          <w:rFonts w:cs="Calibri"/>
        </w:rPr>
        <w:t xml:space="preserve">. </w:t>
      </w:r>
      <w:r w:rsidRPr="009847E8">
        <w:rPr>
          <w:rFonts w:cs="Calibri"/>
          <w:lang w:val="en-GB"/>
        </w:rPr>
        <w:t>Athenaeum, 2008.</w:t>
      </w:r>
    </w:p>
    <w:p w14:paraId="602C1A8F" w14:textId="77777777" w:rsidR="009847E8" w:rsidRPr="00B57583" w:rsidRDefault="009847E8" w:rsidP="000D6B84">
      <w:pPr>
        <w:pStyle w:val="Maxhoofdtekst"/>
        <w:spacing w:line="276" w:lineRule="auto"/>
        <w:ind w:left="284" w:hanging="284"/>
        <w:rPr>
          <w:rFonts w:cs="Calibri"/>
        </w:rPr>
      </w:pPr>
      <w:r w:rsidRPr="009847E8">
        <w:rPr>
          <w:rFonts w:cs="Calibri"/>
          <w:lang w:val="en-GB"/>
        </w:rPr>
        <w:t xml:space="preserve">Bosma, </w:t>
      </w:r>
      <w:proofErr w:type="spellStart"/>
      <w:r w:rsidRPr="009847E8">
        <w:rPr>
          <w:rFonts w:cs="Calibri"/>
          <w:lang w:val="en-GB"/>
        </w:rPr>
        <w:t>Ulbe</w:t>
      </w:r>
      <w:proofErr w:type="spellEnd"/>
      <w:r w:rsidRPr="009847E8">
        <w:rPr>
          <w:rFonts w:cs="Calibri"/>
          <w:lang w:val="en-GB"/>
        </w:rPr>
        <w:t>, and Remco Raben. </w:t>
      </w:r>
      <w:r w:rsidRPr="00B57583">
        <w:rPr>
          <w:rFonts w:cs="Calibri"/>
          <w:i/>
          <w:iCs/>
        </w:rPr>
        <w:t>De oude Indische wereld</w:t>
      </w:r>
      <w:r w:rsidRPr="00B57583">
        <w:rPr>
          <w:rFonts w:cs="Calibri"/>
        </w:rPr>
        <w:t>. Bert Bakker, 2003.</w:t>
      </w:r>
    </w:p>
    <w:p w14:paraId="1703DB49" w14:textId="77777777" w:rsidR="009847E8" w:rsidRDefault="009847E8" w:rsidP="000D6B84">
      <w:pPr>
        <w:pStyle w:val="Maxhoofdtekst"/>
        <w:spacing w:line="276" w:lineRule="auto"/>
        <w:ind w:left="284" w:hanging="284"/>
        <w:rPr>
          <w:rFonts w:cs="Calibri"/>
        </w:rPr>
      </w:pPr>
      <w:r w:rsidRPr="009847E8">
        <w:rPr>
          <w:rFonts w:cs="Calibri"/>
          <w:lang w:val="en-GB"/>
        </w:rPr>
        <w:t xml:space="preserve">Bosma, </w:t>
      </w:r>
      <w:proofErr w:type="spellStart"/>
      <w:r w:rsidRPr="009847E8">
        <w:rPr>
          <w:rFonts w:cs="Calibri"/>
          <w:lang w:val="en-GB"/>
        </w:rPr>
        <w:t>Ulbe</w:t>
      </w:r>
      <w:proofErr w:type="spellEnd"/>
      <w:r w:rsidRPr="009847E8">
        <w:rPr>
          <w:rFonts w:cs="Calibri"/>
          <w:lang w:val="en-GB"/>
        </w:rPr>
        <w:t>, Remco Raben, and Wim Willems. </w:t>
      </w:r>
      <w:r w:rsidRPr="00B57583">
        <w:rPr>
          <w:rFonts w:cs="Calibri"/>
          <w:i/>
          <w:iCs/>
        </w:rPr>
        <w:t>De Geschiedenis van Indische Nederlanders</w:t>
      </w:r>
      <w:r w:rsidRPr="00B57583">
        <w:rPr>
          <w:rFonts w:cs="Calibri"/>
        </w:rPr>
        <w:t>. Bert Bakker, 2006.</w:t>
      </w:r>
    </w:p>
    <w:p w14:paraId="0A003240" w14:textId="77777777" w:rsidR="009847E8" w:rsidRPr="00B57583" w:rsidRDefault="009847E8" w:rsidP="000D6B84">
      <w:pPr>
        <w:pStyle w:val="Maxhoofdtekst"/>
        <w:spacing w:line="276" w:lineRule="auto"/>
        <w:ind w:left="284" w:hanging="284"/>
        <w:rPr>
          <w:rFonts w:cs="Calibri"/>
        </w:rPr>
      </w:pPr>
      <w:r>
        <w:rPr>
          <w:rFonts w:cs="Calibri"/>
        </w:rPr>
        <w:t xml:space="preserve">Bossenbroek, Martin. </w:t>
      </w:r>
      <w:r w:rsidRPr="00F818E5">
        <w:rPr>
          <w:rFonts w:cs="Calibri"/>
          <w:i/>
          <w:iCs/>
        </w:rPr>
        <w:t>Volk voor Indië</w:t>
      </w:r>
      <w:r>
        <w:rPr>
          <w:rFonts w:cs="Calibri"/>
        </w:rPr>
        <w:t>. Uitgeverij de Bataafsche Leeuw, 1992.</w:t>
      </w:r>
    </w:p>
    <w:p w14:paraId="4494739A" w14:textId="77777777" w:rsidR="009847E8" w:rsidRPr="009847E8" w:rsidRDefault="009847E8" w:rsidP="000D6B84">
      <w:pPr>
        <w:pStyle w:val="Maxhoofdtekst"/>
        <w:spacing w:line="276" w:lineRule="auto"/>
        <w:ind w:left="284" w:hanging="284"/>
        <w:rPr>
          <w:rFonts w:cs="Calibri"/>
          <w:lang w:val="en-GB"/>
        </w:rPr>
      </w:pPr>
      <w:r w:rsidRPr="00473BEF">
        <w:rPr>
          <w:rFonts w:cs="Calibri"/>
        </w:rPr>
        <w:t>Dekker, Albert, and Hanneke van Katwijk. "Recht en rechtspraak in Nederlands-Indië". In </w:t>
      </w:r>
      <w:r w:rsidRPr="00473BEF">
        <w:rPr>
          <w:rFonts w:cs="Calibri"/>
          <w:i/>
          <w:iCs/>
        </w:rPr>
        <w:t>Recht en rechtspraak in Nederlands-Indië</w:t>
      </w:r>
      <w:r>
        <w:rPr>
          <w:rFonts w:cs="Calibri"/>
        </w:rPr>
        <w:t xml:space="preserve">, </w:t>
      </w:r>
      <w:proofErr w:type="spellStart"/>
      <w:r w:rsidRPr="009847E8">
        <w:rPr>
          <w:rFonts w:cs="Calibri"/>
        </w:rPr>
        <w:t>edited</w:t>
      </w:r>
      <w:proofErr w:type="spellEnd"/>
      <w:r w:rsidRPr="009847E8">
        <w:rPr>
          <w:rFonts w:cs="Calibri"/>
        </w:rPr>
        <w:t xml:space="preserve"> </w:t>
      </w:r>
      <w:proofErr w:type="spellStart"/>
      <w:r w:rsidRPr="009847E8">
        <w:rPr>
          <w:rFonts w:cs="Calibri"/>
        </w:rPr>
        <w:t>by</w:t>
      </w:r>
      <w:proofErr w:type="spellEnd"/>
      <w:r>
        <w:rPr>
          <w:rFonts w:cs="Calibri"/>
        </w:rPr>
        <w:t xml:space="preserve"> Albert Dekker </w:t>
      </w:r>
      <w:proofErr w:type="spellStart"/>
      <w:r>
        <w:rPr>
          <w:rFonts w:cs="Calibri"/>
        </w:rPr>
        <w:t>and</w:t>
      </w:r>
      <w:proofErr w:type="spellEnd"/>
      <w:r>
        <w:rPr>
          <w:rFonts w:cs="Calibri"/>
        </w:rPr>
        <w:t xml:space="preserve"> Hanneke van Katwijk. </w:t>
      </w:r>
      <w:r w:rsidRPr="009847E8">
        <w:rPr>
          <w:rFonts w:cs="Calibri"/>
          <w:lang w:val="en-GB"/>
        </w:rPr>
        <w:t>Brill, 1993.</w:t>
      </w:r>
    </w:p>
    <w:p w14:paraId="0E23B72F" w14:textId="77777777" w:rsidR="009847E8" w:rsidRPr="009847E8" w:rsidRDefault="009847E8" w:rsidP="000D6B84">
      <w:pPr>
        <w:pStyle w:val="Maxhoofdtekst"/>
        <w:spacing w:line="276" w:lineRule="auto"/>
        <w:ind w:left="284" w:hanging="284"/>
        <w:rPr>
          <w:rFonts w:cs="Calibri"/>
        </w:rPr>
      </w:pPr>
      <w:r w:rsidRPr="009847E8">
        <w:rPr>
          <w:rFonts w:cs="Calibri"/>
          <w:lang w:val="en-GB"/>
        </w:rPr>
        <w:t>Derksen, Maaike. “</w:t>
      </w:r>
      <w:r w:rsidRPr="00F818E5">
        <w:rPr>
          <w:lang w:val="en-US"/>
        </w:rPr>
        <w:t>Embodied Encounters: Colonial Governmentality and Missionary Practices in Java and South Dutch New-Guinea, 1856-1942</w:t>
      </w:r>
      <w:r w:rsidRPr="00F818E5">
        <w:rPr>
          <w:i/>
          <w:iCs/>
          <w:lang w:val="en-US"/>
        </w:rPr>
        <w:t xml:space="preserve">.” </w:t>
      </w:r>
      <w:r w:rsidRPr="009847E8">
        <w:t xml:space="preserve">PhD </w:t>
      </w:r>
      <w:proofErr w:type="spellStart"/>
      <w:r w:rsidRPr="009847E8">
        <w:t>Diss</w:t>
      </w:r>
      <w:proofErr w:type="spellEnd"/>
      <w:r w:rsidRPr="009847E8">
        <w:t xml:space="preserve">., Radboud Universiteit Nijmegen, 2021. </w:t>
      </w:r>
    </w:p>
    <w:p w14:paraId="0B37508E" w14:textId="77777777" w:rsidR="009847E8" w:rsidRPr="00A21605" w:rsidRDefault="009847E8" w:rsidP="000D6B84">
      <w:pPr>
        <w:pStyle w:val="Maxhoofdtekst"/>
        <w:spacing w:line="276" w:lineRule="auto"/>
        <w:ind w:left="284" w:hanging="284"/>
        <w:rPr>
          <w:rFonts w:cs="Calibri"/>
          <w:lang w:val="en-US"/>
        </w:rPr>
      </w:pPr>
      <w:r w:rsidRPr="009847E8">
        <w:rPr>
          <w:rFonts w:cs="Calibri"/>
        </w:rPr>
        <w:t xml:space="preserve">Dijk, Cornelis van, </w:t>
      </w:r>
      <w:proofErr w:type="spellStart"/>
      <w:r w:rsidRPr="009847E8">
        <w:rPr>
          <w:rFonts w:cs="Calibri"/>
        </w:rPr>
        <w:t>and</w:t>
      </w:r>
      <w:proofErr w:type="spellEnd"/>
      <w:r w:rsidRPr="009847E8">
        <w:rPr>
          <w:rFonts w:cs="Calibri"/>
        </w:rPr>
        <w:t xml:space="preserve"> Jean </w:t>
      </w:r>
      <w:proofErr w:type="spellStart"/>
      <w:r w:rsidRPr="009847E8">
        <w:rPr>
          <w:rFonts w:cs="Calibri"/>
        </w:rPr>
        <w:t>Gelman</w:t>
      </w:r>
      <w:proofErr w:type="spellEnd"/>
      <w:r w:rsidRPr="009847E8">
        <w:rPr>
          <w:rFonts w:cs="Calibri"/>
        </w:rPr>
        <w:t>. </w:t>
      </w:r>
      <w:r w:rsidRPr="00A21605">
        <w:rPr>
          <w:rFonts w:cs="Calibri"/>
          <w:i/>
          <w:iCs/>
          <w:lang w:val="en-US"/>
        </w:rPr>
        <w:t>Cleanliness and Culture: Indonesian Histories</w:t>
      </w:r>
      <w:r w:rsidRPr="00A21605">
        <w:rPr>
          <w:rFonts w:cs="Calibri"/>
          <w:lang w:val="en-US"/>
        </w:rPr>
        <w:t>. KITLV Press, 2011.</w:t>
      </w:r>
    </w:p>
    <w:p w14:paraId="641A2031"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Dragojlovic, Ana, and Katharine McGregor. “‘They Call Me Babu’: The Politics of Visibility and Gendered Memories of Dutch Colonialism in Indonesia.” </w:t>
      </w:r>
      <w:r w:rsidRPr="00A21605">
        <w:rPr>
          <w:rFonts w:cs="Calibri"/>
          <w:i/>
          <w:iCs/>
          <w:lang w:val="en-US"/>
        </w:rPr>
        <w:t>Women’s History Review</w:t>
      </w:r>
      <w:r w:rsidRPr="00A21605">
        <w:rPr>
          <w:rFonts w:cs="Calibri"/>
          <w:lang w:val="en-US"/>
        </w:rPr>
        <w:t> 31, no. 6 (2022): 933–52.</w:t>
      </w:r>
    </w:p>
    <w:p w14:paraId="5951D203" w14:textId="77777777" w:rsidR="009847E8" w:rsidRDefault="009847E8" w:rsidP="000D6B84">
      <w:pPr>
        <w:pStyle w:val="Maxhoofdtekst"/>
        <w:spacing w:line="276" w:lineRule="auto"/>
        <w:ind w:left="284" w:hanging="284"/>
        <w:rPr>
          <w:rFonts w:cs="Calibri"/>
          <w:lang w:val="en-US"/>
        </w:rPr>
      </w:pPr>
      <w:r w:rsidRPr="00A21605">
        <w:rPr>
          <w:rFonts w:cs="Calibri"/>
          <w:lang w:val="en-US"/>
        </w:rPr>
        <w:t>Engelenhoven, G</w:t>
      </w:r>
      <w:r>
        <w:rPr>
          <w:rFonts w:cs="Calibri"/>
          <w:lang w:val="en-US"/>
        </w:rPr>
        <w:t>erlov</w:t>
      </w:r>
      <w:r w:rsidRPr="00A21605">
        <w:rPr>
          <w:rFonts w:cs="Calibri"/>
          <w:lang w:val="en-US"/>
        </w:rPr>
        <w:t xml:space="preserve"> van. “Convict Labor and Concubinage in the Dutch East Indies: Historical and Literary Reappropriations of Martha Christina Tiahahu’s Anti-Colonial Revolt.” In </w:t>
      </w:r>
      <w:r w:rsidRPr="00A21605">
        <w:rPr>
          <w:rFonts w:cs="Calibri"/>
          <w:i/>
          <w:iCs/>
          <w:lang w:val="en-US"/>
        </w:rPr>
        <w:t>Slavery in the Cultural Imagination</w:t>
      </w:r>
      <w:r w:rsidRPr="00A21605">
        <w:rPr>
          <w:rFonts w:cs="Calibri"/>
          <w:lang w:val="en-US"/>
        </w:rPr>
        <w:t>, edited by M</w:t>
      </w:r>
      <w:r>
        <w:rPr>
          <w:rFonts w:cs="Calibri"/>
          <w:lang w:val="en-US"/>
        </w:rPr>
        <w:t>arrigje</w:t>
      </w:r>
      <w:r w:rsidRPr="00A21605">
        <w:rPr>
          <w:rFonts w:cs="Calibri"/>
          <w:lang w:val="en-US"/>
        </w:rPr>
        <w:t xml:space="preserve"> Paijmans and K</w:t>
      </w:r>
      <w:r>
        <w:rPr>
          <w:rFonts w:cs="Calibri"/>
          <w:lang w:val="en-US"/>
        </w:rPr>
        <w:t>arwan</w:t>
      </w:r>
      <w:r w:rsidRPr="00A21605">
        <w:rPr>
          <w:rFonts w:cs="Calibri"/>
          <w:lang w:val="en-US"/>
        </w:rPr>
        <w:t xml:space="preserve"> Fatah-Black</w:t>
      </w:r>
      <w:r>
        <w:rPr>
          <w:rFonts w:cs="Calibri"/>
          <w:lang w:val="en-US"/>
        </w:rPr>
        <w:t xml:space="preserve">. </w:t>
      </w:r>
      <w:r w:rsidRPr="00A21605">
        <w:rPr>
          <w:rFonts w:cs="Calibri"/>
          <w:lang w:val="en-US"/>
        </w:rPr>
        <w:t>Routledge, 2025.</w:t>
      </w:r>
    </w:p>
    <w:p w14:paraId="32F2B19B" w14:textId="77777777" w:rsidR="009847E8" w:rsidRPr="00A21605" w:rsidRDefault="009847E8" w:rsidP="000D6B84">
      <w:pPr>
        <w:pStyle w:val="Maxhoofdtekst"/>
        <w:spacing w:line="276" w:lineRule="auto"/>
        <w:ind w:left="284" w:hanging="284"/>
        <w:rPr>
          <w:rFonts w:cs="Calibri"/>
          <w:lang w:val="en-US"/>
        </w:rPr>
      </w:pPr>
      <w:r w:rsidRPr="009847E8">
        <w:rPr>
          <w:lang w:val="en-GB"/>
        </w:rPr>
        <w:t>Firpo, Christina and Margaret Jacobs. “Taking Children, Ruling Colonies</w:t>
      </w:r>
      <w:r w:rsidRPr="009847E8">
        <w:rPr>
          <w:i/>
          <w:iCs/>
          <w:lang w:val="en-GB"/>
        </w:rPr>
        <w:t>.” Journal of World History</w:t>
      </w:r>
      <w:r w:rsidRPr="009847E8">
        <w:rPr>
          <w:lang w:val="en-GB"/>
        </w:rPr>
        <w:t xml:space="preserve"> 29, no. 4 (2018): 529-562. </w:t>
      </w:r>
    </w:p>
    <w:p w14:paraId="23944C18"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Foucault, Michel. </w:t>
      </w:r>
      <w:r w:rsidRPr="00A21605">
        <w:rPr>
          <w:rFonts w:cs="Calibri"/>
          <w:i/>
          <w:iCs/>
          <w:lang w:val="en-US"/>
        </w:rPr>
        <w:t>The History of Sexuality. Volume 1: An Introduction</w:t>
      </w:r>
      <w:r w:rsidRPr="00A21605">
        <w:rPr>
          <w:rFonts w:cs="Calibri"/>
          <w:lang w:val="en-US"/>
        </w:rPr>
        <w:t>. Vintage Books, 1980.</w:t>
      </w:r>
    </w:p>
    <w:p w14:paraId="0B3804D2"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Foucault, Michel. </w:t>
      </w:r>
      <w:r w:rsidRPr="00A21605">
        <w:rPr>
          <w:rFonts w:cs="Calibri"/>
          <w:i/>
          <w:iCs/>
          <w:lang w:val="en-US"/>
        </w:rPr>
        <w:t>Politics, Philosophy, Culture: Interviews and Other Writings 1977–1984</w:t>
      </w:r>
      <w:r w:rsidRPr="00A21605">
        <w:rPr>
          <w:rFonts w:cs="Calibri"/>
          <w:lang w:val="en-US"/>
        </w:rPr>
        <w:t>. Routledge, 1988.</w:t>
      </w:r>
    </w:p>
    <w:p w14:paraId="7F1DA66E"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Foucault, Michel. </w:t>
      </w:r>
      <w:r w:rsidRPr="00A21605">
        <w:rPr>
          <w:rFonts w:cs="Calibri"/>
          <w:i/>
          <w:iCs/>
          <w:lang w:val="en-US"/>
        </w:rPr>
        <w:t>“Society Must Be Defended”: Lectures at the Collège de France, 1975–76</w:t>
      </w:r>
      <w:r w:rsidRPr="00A21605">
        <w:rPr>
          <w:rFonts w:cs="Calibri"/>
          <w:lang w:val="en-US"/>
        </w:rPr>
        <w:t>. Translated by David Macey. Allen Lane, 2003.</w:t>
      </w:r>
    </w:p>
    <w:p w14:paraId="2F86C85E" w14:textId="77777777" w:rsidR="009847E8" w:rsidRPr="009847E8" w:rsidRDefault="009847E8" w:rsidP="000D6B84">
      <w:pPr>
        <w:pStyle w:val="Maxhoofdtekst"/>
        <w:spacing w:line="276" w:lineRule="auto"/>
        <w:ind w:left="284" w:hanging="284"/>
        <w:rPr>
          <w:rFonts w:cs="Calibri"/>
        </w:rPr>
      </w:pPr>
      <w:r w:rsidRPr="00A21605">
        <w:rPr>
          <w:rFonts w:cs="Calibri"/>
          <w:lang w:val="en-US"/>
        </w:rPr>
        <w:t>Gaastra, Femme Simon. “The Organization of the VOC.” In </w:t>
      </w:r>
      <w:r w:rsidRPr="00A21605">
        <w:rPr>
          <w:rFonts w:cs="Calibri"/>
          <w:i/>
          <w:iCs/>
          <w:lang w:val="en-US"/>
        </w:rPr>
        <w:t>The Archives of the Dutch East India Company (VOC) and the Local Institutions in Batavia (Jakarta)</w:t>
      </w:r>
      <w:r>
        <w:rPr>
          <w:rFonts w:cs="Calibri"/>
          <w:lang w:val="en-US"/>
        </w:rPr>
        <w:t>, edited by Louisa Balk and Frans van Dijk.</w:t>
      </w:r>
      <w:r w:rsidRPr="00A21605">
        <w:rPr>
          <w:rFonts w:cs="Calibri"/>
          <w:lang w:val="en-US"/>
        </w:rPr>
        <w:t xml:space="preserve"> </w:t>
      </w:r>
      <w:r w:rsidRPr="009847E8">
        <w:rPr>
          <w:rFonts w:cs="Calibri"/>
        </w:rPr>
        <w:t>Brill, 2007.</w:t>
      </w:r>
    </w:p>
    <w:p w14:paraId="60C1821B" w14:textId="77777777" w:rsidR="009847E8" w:rsidRPr="009847E8" w:rsidRDefault="009847E8" w:rsidP="00AE1010">
      <w:pPr>
        <w:pStyle w:val="Maxhoofdtekst"/>
        <w:spacing w:line="276" w:lineRule="auto"/>
        <w:ind w:left="284" w:hanging="284"/>
        <w:rPr>
          <w:rFonts w:cs="Calibri"/>
          <w:lang w:val="en-GB"/>
        </w:rPr>
      </w:pPr>
      <w:r w:rsidRPr="00B57583">
        <w:rPr>
          <w:rFonts w:cs="Calibri"/>
        </w:rPr>
        <w:t>Groen, P. M. H. “Aan de rand van de tangsi: Het Kazerneconcubinaat in het KNIL.” </w:t>
      </w:r>
      <w:proofErr w:type="spellStart"/>
      <w:r w:rsidRPr="009847E8">
        <w:rPr>
          <w:rFonts w:cs="Calibri"/>
          <w:i/>
          <w:iCs/>
          <w:lang w:val="en-GB"/>
        </w:rPr>
        <w:t>Militaire</w:t>
      </w:r>
      <w:proofErr w:type="spellEnd"/>
      <w:r w:rsidRPr="009847E8">
        <w:rPr>
          <w:rFonts w:cs="Calibri"/>
          <w:i/>
          <w:iCs/>
          <w:lang w:val="en-GB"/>
        </w:rPr>
        <w:t xml:space="preserve"> Spectator</w:t>
      </w:r>
      <w:r w:rsidRPr="009847E8">
        <w:rPr>
          <w:rFonts w:cs="Calibri"/>
          <w:lang w:val="en-GB"/>
        </w:rPr>
        <w:t> 178, no. 3 (2009): 124–34.</w:t>
      </w:r>
    </w:p>
    <w:p w14:paraId="7AA93C58" w14:textId="77777777" w:rsidR="009847E8" w:rsidRDefault="009847E8" w:rsidP="00AE1010">
      <w:pPr>
        <w:pStyle w:val="Maxhoofdteks"/>
        <w:spacing w:after="80" w:line="276" w:lineRule="auto"/>
        <w:ind w:left="284" w:hanging="284"/>
        <w:rPr>
          <w:rFonts w:cs="Calibri"/>
          <w:lang w:val="en-US"/>
        </w:rPr>
      </w:pPr>
      <w:proofErr w:type="spellStart"/>
      <w:r w:rsidRPr="001D6CB4">
        <w:rPr>
          <w:rFonts w:cs="Calibri"/>
          <w:lang w:val="en-US"/>
        </w:rPr>
        <w:t>Haritaworn</w:t>
      </w:r>
      <w:proofErr w:type="spellEnd"/>
      <w:r w:rsidRPr="001D6CB4">
        <w:rPr>
          <w:rFonts w:cs="Calibri"/>
          <w:lang w:val="en-US"/>
        </w:rPr>
        <w:t xml:space="preserve">, J. </w:t>
      </w:r>
      <w:r>
        <w:rPr>
          <w:rFonts w:cs="Calibri"/>
          <w:lang w:val="en-US"/>
        </w:rPr>
        <w:t>“’</w:t>
      </w:r>
      <w:r w:rsidRPr="001D6CB4">
        <w:rPr>
          <w:rFonts w:cs="Calibri"/>
          <w:lang w:val="en-US"/>
        </w:rPr>
        <w:t>Caucasian and Thai Make a Good Mix</w:t>
      </w:r>
      <w:r>
        <w:rPr>
          <w:rFonts w:cs="Calibri"/>
          <w:lang w:val="en-US"/>
        </w:rPr>
        <w:t>.’</w:t>
      </w:r>
      <w:r w:rsidRPr="001D6CB4">
        <w:rPr>
          <w:rFonts w:cs="Calibri"/>
          <w:lang w:val="en-US"/>
        </w:rPr>
        <w:t xml:space="preserve"> Gender, Ambivalence</w:t>
      </w:r>
      <w:r>
        <w:rPr>
          <w:rFonts w:cs="Calibri"/>
          <w:lang w:val="en-US"/>
        </w:rPr>
        <w:t xml:space="preserve"> </w:t>
      </w:r>
      <w:r w:rsidRPr="001D6CB4">
        <w:rPr>
          <w:rFonts w:cs="Calibri"/>
          <w:lang w:val="en-US"/>
        </w:rPr>
        <w:t>and the ‘Mixed-Race’ Body.</w:t>
      </w:r>
      <w:r>
        <w:rPr>
          <w:rFonts w:cs="Calibri"/>
          <w:lang w:val="en-US"/>
        </w:rPr>
        <w:t>”</w:t>
      </w:r>
      <w:r w:rsidRPr="001D6CB4">
        <w:rPr>
          <w:rFonts w:cs="Calibri"/>
          <w:lang w:val="en-US"/>
        </w:rPr>
        <w:t xml:space="preserve"> </w:t>
      </w:r>
      <w:r w:rsidRPr="002E530F">
        <w:rPr>
          <w:rFonts w:cs="Calibri"/>
          <w:i/>
          <w:iCs/>
          <w:lang w:val="en-US"/>
        </w:rPr>
        <w:t>European Journal of Cultural Studies</w:t>
      </w:r>
      <w:r>
        <w:rPr>
          <w:rFonts w:cs="Calibri"/>
          <w:lang w:val="en-US"/>
        </w:rPr>
        <w:t xml:space="preserve"> </w:t>
      </w:r>
      <w:r w:rsidRPr="001D6CB4">
        <w:rPr>
          <w:rFonts w:cs="Calibri"/>
          <w:lang w:val="en-US"/>
        </w:rPr>
        <w:t>12</w:t>
      </w:r>
      <w:r>
        <w:rPr>
          <w:rFonts w:cs="Calibri"/>
          <w:lang w:val="en-US"/>
        </w:rPr>
        <w:t xml:space="preserve">, no. </w:t>
      </w:r>
      <w:r w:rsidRPr="001D6CB4">
        <w:rPr>
          <w:rFonts w:cs="Calibri"/>
          <w:lang w:val="en-US"/>
        </w:rPr>
        <w:t>1</w:t>
      </w:r>
      <w:r>
        <w:rPr>
          <w:rFonts w:cs="Calibri"/>
          <w:lang w:val="en-US"/>
        </w:rPr>
        <w:t xml:space="preserve"> (2009)</w:t>
      </w:r>
      <w:r w:rsidRPr="001D6CB4">
        <w:rPr>
          <w:rFonts w:cs="Calibri"/>
          <w:lang w:val="en-US"/>
        </w:rPr>
        <w:t>, 59–78.</w:t>
      </w:r>
    </w:p>
    <w:p w14:paraId="497CE372" w14:textId="77777777" w:rsidR="009847E8" w:rsidRPr="002E530F" w:rsidRDefault="009847E8" w:rsidP="00AE1010">
      <w:pPr>
        <w:pStyle w:val="Maxhoofdteks"/>
        <w:spacing w:after="80" w:line="276" w:lineRule="auto"/>
        <w:ind w:left="284" w:hanging="284"/>
        <w:rPr>
          <w:rFonts w:cs="Calibri"/>
          <w:lang w:val="en-US"/>
        </w:rPr>
      </w:pPr>
      <w:r w:rsidRPr="009847E8">
        <w:rPr>
          <w:lang w:val="en-GB"/>
        </w:rPr>
        <w:t xml:space="preserve">Hart, Betty de. </w:t>
      </w:r>
      <w:r w:rsidRPr="009847E8">
        <w:rPr>
          <w:rStyle w:val="Emphasis"/>
          <w:lang w:val="en-GB"/>
        </w:rPr>
        <w:t>Unlikely Couples: Regulating Mixed Sex and Marriage from the Dutch Colonies to European Migration Law</w:t>
      </w:r>
      <w:r w:rsidRPr="009847E8">
        <w:rPr>
          <w:lang w:val="en-GB"/>
        </w:rPr>
        <w:t>. Wolf Legal Publishers, 2014.</w:t>
      </w:r>
    </w:p>
    <w:p w14:paraId="572E6068" w14:textId="77777777" w:rsidR="009847E8" w:rsidRPr="00E30012" w:rsidRDefault="009847E8" w:rsidP="00AE1010">
      <w:pPr>
        <w:pStyle w:val="Maxhoofdtekst"/>
        <w:spacing w:line="276" w:lineRule="auto"/>
        <w:ind w:left="284" w:hanging="284"/>
        <w:rPr>
          <w:rFonts w:cs="Calibri"/>
          <w:i/>
          <w:iCs/>
          <w:lang w:val="en-US"/>
        </w:rPr>
      </w:pPr>
      <w:r w:rsidRPr="00A21605">
        <w:rPr>
          <w:rFonts w:cs="Calibri"/>
          <w:lang w:val="en-US"/>
        </w:rPr>
        <w:t>Hart, Betty de. </w:t>
      </w:r>
      <w:r w:rsidRPr="00A21605">
        <w:rPr>
          <w:rFonts w:cs="Calibri"/>
          <w:i/>
          <w:iCs/>
          <w:lang w:val="en-US"/>
        </w:rPr>
        <w:t>Some Cursory Remarks on Race, Mixture and Law by Three Dutch Jurists</w:t>
      </w:r>
      <w:r w:rsidRPr="00A21605">
        <w:rPr>
          <w:rFonts w:cs="Calibri"/>
          <w:lang w:val="en-US"/>
        </w:rPr>
        <w:t>. Wolf Legal Publishers, 2019.</w:t>
      </w:r>
      <w:r w:rsidRPr="00B63546">
        <w:rPr>
          <w:rFonts w:cs="Calibri"/>
          <w:lang w:val="en-US"/>
        </w:rPr>
        <w:t xml:space="preserve"> </w:t>
      </w:r>
    </w:p>
    <w:p w14:paraId="29356760" w14:textId="77777777" w:rsidR="009847E8" w:rsidRDefault="009847E8" w:rsidP="00B63546">
      <w:pPr>
        <w:pStyle w:val="Maxhoofdtekst"/>
        <w:spacing w:line="276" w:lineRule="auto"/>
        <w:ind w:left="284" w:hanging="284"/>
        <w:rPr>
          <w:rFonts w:cs="Calibri"/>
          <w:lang w:val="en-US"/>
        </w:rPr>
      </w:pPr>
      <w:r w:rsidRPr="00A21605">
        <w:rPr>
          <w:rFonts w:cs="Calibri"/>
          <w:lang w:val="en-US"/>
        </w:rPr>
        <w:lastRenderedPageBreak/>
        <w:t>Hart, Betty de, and Guno Jones. “(Not) Measuring Mixedness in the Netherlands.” In </w:t>
      </w:r>
      <w:r w:rsidRPr="00A21605">
        <w:rPr>
          <w:rFonts w:cs="Calibri"/>
          <w:i/>
          <w:iCs/>
          <w:lang w:val="en-US"/>
        </w:rPr>
        <w:t>The Palgrave International Handbook of Mixed Racial and Ethnic Classification</w:t>
      </w:r>
      <w:r w:rsidRPr="00A21605">
        <w:rPr>
          <w:rFonts w:cs="Calibri"/>
          <w:lang w:val="en-US"/>
        </w:rPr>
        <w:t>, edited by Z. L. Rocha and P. J. Aspinall. Palgrave/MacMillan, 2020.</w:t>
      </w:r>
    </w:p>
    <w:p w14:paraId="00CB8F71" w14:textId="77777777" w:rsidR="009847E8" w:rsidRDefault="009847E8" w:rsidP="00B63546">
      <w:pPr>
        <w:pStyle w:val="Maxhoofdtekst"/>
        <w:spacing w:line="276" w:lineRule="auto"/>
        <w:ind w:left="284" w:hanging="284"/>
        <w:rPr>
          <w:rFonts w:cs="Calibri"/>
          <w:lang w:val="en-US"/>
        </w:rPr>
      </w:pPr>
      <w:r>
        <w:rPr>
          <w:rFonts w:cs="Calibri"/>
          <w:lang w:val="en-US"/>
        </w:rPr>
        <w:t xml:space="preserve">Hart, Betty de. “Race-based child separation in colonial context as crimes against humanity. The Belgian </w:t>
      </w:r>
      <w:r w:rsidRPr="00B63546">
        <w:rPr>
          <w:rFonts w:cs="Calibri"/>
          <w:i/>
          <w:iCs/>
          <w:lang w:val="en-US"/>
        </w:rPr>
        <w:t>métis</w:t>
      </w:r>
      <w:r>
        <w:rPr>
          <w:rFonts w:cs="Calibri"/>
          <w:lang w:val="en-US"/>
        </w:rPr>
        <w:t xml:space="preserve"> courtcase and lessons for the Netherlands.” In: </w:t>
      </w:r>
      <w:r w:rsidRPr="00B63546">
        <w:rPr>
          <w:rFonts w:cs="Calibri"/>
          <w:i/>
          <w:iCs/>
          <w:lang w:val="en-US"/>
        </w:rPr>
        <w:t>Critical Spijkerboer Studies. Liber Amicorum voor Thomas Spijkerboer</w:t>
      </w:r>
      <w:r>
        <w:rPr>
          <w:rFonts w:cs="Calibri"/>
          <w:lang w:val="en-US"/>
        </w:rPr>
        <w:t>, edited by Hemme Battjes, Betty de Hart, Lieneke Slingenberg, Martijn Stronks. Boom, 2025.</w:t>
      </w:r>
    </w:p>
    <w:p w14:paraId="1C4A930E" w14:textId="77777777" w:rsidR="009847E8" w:rsidRDefault="009847E8" w:rsidP="00B63546">
      <w:pPr>
        <w:pStyle w:val="Maxhoofdtekst"/>
        <w:spacing w:line="276" w:lineRule="auto"/>
        <w:ind w:left="284" w:hanging="284"/>
      </w:pPr>
      <w:r w:rsidRPr="009847E8">
        <w:rPr>
          <w:lang w:val="en-GB"/>
        </w:rPr>
        <w:t xml:space="preserve">Hartman, </w:t>
      </w:r>
      <w:proofErr w:type="spellStart"/>
      <w:r w:rsidRPr="009847E8">
        <w:rPr>
          <w:lang w:val="en-GB"/>
        </w:rPr>
        <w:t>Saidiya</w:t>
      </w:r>
      <w:proofErr w:type="spellEnd"/>
      <w:r w:rsidRPr="009847E8">
        <w:rPr>
          <w:lang w:val="en-GB"/>
        </w:rPr>
        <w:t xml:space="preserve">. “Venus in Two Acts.” </w:t>
      </w:r>
      <w:r w:rsidRPr="003A0AF3">
        <w:rPr>
          <w:i/>
          <w:iCs/>
        </w:rPr>
        <w:t>Small Acts</w:t>
      </w:r>
      <w:r>
        <w:t xml:space="preserve"> 12, no. 2 (2008): 1-14.</w:t>
      </w:r>
    </w:p>
    <w:p w14:paraId="73F851FB" w14:textId="77777777" w:rsidR="009847E8" w:rsidRPr="00A21605" w:rsidRDefault="009847E8" w:rsidP="00B63546">
      <w:pPr>
        <w:pStyle w:val="Maxhoofdtekst"/>
        <w:spacing w:line="276" w:lineRule="auto"/>
        <w:ind w:left="284" w:hanging="284"/>
        <w:rPr>
          <w:rFonts w:cs="Calibri"/>
          <w:lang w:val="en-US"/>
        </w:rPr>
      </w:pPr>
      <w:r w:rsidRPr="009847E8">
        <w:t xml:space="preserve">Hilgers, Th. J.A. </w:t>
      </w:r>
      <w:proofErr w:type="spellStart"/>
      <w:r w:rsidRPr="009847E8">
        <w:t>and</w:t>
      </w:r>
      <w:proofErr w:type="spellEnd"/>
      <w:r w:rsidRPr="009847E8">
        <w:t xml:space="preserve"> H. Douma, </w:t>
      </w:r>
      <w:r w:rsidRPr="009847E8">
        <w:rPr>
          <w:i/>
          <w:iCs/>
        </w:rPr>
        <w:t xml:space="preserve">De Indische Lagere School Toegepaste Opvoedkunde en Methodeleer ten Dienste van Onderwijzers en </w:t>
      </w:r>
      <w:proofErr w:type="spellStart"/>
      <w:r w:rsidRPr="009847E8">
        <w:rPr>
          <w:i/>
          <w:iCs/>
        </w:rPr>
        <w:t>Kweekelingen</w:t>
      </w:r>
      <w:proofErr w:type="spellEnd"/>
      <w:r w:rsidRPr="009847E8">
        <w:rPr>
          <w:i/>
          <w:iCs/>
        </w:rPr>
        <w:t>.</w:t>
      </w:r>
      <w:r w:rsidRPr="009847E8">
        <w:t xml:space="preserve"> </w:t>
      </w:r>
      <w:proofErr w:type="spellStart"/>
      <w:r>
        <w:rPr>
          <w:lang w:val="en-US"/>
        </w:rPr>
        <w:t>Weltevreden</w:t>
      </w:r>
      <w:proofErr w:type="spellEnd"/>
      <w:r>
        <w:rPr>
          <w:lang w:val="en-US"/>
        </w:rPr>
        <w:t>, 1908.</w:t>
      </w:r>
    </w:p>
    <w:p w14:paraId="186E03FB" w14:textId="77777777" w:rsidR="009847E8" w:rsidRPr="009847E8" w:rsidRDefault="009847E8" w:rsidP="000D6B84">
      <w:pPr>
        <w:pStyle w:val="Maxhoofdtekst"/>
        <w:spacing w:line="276" w:lineRule="auto"/>
        <w:ind w:left="284" w:hanging="284"/>
        <w:rPr>
          <w:rFonts w:cs="Calibri"/>
        </w:rPr>
      </w:pPr>
      <w:r w:rsidRPr="00A21605">
        <w:rPr>
          <w:rFonts w:cs="Calibri"/>
          <w:lang w:val="en-US"/>
        </w:rPr>
        <w:t>Janti, Nur. “Midwives and Dukun Beranak, the Choices for Handling Childbirth.” </w:t>
      </w:r>
      <w:proofErr w:type="spellStart"/>
      <w:r w:rsidRPr="009847E8">
        <w:rPr>
          <w:rFonts w:cs="Calibri"/>
          <w:i/>
          <w:iCs/>
        </w:rPr>
        <w:t>Lembaran</w:t>
      </w:r>
      <w:proofErr w:type="spellEnd"/>
      <w:r w:rsidRPr="009847E8">
        <w:rPr>
          <w:rFonts w:cs="Calibri"/>
          <w:i/>
          <w:iCs/>
        </w:rPr>
        <w:t xml:space="preserve"> </w:t>
      </w:r>
      <w:proofErr w:type="spellStart"/>
      <w:r w:rsidRPr="009847E8">
        <w:rPr>
          <w:rFonts w:cs="Calibri"/>
          <w:i/>
          <w:iCs/>
        </w:rPr>
        <w:t>Sejarah</w:t>
      </w:r>
      <w:proofErr w:type="spellEnd"/>
      <w:r w:rsidRPr="009847E8">
        <w:rPr>
          <w:rFonts w:cs="Calibri"/>
        </w:rPr>
        <w:t> 16, no. 2 (2020): 165–82.</w:t>
      </w:r>
    </w:p>
    <w:p w14:paraId="4F9B84BB" w14:textId="77777777" w:rsidR="009847E8" w:rsidRPr="009847E8" w:rsidRDefault="009847E8" w:rsidP="000D6B84">
      <w:pPr>
        <w:pStyle w:val="Maxhoofdtekst"/>
        <w:spacing w:line="276" w:lineRule="auto"/>
        <w:ind w:left="284" w:hanging="284"/>
        <w:rPr>
          <w:rFonts w:cs="Calibri"/>
          <w:lang w:val="en-GB"/>
        </w:rPr>
      </w:pPr>
      <w:r w:rsidRPr="00B57583">
        <w:rPr>
          <w:rFonts w:cs="Calibri"/>
        </w:rPr>
        <w:t xml:space="preserve">Jones, </w:t>
      </w:r>
      <w:proofErr w:type="spellStart"/>
      <w:r w:rsidRPr="00B57583">
        <w:rPr>
          <w:rFonts w:cs="Calibri"/>
        </w:rPr>
        <w:t>Guno</w:t>
      </w:r>
      <w:proofErr w:type="spellEnd"/>
      <w:r w:rsidRPr="00B57583">
        <w:rPr>
          <w:rFonts w:cs="Calibri"/>
        </w:rPr>
        <w:t>. </w:t>
      </w:r>
      <w:r w:rsidRPr="00B57583">
        <w:rPr>
          <w:rFonts w:cs="Calibri"/>
          <w:i/>
          <w:iCs/>
        </w:rPr>
        <w:t>Tussen onderdanen, rijksgenoten en Nederlands: Nederlandse politici over burgers uit oost en west en Nederland, 1945–2005</w:t>
      </w:r>
      <w:r w:rsidRPr="00B57583">
        <w:rPr>
          <w:rFonts w:cs="Calibri"/>
        </w:rPr>
        <w:t xml:space="preserve">. </w:t>
      </w:r>
      <w:r w:rsidRPr="009847E8">
        <w:rPr>
          <w:rFonts w:cs="Calibri"/>
          <w:lang w:val="en-GB"/>
        </w:rPr>
        <w:t>Rozenberg, 2007.</w:t>
      </w:r>
    </w:p>
    <w:p w14:paraId="1C3FDDE4" w14:textId="77777777" w:rsidR="009847E8" w:rsidRPr="009847E8" w:rsidRDefault="009847E8" w:rsidP="000D6B84">
      <w:pPr>
        <w:pStyle w:val="Maxhoofdtekst"/>
        <w:spacing w:line="276" w:lineRule="auto"/>
        <w:ind w:left="284" w:hanging="284"/>
        <w:rPr>
          <w:rFonts w:cs="Calibri"/>
          <w:lang w:val="en-GB"/>
        </w:rPr>
      </w:pPr>
      <w:r w:rsidRPr="00E30012">
        <w:rPr>
          <w:rFonts w:cs="Calibri"/>
          <w:lang w:val="en-US"/>
        </w:rPr>
        <w:t>Jones,</w:t>
      </w:r>
      <w:r>
        <w:rPr>
          <w:rFonts w:cs="Calibri"/>
          <w:lang w:val="en-US"/>
        </w:rPr>
        <w:t xml:space="preserve"> Guno.</w:t>
      </w:r>
      <w:r w:rsidRPr="00E30012">
        <w:rPr>
          <w:rFonts w:cs="Calibri"/>
          <w:lang w:val="en-US"/>
        </w:rPr>
        <w:t xml:space="preserve"> </w:t>
      </w:r>
      <w:r>
        <w:rPr>
          <w:rFonts w:cs="Calibri"/>
          <w:lang w:val="en-US"/>
        </w:rPr>
        <w:t>“</w:t>
      </w:r>
      <w:r w:rsidRPr="00E30012">
        <w:rPr>
          <w:rFonts w:cs="Calibri"/>
          <w:lang w:val="en-US"/>
        </w:rPr>
        <w:t>Dutch Politics of Intimacy in Colony and Metropole and Their Afterlives: Reflections on a Shifting Political Economy of Intimacy</w:t>
      </w:r>
      <w:r>
        <w:rPr>
          <w:rFonts w:cs="Calibri"/>
          <w:lang w:val="en-US"/>
        </w:rPr>
        <w:t>.”</w:t>
      </w:r>
      <w:r w:rsidRPr="00E30012">
        <w:rPr>
          <w:rFonts w:cs="Calibri"/>
          <w:lang w:val="en-US"/>
        </w:rPr>
        <w:t xml:space="preserve"> </w:t>
      </w:r>
      <w:r>
        <w:rPr>
          <w:rFonts w:cs="Calibri"/>
          <w:lang w:val="en-US"/>
        </w:rPr>
        <w:t>I</w:t>
      </w:r>
      <w:r w:rsidRPr="00E30012">
        <w:rPr>
          <w:rFonts w:cs="Calibri"/>
          <w:lang w:val="en-US"/>
        </w:rPr>
        <w:t xml:space="preserve">n </w:t>
      </w:r>
      <w:r w:rsidRPr="00E30012">
        <w:rPr>
          <w:rFonts w:cs="Calibri"/>
          <w:i/>
          <w:iCs/>
          <w:lang w:val="en-US"/>
        </w:rPr>
        <w:t>Regulating Interracialized Intimacies</w:t>
      </w:r>
      <w:r w:rsidRPr="00E30012">
        <w:rPr>
          <w:rFonts w:cs="Calibri"/>
          <w:lang w:val="en-US"/>
        </w:rPr>
        <w:t>, ed</w:t>
      </w:r>
      <w:r>
        <w:rPr>
          <w:rFonts w:cs="Calibri"/>
          <w:lang w:val="en-US"/>
        </w:rPr>
        <w:t>ited by</w:t>
      </w:r>
      <w:r w:rsidRPr="00E30012">
        <w:rPr>
          <w:rFonts w:cs="Calibri"/>
          <w:lang w:val="en-US"/>
        </w:rPr>
        <w:t xml:space="preserve"> Elena Zambeli and Betty de Hart</w:t>
      </w:r>
      <w:r>
        <w:rPr>
          <w:rFonts w:cs="Calibri"/>
          <w:lang w:val="en-US"/>
        </w:rPr>
        <w:t xml:space="preserve">. </w:t>
      </w:r>
      <w:r w:rsidRPr="00E30012">
        <w:rPr>
          <w:rFonts w:cs="Calibri"/>
          <w:lang w:val="en-US"/>
        </w:rPr>
        <w:t>Routledge, 2025</w:t>
      </w:r>
      <w:r>
        <w:rPr>
          <w:rFonts w:cs="Calibri"/>
          <w:lang w:val="en-US"/>
        </w:rPr>
        <w:t>.</w:t>
      </w:r>
    </w:p>
    <w:p w14:paraId="59303324" w14:textId="77777777" w:rsidR="009847E8" w:rsidRPr="009847E8" w:rsidRDefault="009847E8" w:rsidP="000D6B84">
      <w:pPr>
        <w:pStyle w:val="Maxhoofdtekst"/>
        <w:spacing w:line="276" w:lineRule="auto"/>
        <w:ind w:left="284" w:hanging="284"/>
        <w:rPr>
          <w:rFonts w:cs="Calibri"/>
          <w:lang w:val="en-GB"/>
        </w:rPr>
      </w:pPr>
      <w:proofErr w:type="spellStart"/>
      <w:r w:rsidRPr="009847E8">
        <w:rPr>
          <w:rFonts w:cs="Calibri"/>
          <w:lang w:val="en-GB"/>
        </w:rPr>
        <w:t>Jouwe</w:t>
      </w:r>
      <w:proofErr w:type="spellEnd"/>
      <w:r w:rsidRPr="009847E8">
        <w:rPr>
          <w:rFonts w:cs="Calibri"/>
          <w:lang w:val="en-GB"/>
        </w:rPr>
        <w:t xml:space="preserve">, Nancy. “Slavery, the Concubine, and the </w:t>
      </w:r>
      <w:proofErr w:type="spellStart"/>
      <w:r w:rsidRPr="009847E8">
        <w:rPr>
          <w:rFonts w:cs="Calibri"/>
          <w:lang w:val="en-GB"/>
        </w:rPr>
        <w:t>Nyai</w:t>
      </w:r>
      <w:proofErr w:type="spellEnd"/>
      <w:r w:rsidRPr="009847E8">
        <w:rPr>
          <w:rFonts w:cs="Calibri"/>
          <w:lang w:val="en-GB"/>
        </w:rPr>
        <w:t xml:space="preserve">.” In </w:t>
      </w:r>
      <w:r w:rsidRPr="009847E8">
        <w:rPr>
          <w:rFonts w:cs="Calibri"/>
          <w:i/>
          <w:iCs/>
          <w:lang w:val="en-GB"/>
        </w:rPr>
        <w:t>Doing Gender in Media, Art, and Culture</w:t>
      </w:r>
      <w:r w:rsidRPr="009847E8">
        <w:rPr>
          <w:rFonts w:cs="Calibri"/>
          <w:lang w:val="en-GB"/>
        </w:rPr>
        <w:t xml:space="preserve">, edited by Rosemarie Buikema, </w:t>
      </w:r>
      <w:proofErr w:type="spellStart"/>
      <w:r w:rsidRPr="009847E8">
        <w:rPr>
          <w:rFonts w:cs="Calibri"/>
          <w:lang w:val="en-GB"/>
        </w:rPr>
        <w:t>Liedeke</w:t>
      </w:r>
      <w:proofErr w:type="spellEnd"/>
      <w:r w:rsidRPr="009847E8">
        <w:rPr>
          <w:rFonts w:cs="Calibri"/>
          <w:lang w:val="en-GB"/>
        </w:rPr>
        <w:t xml:space="preserve"> Plate, Kathrin Thiele. Routledge, 2026. </w:t>
      </w:r>
    </w:p>
    <w:p w14:paraId="2926D893" w14:textId="77777777" w:rsidR="009847E8" w:rsidRPr="00B57583" w:rsidRDefault="009847E8" w:rsidP="000D6B84">
      <w:pPr>
        <w:pStyle w:val="Maxhoofdtekst"/>
        <w:spacing w:line="276" w:lineRule="auto"/>
        <w:ind w:left="284" w:hanging="284"/>
        <w:rPr>
          <w:rFonts w:cs="Calibri"/>
        </w:rPr>
      </w:pPr>
      <w:r>
        <w:rPr>
          <w:lang w:val="en-US"/>
        </w:rPr>
        <w:t xml:space="preserve">Koenig, Moritz. </w:t>
      </w:r>
      <w:r w:rsidRPr="009847E8">
        <w:rPr>
          <w:lang w:val="en-GB"/>
        </w:rPr>
        <w:t>“The </w:t>
      </w:r>
      <w:proofErr w:type="spellStart"/>
      <w:r w:rsidRPr="009847E8">
        <w:rPr>
          <w:i/>
          <w:iCs/>
          <w:lang w:val="en-GB"/>
        </w:rPr>
        <w:t>Indisch</w:t>
      </w:r>
      <w:proofErr w:type="spellEnd"/>
      <w:r w:rsidRPr="009847E8">
        <w:rPr>
          <w:i/>
          <w:iCs/>
          <w:lang w:val="en-GB"/>
        </w:rPr>
        <w:t xml:space="preserve"> </w:t>
      </w:r>
      <w:proofErr w:type="spellStart"/>
      <w:r w:rsidRPr="009847E8">
        <w:rPr>
          <w:i/>
          <w:iCs/>
          <w:lang w:val="en-GB"/>
        </w:rPr>
        <w:t>Tijdschrift</w:t>
      </w:r>
      <w:proofErr w:type="spellEnd"/>
      <w:r w:rsidRPr="009847E8">
        <w:rPr>
          <w:i/>
          <w:iCs/>
          <w:lang w:val="en-GB"/>
        </w:rPr>
        <w:t xml:space="preserve"> van het Recht</w:t>
      </w:r>
      <w:r w:rsidRPr="009847E8">
        <w:rPr>
          <w:lang w:val="en-GB"/>
        </w:rPr>
        <w:t>, 1915–1947: A Critical Reassessment of Dutch Colonial Legal Sources.” </w:t>
      </w:r>
      <w:r w:rsidRPr="00C851DC">
        <w:rPr>
          <w:i/>
          <w:iCs/>
        </w:rPr>
        <w:t>Bijdragen tot de Taal-, Land- en Volkenkunde</w:t>
      </w:r>
      <w:r w:rsidRPr="00C851DC">
        <w:t xml:space="preserve"> 180, no. 1</w:t>
      </w:r>
      <w:r>
        <w:t xml:space="preserve"> (2024):</w:t>
      </w:r>
      <w:r w:rsidRPr="00C851DC">
        <w:t xml:space="preserve"> 62-94. </w:t>
      </w:r>
    </w:p>
    <w:p w14:paraId="524F59D7" w14:textId="77777777" w:rsidR="009847E8" w:rsidRPr="009847E8" w:rsidRDefault="009847E8" w:rsidP="000D6B84">
      <w:pPr>
        <w:pStyle w:val="Maxhoofdtekst"/>
        <w:spacing w:line="276" w:lineRule="auto"/>
        <w:ind w:left="284" w:hanging="284"/>
        <w:rPr>
          <w:rFonts w:cs="Calibri"/>
        </w:rPr>
      </w:pPr>
      <w:proofErr w:type="spellStart"/>
      <w:r w:rsidRPr="009847E8">
        <w:rPr>
          <w:rFonts w:cs="Calibri"/>
        </w:rPr>
        <w:t>Locher</w:t>
      </w:r>
      <w:proofErr w:type="spellEnd"/>
      <w:r w:rsidRPr="009847E8">
        <w:rPr>
          <w:rFonts w:cs="Calibri"/>
        </w:rPr>
        <w:t xml:space="preserve">-Scholten, Elsbeth. </w:t>
      </w:r>
      <w:r w:rsidRPr="00A21605">
        <w:rPr>
          <w:rFonts w:cs="Calibri"/>
          <w:lang w:val="en-US"/>
        </w:rPr>
        <w:t>“Orientalism and the Rhetoric of the Family: Javanese Servants in European Household Manuals and Children’s Fiction.” </w:t>
      </w:r>
      <w:r w:rsidRPr="009847E8">
        <w:rPr>
          <w:rFonts w:cs="Calibri"/>
          <w:i/>
          <w:iCs/>
        </w:rPr>
        <w:t>Indonesia</w:t>
      </w:r>
      <w:r w:rsidRPr="009847E8">
        <w:rPr>
          <w:rFonts w:cs="Calibri"/>
        </w:rPr>
        <w:t>, no. 58 (1994): 19–39.</w:t>
      </w:r>
    </w:p>
    <w:p w14:paraId="49367029" w14:textId="77777777" w:rsidR="009847E8" w:rsidRDefault="009847E8" w:rsidP="000D6B84">
      <w:pPr>
        <w:pStyle w:val="Maxhoofdtekst"/>
        <w:spacing w:line="276" w:lineRule="auto"/>
        <w:ind w:left="284" w:hanging="284"/>
        <w:rPr>
          <w:rFonts w:cs="Calibri"/>
          <w:lang w:val="en-US"/>
        </w:rPr>
      </w:pPr>
      <w:r w:rsidRPr="00925797">
        <w:rPr>
          <w:rFonts w:cs="Calibri"/>
        </w:rPr>
        <w:t>Loo,</w:t>
      </w:r>
      <w:r>
        <w:rPr>
          <w:rFonts w:cs="Calibri"/>
        </w:rPr>
        <w:t xml:space="preserve"> </w:t>
      </w:r>
      <w:proofErr w:type="spellStart"/>
      <w:r w:rsidRPr="00925797">
        <w:rPr>
          <w:rFonts w:cs="Calibri"/>
        </w:rPr>
        <w:t>Vilan</w:t>
      </w:r>
      <w:proofErr w:type="spellEnd"/>
      <w:r w:rsidRPr="00925797">
        <w:rPr>
          <w:rFonts w:cs="Calibri"/>
        </w:rPr>
        <w:t xml:space="preserve"> van de</w:t>
      </w:r>
      <w:r>
        <w:rPr>
          <w:rFonts w:cs="Calibri"/>
        </w:rPr>
        <w:t>.</w:t>
      </w:r>
      <w:r w:rsidRPr="00925797">
        <w:rPr>
          <w:rFonts w:cs="Calibri"/>
        </w:rPr>
        <w:t xml:space="preserve"> </w:t>
      </w:r>
      <w:r w:rsidRPr="00925797">
        <w:rPr>
          <w:rFonts w:cs="Calibri"/>
          <w:i/>
          <w:iCs/>
        </w:rPr>
        <w:t>Verzamelde romans en verhalen van Lin Scholte</w:t>
      </w:r>
      <w:r>
        <w:rPr>
          <w:rFonts w:cs="Calibri"/>
        </w:rPr>
        <w:t xml:space="preserve">. </w:t>
      </w:r>
      <w:proofErr w:type="spellStart"/>
      <w:r w:rsidRPr="009847E8">
        <w:rPr>
          <w:rFonts w:cs="Calibri"/>
          <w:lang w:val="en-GB"/>
        </w:rPr>
        <w:t>Stichting</w:t>
      </w:r>
      <w:proofErr w:type="spellEnd"/>
      <w:r w:rsidRPr="009847E8">
        <w:rPr>
          <w:rFonts w:cs="Calibri"/>
          <w:lang w:val="en-GB"/>
        </w:rPr>
        <w:t xml:space="preserve"> Tong </w:t>
      </w:r>
      <w:proofErr w:type="spellStart"/>
      <w:r w:rsidRPr="009847E8">
        <w:rPr>
          <w:rFonts w:cs="Calibri"/>
          <w:lang w:val="en-GB"/>
        </w:rPr>
        <w:t>Tong</w:t>
      </w:r>
      <w:proofErr w:type="spellEnd"/>
      <w:r w:rsidRPr="009847E8">
        <w:rPr>
          <w:rFonts w:cs="Calibri"/>
          <w:lang w:val="en-GB"/>
        </w:rPr>
        <w:t>, 2007.</w:t>
      </w:r>
    </w:p>
    <w:p w14:paraId="4879B3AE" w14:textId="77777777" w:rsidR="009847E8" w:rsidRPr="009847E8" w:rsidRDefault="009847E8" w:rsidP="000D6B84">
      <w:pPr>
        <w:pStyle w:val="Maxhoofdtekst"/>
        <w:spacing w:line="276" w:lineRule="auto"/>
        <w:ind w:left="284" w:hanging="284"/>
        <w:rPr>
          <w:rFonts w:cs="Calibri"/>
        </w:rPr>
      </w:pPr>
      <w:r>
        <w:rPr>
          <w:rFonts w:cs="Calibri"/>
          <w:lang w:val="en-US"/>
        </w:rPr>
        <w:t xml:space="preserve">Mak, G.A, M.E. Monteiro, E. Wesseling. “Child Separation. (Post)Colonial Policies and Practices in the Netherlands and Belgium.” </w:t>
      </w:r>
      <w:r w:rsidRPr="002E530F">
        <w:rPr>
          <w:rFonts w:cs="Calibri"/>
          <w:i/>
          <w:iCs/>
        </w:rPr>
        <w:t xml:space="preserve">Bijdragen en Mededelingen </w:t>
      </w:r>
      <w:proofErr w:type="gramStart"/>
      <w:r w:rsidRPr="002E530F">
        <w:rPr>
          <w:rFonts w:cs="Calibri"/>
          <w:i/>
          <w:iCs/>
        </w:rPr>
        <w:t>Betreffende</w:t>
      </w:r>
      <w:proofErr w:type="gramEnd"/>
      <w:r w:rsidRPr="002E530F">
        <w:rPr>
          <w:rFonts w:cs="Calibri"/>
          <w:i/>
          <w:iCs/>
        </w:rPr>
        <w:t xml:space="preserve"> de Geschiedenis der Nederlanden</w:t>
      </w:r>
      <w:r w:rsidRPr="009847E8">
        <w:rPr>
          <w:rFonts w:cs="Calibri"/>
        </w:rPr>
        <w:t xml:space="preserve"> 135 (2020): 4-28.  </w:t>
      </w:r>
    </w:p>
    <w:p w14:paraId="7FEEEB6E" w14:textId="77777777" w:rsidR="009847E8" w:rsidRPr="009847E8" w:rsidRDefault="009847E8" w:rsidP="00F818E5">
      <w:pPr>
        <w:pStyle w:val="Maxhoofdtekst"/>
        <w:spacing w:line="276" w:lineRule="auto"/>
        <w:ind w:left="284" w:hanging="284"/>
        <w:rPr>
          <w:rFonts w:cs="Calibri"/>
        </w:rPr>
      </w:pPr>
      <w:r w:rsidRPr="009847E8">
        <w:rPr>
          <w:rFonts w:cs="Calibri"/>
        </w:rPr>
        <w:t>Maten, Wilma van der.</w:t>
      </w:r>
      <w:r w:rsidRPr="00F818E5">
        <w:rPr>
          <w:rFonts w:cs="Calibri"/>
        </w:rPr>
        <w:t xml:space="preserve"> </w:t>
      </w:r>
      <w:r w:rsidRPr="00F818E5">
        <w:rPr>
          <w:rFonts w:cs="Calibri"/>
          <w:i/>
          <w:iCs/>
        </w:rPr>
        <w:t>Vergeten door het Vaderland</w:t>
      </w:r>
      <w:r>
        <w:rPr>
          <w:rFonts w:cs="Calibri"/>
        </w:rPr>
        <w:t xml:space="preserve">. </w:t>
      </w:r>
      <w:r w:rsidRPr="00F818E5">
        <w:rPr>
          <w:rFonts w:cs="Calibri"/>
        </w:rPr>
        <w:t xml:space="preserve">Uitgeverij </w:t>
      </w:r>
      <w:proofErr w:type="spellStart"/>
      <w:r w:rsidRPr="00F818E5">
        <w:rPr>
          <w:rFonts w:cs="Calibri"/>
        </w:rPr>
        <w:t>Conserve</w:t>
      </w:r>
      <w:proofErr w:type="spellEnd"/>
      <w:r w:rsidRPr="009847E8">
        <w:rPr>
          <w:rFonts w:cs="Calibri"/>
        </w:rPr>
        <w:t>, 2015.</w:t>
      </w:r>
    </w:p>
    <w:p w14:paraId="0BCAD745" w14:textId="77777777" w:rsidR="009847E8" w:rsidRDefault="009847E8" w:rsidP="00B63546">
      <w:pPr>
        <w:pStyle w:val="Maxhoofdtekst"/>
        <w:spacing w:line="276" w:lineRule="auto"/>
        <w:ind w:left="284" w:hanging="284"/>
        <w:rPr>
          <w:lang w:val="en-US"/>
        </w:rPr>
      </w:pPr>
      <w:r w:rsidRPr="009847E8">
        <w:t xml:space="preserve">Meer, Alexander van der. “‘Uit </w:t>
      </w:r>
      <w:proofErr w:type="spellStart"/>
      <w:r w:rsidRPr="009847E8">
        <w:t>Europeesch</w:t>
      </w:r>
      <w:proofErr w:type="spellEnd"/>
      <w:r w:rsidRPr="009847E8">
        <w:t xml:space="preserve"> Bloed Afkomstig’: ‘Ras’, religie en controle in het achttiende-eeuwse weeshuis van Batavia.” </w:t>
      </w:r>
      <w:proofErr w:type="spellStart"/>
      <w:r w:rsidRPr="00C10C66">
        <w:rPr>
          <w:i/>
          <w:iCs/>
          <w:lang w:val="en-US"/>
        </w:rPr>
        <w:t>Jaarboek</w:t>
      </w:r>
      <w:proofErr w:type="spellEnd"/>
      <w:r w:rsidRPr="00C10C66">
        <w:rPr>
          <w:i/>
          <w:iCs/>
          <w:lang w:val="en-US"/>
        </w:rPr>
        <w:t xml:space="preserve"> de </w:t>
      </w:r>
      <w:proofErr w:type="spellStart"/>
      <w:r w:rsidRPr="00C10C66">
        <w:rPr>
          <w:i/>
          <w:iCs/>
          <w:lang w:val="en-US"/>
        </w:rPr>
        <w:t>Achttiende</w:t>
      </w:r>
      <w:proofErr w:type="spellEnd"/>
      <w:r w:rsidRPr="00C10C66">
        <w:rPr>
          <w:i/>
          <w:iCs/>
          <w:lang w:val="en-US"/>
        </w:rPr>
        <w:t xml:space="preserve"> </w:t>
      </w:r>
      <w:proofErr w:type="spellStart"/>
      <w:r w:rsidRPr="00C10C66">
        <w:rPr>
          <w:i/>
          <w:iCs/>
          <w:lang w:val="en-US"/>
        </w:rPr>
        <w:t>Eeuw</w:t>
      </w:r>
      <w:proofErr w:type="spellEnd"/>
      <w:r>
        <w:rPr>
          <w:lang w:val="en-US"/>
        </w:rPr>
        <w:t xml:space="preserve"> 57 (2025): 99-117.</w:t>
      </w:r>
    </w:p>
    <w:p w14:paraId="7FB132BA" w14:textId="77777777" w:rsidR="009847E8" w:rsidRDefault="009847E8" w:rsidP="000D6B84">
      <w:pPr>
        <w:pStyle w:val="Maxhoofdtekst"/>
        <w:spacing w:line="276" w:lineRule="auto"/>
        <w:ind w:left="284" w:hanging="284"/>
        <w:rPr>
          <w:lang w:val="en-US"/>
        </w:rPr>
      </w:pPr>
      <w:r>
        <w:rPr>
          <w:lang w:val="en-US"/>
        </w:rPr>
        <w:t>Meer, Arnout</w:t>
      </w:r>
      <w:r w:rsidRPr="00B63546">
        <w:rPr>
          <w:lang w:val="en-US"/>
        </w:rPr>
        <w:t xml:space="preserve"> </w:t>
      </w:r>
      <w:r>
        <w:rPr>
          <w:lang w:val="en-US"/>
        </w:rPr>
        <w:t xml:space="preserve">van der. “East is East, West is West: Forging Modern Identities.” in: </w:t>
      </w:r>
      <w:r w:rsidRPr="006B3033">
        <w:rPr>
          <w:i/>
          <w:iCs/>
          <w:lang w:val="en-US"/>
        </w:rPr>
        <w:t>Performing Power: Cultural Hegemony, Identity and Resistance in Colonial Indonesia</w:t>
      </w:r>
      <w:r>
        <w:rPr>
          <w:i/>
          <w:iCs/>
          <w:lang w:val="en-US"/>
        </w:rPr>
        <w:t>.</w:t>
      </w:r>
      <w:r>
        <w:rPr>
          <w:lang w:val="en-US"/>
        </w:rPr>
        <w:t xml:space="preserve"> Cornell University Press, 2020.</w:t>
      </w:r>
    </w:p>
    <w:p w14:paraId="4BF40068" w14:textId="77777777" w:rsidR="009847E8" w:rsidRPr="00A21605" w:rsidRDefault="009847E8" w:rsidP="000D6B84">
      <w:pPr>
        <w:pStyle w:val="Maxhoofdtekst"/>
        <w:spacing w:line="276" w:lineRule="auto"/>
        <w:ind w:left="284" w:hanging="284"/>
        <w:rPr>
          <w:rFonts w:cs="Calibri"/>
          <w:lang w:val="en-US"/>
        </w:rPr>
      </w:pPr>
      <w:r>
        <w:rPr>
          <w:lang w:val="en-US"/>
        </w:rPr>
        <w:t xml:space="preserve">Meijer, Hans. </w:t>
      </w:r>
      <w:r w:rsidRPr="00CA0F60">
        <w:rPr>
          <w:i/>
          <w:iCs/>
          <w:lang w:val="en-US"/>
        </w:rPr>
        <w:t>In Indië Geworteld</w:t>
      </w:r>
      <w:r>
        <w:rPr>
          <w:lang w:val="en-US"/>
        </w:rPr>
        <w:t xml:space="preserve">. </w:t>
      </w:r>
      <w:r w:rsidRPr="00CA0F60">
        <w:rPr>
          <w:lang w:val="en-US"/>
        </w:rPr>
        <w:t>Bert Bakker, 2004</w:t>
      </w:r>
      <w:r>
        <w:rPr>
          <w:lang w:val="en-US"/>
        </w:rPr>
        <w:t>.</w:t>
      </w:r>
    </w:p>
    <w:p w14:paraId="6AC072EA" w14:textId="77777777" w:rsidR="009847E8" w:rsidRPr="00A21605" w:rsidRDefault="009847E8" w:rsidP="00F818E5">
      <w:pPr>
        <w:pStyle w:val="Maxhoofdtekst"/>
        <w:spacing w:line="276" w:lineRule="auto"/>
        <w:ind w:left="284" w:hanging="284"/>
        <w:rPr>
          <w:rFonts w:cs="Calibri"/>
          <w:lang w:val="en-US"/>
        </w:rPr>
      </w:pPr>
      <w:r w:rsidRPr="00A21605">
        <w:rPr>
          <w:rFonts w:cs="Calibri"/>
          <w:lang w:val="en-US"/>
        </w:rPr>
        <w:t>Ming, Hanneke. “Barracks-Concubinage in the Indies, 1887–1920.” </w:t>
      </w:r>
      <w:r w:rsidRPr="00A21605">
        <w:rPr>
          <w:rFonts w:cs="Calibri"/>
          <w:i/>
          <w:iCs/>
          <w:lang w:val="en-US"/>
        </w:rPr>
        <w:t>Indonesia</w:t>
      </w:r>
      <w:r w:rsidRPr="00A21605">
        <w:rPr>
          <w:rFonts w:cs="Calibri"/>
          <w:lang w:val="en-US"/>
        </w:rPr>
        <w:t>, no. 35 (1983): 65–94.</w:t>
      </w:r>
    </w:p>
    <w:p w14:paraId="740572BE" w14:textId="77777777" w:rsidR="009847E8" w:rsidRPr="00A21605" w:rsidRDefault="009847E8" w:rsidP="000D6B84">
      <w:pPr>
        <w:pStyle w:val="Maxhoofdtekst"/>
        <w:spacing w:line="276" w:lineRule="auto"/>
        <w:ind w:left="284" w:hanging="284"/>
        <w:rPr>
          <w:rFonts w:cs="Calibri"/>
          <w:lang w:val="en-US"/>
        </w:rPr>
      </w:pPr>
      <w:proofErr w:type="spellStart"/>
      <w:r w:rsidRPr="009847E8">
        <w:rPr>
          <w:lang w:val="en-GB"/>
        </w:rPr>
        <w:t>Nederveen</w:t>
      </w:r>
      <w:proofErr w:type="spellEnd"/>
      <w:r w:rsidRPr="009847E8">
        <w:rPr>
          <w:lang w:val="en-GB"/>
        </w:rPr>
        <w:t xml:space="preserve"> </w:t>
      </w:r>
      <w:proofErr w:type="spellStart"/>
      <w:r w:rsidRPr="009847E8">
        <w:rPr>
          <w:lang w:val="en-GB"/>
        </w:rPr>
        <w:t>Meerkerk</w:t>
      </w:r>
      <w:proofErr w:type="spellEnd"/>
      <w:r w:rsidRPr="009847E8">
        <w:rPr>
          <w:lang w:val="en-GB"/>
        </w:rPr>
        <w:t xml:space="preserve">, Elise van. </w:t>
      </w:r>
      <w:r w:rsidRPr="009847E8">
        <w:rPr>
          <w:i/>
          <w:iCs/>
          <w:lang w:val="en-GB"/>
        </w:rPr>
        <w:t>Women, Work and Colonialism in the Netherlands and Java, 1830-194.,</w:t>
      </w:r>
      <w:r w:rsidRPr="009847E8">
        <w:rPr>
          <w:lang w:val="en-GB"/>
        </w:rPr>
        <w:t xml:space="preserve"> Palgrave Macmillan, 2019.</w:t>
      </w:r>
    </w:p>
    <w:p w14:paraId="100FC6E8" w14:textId="77777777" w:rsidR="009847E8" w:rsidRPr="009847E8" w:rsidRDefault="009847E8" w:rsidP="000D6B84">
      <w:pPr>
        <w:pStyle w:val="Maxhoofdtekst"/>
        <w:spacing w:line="276" w:lineRule="auto"/>
        <w:ind w:left="284" w:hanging="284"/>
        <w:rPr>
          <w:rFonts w:cs="Calibri"/>
        </w:rPr>
      </w:pPr>
      <w:r w:rsidRPr="00A21605">
        <w:rPr>
          <w:rFonts w:cs="Calibri"/>
          <w:lang w:val="en-US"/>
        </w:rPr>
        <w:t>Post, Philip. “Living in the Shadow of the Company: Settler Colonialism in the Dutch East Indies in the 1850s.” </w:t>
      </w:r>
      <w:r w:rsidRPr="009847E8">
        <w:rPr>
          <w:rFonts w:cs="Calibri"/>
          <w:i/>
          <w:iCs/>
        </w:rPr>
        <w:t>Internationale Neerlandistiek</w:t>
      </w:r>
      <w:r w:rsidRPr="009847E8">
        <w:rPr>
          <w:rFonts w:cs="Calibri"/>
        </w:rPr>
        <w:t> 63, no. 3 (2025): 252–73.</w:t>
      </w:r>
    </w:p>
    <w:p w14:paraId="484E6AB4" w14:textId="77777777" w:rsidR="009847E8" w:rsidRDefault="009847E8" w:rsidP="000D6B84">
      <w:pPr>
        <w:pStyle w:val="Maxhoofdtekst"/>
        <w:spacing w:line="276" w:lineRule="auto"/>
        <w:ind w:left="284" w:hanging="284"/>
        <w:rPr>
          <w:rFonts w:cs="Calibri"/>
        </w:rPr>
      </w:pPr>
      <w:proofErr w:type="spellStart"/>
      <w:r w:rsidRPr="006B3033">
        <w:rPr>
          <w:rFonts w:cs="Calibri"/>
        </w:rPr>
        <w:lastRenderedPageBreak/>
        <w:t>Praamstra</w:t>
      </w:r>
      <w:proofErr w:type="spellEnd"/>
      <w:r w:rsidRPr="006B3033">
        <w:rPr>
          <w:rFonts w:cs="Calibri"/>
        </w:rPr>
        <w:t xml:space="preserve">, </w:t>
      </w:r>
      <w:proofErr w:type="spellStart"/>
      <w:r w:rsidRPr="006B3033">
        <w:rPr>
          <w:rFonts w:cs="Calibri"/>
        </w:rPr>
        <w:t>Olf</w:t>
      </w:r>
      <w:proofErr w:type="spellEnd"/>
      <w:r w:rsidRPr="006B3033">
        <w:rPr>
          <w:rFonts w:cs="Calibri"/>
        </w:rPr>
        <w:t xml:space="preserve">. “Vertrapt Door Totoks En </w:t>
      </w:r>
      <w:proofErr w:type="spellStart"/>
      <w:r w:rsidRPr="006B3033">
        <w:rPr>
          <w:rFonts w:cs="Calibri"/>
        </w:rPr>
        <w:t>Opzijgeduwd</w:t>
      </w:r>
      <w:proofErr w:type="spellEnd"/>
      <w:r w:rsidRPr="006B3033">
        <w:rPr>
          <w:rFonts w:cs="Calibri"/>
        </w:rPr>
        <w:t xml:space="preserve"> Door Chinezen En Javanen: Victor Ido.” In </w:t>
      </w:r>
      <w:r w:rsidRPr="006B3033">
        <w:rPr>
          <w:rFonts w:cs="Calibri"/>
          <w:i/>
          <w:iCs/>
        </w:rPr>
        <w:t>De Postkoloniale Spiegel: De Nederlands-Indische Letteren Herlezen</w:t>
      </w:r>
      <w:r w:rsidRPr="006B3033">
        <w:rPr>
          <w:rFonts w:cs="Calibri"/>
        </w:rPr>
        <w:t xml:space="preserve">, </w:t>
      </w:r>
      <w:proofErr w:type="spellStart"/>
      <w:r w:rsidRPr="006B3033">
        <w:rPr>
          <w:rFonts w:cs="Calibri"/>
        </w:rPr>
        <w:t>edited</w:t>
      </w:r>
      <w:proofErr w:type="spellEnd"/>
      <w:r w:rsidRPr="006B3033">
        <w:rPr>
          <w:rFonts w:cs="Calibri"/>
        </w:rPr>
        <w:t xml:space="preserve"> </w:t>
      </w:r>
      <w:proofErr w:type="spellStart"/>
      <w:r w:rsidRPr="006B3033">
        <w:rPr>
          <w:rFonts w:cs="Calibri"/>
        </w:rPr>
        <w:t>by</w:t>
      </w:r>
      <w:proofErr w:type="spellEnd"/>
      <w:r w:rsidRPr="006B3033">
        <w:rPr>
          <w:rFonts w:cs="Calibri"/>
        </w:rPr>
        <w:t xml:space="preserve"> Rick Honings, Coen Van </w:t>
      </w:r>
      <w:proofErr w:type="spellStart"/>
      <w:r w:rsidRPr="006B3033">
        <w:rPr>
          <w:rFonts w:cs="Calibri"/>
        </w:rPr>
        <w:t>’T</w:t>
      </w:r>
      <w:proofErr w:type="spellEnd"/>
      <w:r w:rsidRPr="006B3033">
        <w:rPr>
          <w:rFonts w:cs="Calibri"/>
        </w:rPr>
        <w:t xml:space="preserve"> Veer, </w:t>
      </w:r>
      <w:proofErr w:type="spellStart"/>
      <w:r w:rsidRPr="006B3033">
        <w:rPr>
          <w:rFonts w:cs="Calibri"/>
        </w:rPr>
        <w:t>And</w:t>
      </w:r>
      <w:proofErr w:type="spellEnd"/>
      <w:r w:rsidRPr="006B3033">
        <w:rPr>
          <w:rFonts w:cs="Calibri"/>
        </w:rPr>
        <w:t xml:space="preserve"> Jacqueline Bel. Leiden University Press, 2021. </w:t>
      </w:r>
    </w:p>
    <w:p w14:paraId="03604C9E" w14:textId="77777777" w:rsidR="009847E8" w:rsidRPr="009847E8" w:rsidRDefault="009847E8" w:rsidP="00514A67">
      <w:pPr>
        <w:pStyle w:val="Maxhoofdtekst"/>
        <w:spacing w:line="276" w:lineRule="auto"/>
        <w:ind w:left="284" w:hanging="284"/>
        <w:rPr>
          <w:rFonts w:cs="Calibri"/>
        </w:rPr>
      </w:pPr>
      <w:proofErr w:type="spellStart"/>
      <w:r w:rsidRPr="009847E8">
        <w:rPr>
          <w:rFonts w:cs="Calibri"/>
        </w:rPr>
        <w:t>Prosée</w:t>
      </w:r>
      <w:proofErr w:type="spellEnd"/>
      <w:r w:rsidRPr="009847E8">
        <w:rPr>
          <w:rFonts w:cs="Calibri"/>
        </w:rPr>
        <w:t xml:space="preserve">, A.E. </w:t>
      </w:r>
      <w:r w:rsidRPr="009847E8">
        <w:rPr>
          <w:rFonts w:cs="Calibri"/>
          <w:i/>
          <w:iCs/>
        </w:rPr>
        <w:t xml:space="preserve">Het burgerlijk wetboek voor </w:t>
      </w:r>
      <w:proofErr w:type="spellStart"/>
      <w:r w:rsidRPr="009847E8">
        <w:rPr>
          <w:rFonts w:cs="Calibri"/>
          <w:i/>
          <w:iCs/>
        </w:rPr>
        <w:t>Nederlandsch-Indië</w:t>
      </w:r>
      <w:proofErr w:type="spellEnd"/>
      <w:r w:rsidRPr="009847E8">
        <w:rPr>
          <w:rFonts w:cs="Calibri"/>
          <w:i/>
          <w:iCs/>
        </w:rPr>
        <w:t xml:space="preserve">: opgehelderd door arresten en beslissingen van den Hoogen Raad der Nederlanden, het Hoog Gerechtshof en de Raden van Justitie van </w:t>
      </w:r>
      <w:proofErr w:type="spellStart"/>
      <w:r w:rsidRPr="009847E8">
        <w:rPr>
          <w:rFonts w:cs="Calibri"/>
          <w:i/>
          <w:iCs/>
        </w:rPr>
        <w:t>Nederlandsch-Indië</w:t>
      </w:r>
      <w:proofErr w:type="spellEnd"/>
      <w:r w:rsidRPr="009847E8">
        <w:rPr>
          <w:rFonts w:cs="Calibri"/>
        </w:rPr>
        <w:t>. Weltevreden, 1927.</w:t>
      </w:r>
    </w:p>
    <w:p w14:paraId="2067F8FB" w14:textId="77777777" w:rsidR="009847E8" w:rsidRPr="00514A67" w:rsidRDefault="009847E8" w:rsidP="00514A67">
      <w:pPr>
        <w:pStyle w:val="Maxhoofdtekst"/>
        <w:spacing w:line="276" w:lineRule="auto"/>
        <w:ind w:left="284" w:hanging="284"/>
      </w:pPr>
      <w:r w:rsidRPr="00514A67">
        <w:t>Rees, D.F.W. van.</w:t>
      </w:r>
      <w:r w:rsidRPr="00514A67">
        <w:rPr>
          <w:i/>
          <w:iCs/>
        </w:rPr>
        <w:t xml:space="preserve"> Het Pauperisme onder de Europeanen in Nederlandsch-Indië</w:t>
      </w:r>
      <w:r w:rsidRPr="00514A67">
        <w:t xml:space="preserve">. Batavia Landsdrukkerij, 1901. </w:t>
      </w:r>
    </w:p>
    <w:p w14:paraId="4FC775C5" w14:textId="77777777" w:rsidR="009847E8" w:rsidRDefault="009847E8" w:rsidP="00514A67">
      <w:pPr>
        <w:pStyle w:val="Maxhoofdtekst"/>
        <w:spacing w:line="276" w:lineRule="auto"/>
        <w:ind w:left="284" w:hanging="284"/>
      </w:pPr>
      <w:r w:rsidRPr="00514A67">
        <w:t>Rees, D.F.W. van.</w:t>
      </w:r>
      <w:r w:rsidRPr="00514A67">
        <w:rPr>
          <w:i/>
          <w:iCs/>
        </w:rPr>
        <w:t xml:space="preserve"> Staatsarmenzorg voor Europeanen in Nederlandsch-Indië</w:t>
      </w:r>
      <w:r w:rsidRPr="00514A67">
        <w:t>. Batavia Landsdrukkerij, 1902.</w:t>
      </w:r>
    </w:p>
    <w:p w14:paraId="31FDF66F" w14:textId="77777777" w:rsidR="009847E8" w:rsidRPr="00514A67" w:rsidRDefault="009847E8" w:rsidP="00514A67">
      <w:pPr>
        <w:pStyle w:val="Maxhoofdtekst"/>
        <w:spacing w:line="276" w:lineRule="auto"/>
        <w:ind w:left="284" w:hanging="284"/>
      </w:pPr>
      <w:r w:rsidRPr="00B57583">
        <w:rPr>
          <w:rFonts w:cs="Calibri"/>
        </w:rPr>
        <w:t>Reybrouck, David</w:t>
      </w:r>
      <w:r>
        <w:rPr>
          <w:rFonts w:cs="Calibri"/>
        </w:rPr>
        <w:t xml:space="preserve"> van</w:t>
      </w:r>
      <w:r w:rsidRPr="00B57583">
        <w:rPr>
          <w:rFonts w:cs="Calibri"/>
        </w:rPr>
        <w:t>. </w:t>
      </w:r>
      <w:r w:rsidRPr="00B57583">
        <w:rPr>
          <w:rFonts w:cs="Calibri"/>
          <w:i/>
          <w:iCs/>
        </w:rPr>
        <w:t>Revolusi: Indonesië en het ontstaan van de moderne wereld</w:t>
      </w:r>
      <w:r w:rsidRPr="00B57583">
        <w:rPr>
          <w:rFonts w:cs="Calibri"/>
        </w:rPr>
        <w:t>. De Bezige Bij, 2020.</w:t>
      </w:r>
    </w:p>
    <w:p w14:paraId="76E3E16E" w14:textId="77777777" w:rsidR="009847E8" w:rsidRPr="009847E8" w:rsidRDefault="009847E8" w:rsidP="00514A67">
      <w:pPr>
        <w:pStyle w:val="Maxhoofdtekst"/>
        <w:spacing w:line="276" w:lineRule="auto"/>
        <w:ind w:left="284" w:hanging="284"/>
        <w:rPr>
          <w:rFonts w:cs="Calibri"/>
          <w:lang w:val="en-GB"/>
        </w:rPr>
      </w:pPr>
      <w:r w:rsidRPr="00B57583">
        <w:rPr>
          <w:rFonts w:cs="Calibri"/>
        </w:rPr>
        <w:t>Ritter, W. L. </w:t>
      </w:r>
      <w:r w:rsidRPr="00B57583">
        <w:rPr>
          <w:rFonts w:cs="Calibri"/>
          <w:i/>
          <w:iCs/>
        </w:rPr>
        <w:t>De Europeaan in Nederlandsch-Indië</w:t>
      </w:r>
      <w:r w:rsidRPr="00B57583">
        <w:rPr>
          <w:rFonts w:cs="Calibri"/>
        </w:rPr>
        <w:t xml:space="preserve">. </w:t>
      </w:r>
      <w:proofErr w:type="spellStart"/>
      <w:r w:rsidRPr="009847E8">
        <w:rPr>
          <w:rFonts w:cs="Calibri"/>
          <w:lang w:val="en-GB"/>
        </w:rPr>
        <w:t>Sijthoff</w:t>
      </w:r>
      <w:proofErr w:type="spellEnd"/>
      <w:r w:rsidRPr="009847E8">
        <w:rPr>
          <w:rFonts w:cs="Calibri"/>
          <w:lang w:val="en-GB"/>
        </w:rPr>
        <w:t>, 1856.</w:t>
      </w:r>
    </w:p>
    <w:p w14:paraId="1F4C2263" w14:textId="77777777" w:rsidR="009847E8" w:rsidRPr="00B23996" w:rsidRDefault="009847E8" w:rsidP="00B23996">
      <w:pPr>
        <w:pStyle w:val="Maxhoofdtekst"/>
        <w:ind w:left="284" w:hanging="284"/>
        <w:rPr>
          <w:rFonts w:cs="Calibri"/>
          <w:lang w:val="en-US"/>
        </w:rPr>
      </w:pPr>
      <w:r w:rsidRPr="00B23996">
        <w:rPr>
          <w:rFonts w:cs="Calibri"/>
          <w:lang w:val="en-US"/>
        </w:rPr>
        <w:t xml:space="preserve">Rutherford, Danilyn. “Review of Along the Archival Grain.” </w:t>
      </w:r>
      <w:r w:rsidRPr="00B23996">
        <w:rPr>
          <w:rFonts w:cs="Calibri"/>
          <w:i/>
          <w:iCs/>
          <w:lang w:val="en-US"/>
        </w:rPr>
        <w:t>Journal of Colonialism and Colonial History</w:t>
      </w:r>
      <w:r w:rsidRPr="00B23996">
        <w:rPr>
          <w:rFonts w:cs="Calibri"/>
          <w:lang w:val="en-US"/>
        </w:rPr>
        <w:t xml:space="preserve"> 10, no. 2 (2009).</w:t>
      </w:r>
    </w:p>
    <w:p w14:paraId="46CFF952" w14:textId="77777777" w:rsidR="009847E8" w:rsidRPr="00A21605" w:rsidRDefault="009847E8" w:rsidP="000D6B84">
      <w:pPr>
        <w:pStyle w:val="Maxhoofdtekst"/>
        <w:spacing w:line="276" w:lineRule="auto"/>
        <w:ind w:left="284" w:hanging="284"/>
        <w:rPr>
          <w:rFonts w:cs="Calibri"/>
          <w:lang w:val="en-US"/>
        </w:rPr>
      </w:pPr>
      <w:proofErr w:type="spellStart"/>
      <w:r w:rsidRPr="00794806">
        <w:rPr>
          <w:rFonts w:cs="Calibri"/>
          <w:lang w:val="en-US"/>
        </w:rPr>
        <w:t>Salverda</w:t>
      </w:r>
      <w:proofErr w:type="spellEnd"/>
      <w:r>
        <w:rPr>
          <w:rFonts w:cs="Calibri"/>
          <w:lang w:val="en-US"/>
        </w:rPr>
        <w:t xml:space="preserve">, </w:t>
      </w:r>
      <w:r w:rsidRPr="00794806">
        <w:rPr>
          <w:rFonts w:cs="Calibri"/>
          <w:lang w:val="en-US"/>
        </w:rPr>
        <w:t>Reinier</w:t>
      </w:r>
      <w:r>
        <w:rPr>
          <w:rFonts w:cs="Calibri"/>
          <w:lang w:val="en-US"/>
        </w:rPr>
        <w:t>.</w:t>
      </w:r>
      <w:r w:rsidRPr="00794806">
        <w:rPr>
          <w:rFonts w:cs="Calibri"/>
          <w:lang w:val="en-US"/>
        </w:rPr>
        <w:t xml:space="preserve"> </w:t>
      </w:r>
      <w:r>
        <w:rPr>
          <w:rFonts w:cs="Calibri"/>
          <w:lang w:val="en-US"/>
        </w:rPr>
        <w:t>“</w:t>
      </w:r>
      <w:r w:rsidRPr="00794806">
        <w:rPr>
          <w:rFonts w:cs="Calibri"/>
          <w:lang w:val="en-US"/>
        </w:rPr>
        <w:t>Doing Justice in a Plural Society: A Postcolonial</w:t>
      </w:r>
      <w:r>
        <w:rPr>
          <w:rFonts w:cs="Calibri"/>
          <w:lang w:val="en-US"/>
        </w:rPr>
        <w:t xml:space="preserve"> </w:t>
      </w:r>
      <w:r w:rsidRPr="00794806">
        <w:rPr>
          <w:rFonts w:cs="Calibri"/>
          <w:lang w:val="en-US"/>
        </w:rPr>
        <w:t>Perspective on Dutch Law and Other Legal Traditions in the Indonesian Archipelago, 1600–Present</w:t>
      </w:r>
      <w:r>
        <w:rPr>
          <w:rFonts w:cs="Calibri"/>
          <w:lang w:val="en-US"/>
        </w:rPr>
        <w:t>.”</w:t>
      </w:r>
      <w:r w:rsidRPr="00794806">
        <w:rPr>
          <w:rFonts w:cs="Calibri"/>
          <w:lang w:val="en-US"/>
        </w:rPr>
        <w:t xml:space="preserve"> </w:t>
      </w:r>
      <w:r w:rsidRPr="00794806">
        <w:rPr>
          <w:rFonts w:cs="Calibri"/>
          <w:i/>
          <w:iCs/>
          <w:lang w:val="en-US"/>
        </w:rPr>
        <w:t>Dutch Crossin</w:t>
      </w:r>
      <w:r>
        <w:rPr>
          <w:rFonts w:cs="Calibri"/>
          <w:i/>
          <w:iCs/>
          <w:lang w:val="en-US"/>
        </w:rPr>
        <w:t xml:space="preserve">g </w:t>
      </w:r>
      <w:r w:rsidRPr="00794806">
        <w:rPr>
          <w:rFonts w:cs="Calibri"/>
          <w:lang w:val="en-US"/>
        </w:rPr>
        <w:t>33</w:t>
      </w:r>
      <w:r>
        <w:rPr>
          <w:rFonts w:cs="Calibri"/>
          <w:lang w:val="en-US"/>
        </w:rPr>
        <w:t xml:space="preserve">, no. </w:t>
      </w:r>
      <w:r w:rsidRPr="00794806">
        <w:rPr>
          <w:rFonts w:cs="Calibri"/>
          <w:lang w:val="en-US"/>
        </w:rPr>
        <w:t>2</w:t>
      </w:r>
      <w:r>
        <w:rPr>
          <w:rFonts w:cs="Calibri"/>
          <w:lang w:val="en-US"/>
        </w:rPr>
        <w:t xml:space="preserve"> </w:t>
      </w:r>
      <w:r w:rsidRPr="00794806">
        <w:rPr>
          <w:rFonts w:cs="Calibri"/>
          <w:lang w:val="en-US"/>
        </w:rPr>
        <w:t>(2009)</w:t>
      </w:r>
      <w:r>
        <w:rPr>
          <w:rFonts w:cs="Calibri"/>
          <w:lang w:val="en-US"/>
        </w:rPr>
        <w:t xml:space="preserve">: </w:t>
      </w:r>
      <w:r w:rsidRPr="00794806">
        <w:rPr>
          <w:rFonts w:cs="Calibri"/>
          <w:lang w:val="en-US"/>
        </w:rPr>
        <w:t>152-170</w:t>
      </w:r>
      <w:r>
        <w:rPr>
          <w:rFonts w:cs="Calibri"/>
          <w:lang w:val="en-US"/>
        </w:rPr>
        <w:t>.</w:t>
      </w:r>
    </w:p>
    <w:p w14:paraId="339C91F6"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Spivak, Gayatri Charavorty. “Can the Subaltern Speak?” In </w:t>
      </w:r>
      <w:r w:rsidRPr="00A21605">
        <w:rPr>
          <w:rFonts w:cs="Calibri"/>
          <w:i/>
          <w:iCs/>
          <w:lang w:val="en-US"/>
        </w:rPr>
        <w:t>Colonial Discourse and Post-Colonial Theory: A Reader</w:t>
      </w:r>
      <w:r w:rsidRPr="00A21605">
        <w:rPr>
          <w:rFonts w:cs="Calibri"/>
          <w:lang w:val="en-US"/>
        </w:rPr>
        <w:t>, edited by Patrick Williams and Laura Chrisman. Columbia University Press, 1988.</w:t>
      </w:r>
    </w:p>
    <w:p w14:paraId="189855AC"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Stoler, Ann Laura. “Making Empire Respectable: The Politics of Race and Sexual Morality in 20th-Century Colonial Cultures.” </w:t>
      </w:r>
      <w:r w:rsidRPr="00A21605">
        <w:rPr>
          <w:rFonts w:cs="Calibri"/>
          <w:i/>
          <w:iCs/>
          <w:lang w:val="en-US"/>
        </w:rPr>
        <w:t>American Ethnologist</w:t>
      </w:r>
      <w:r w:rsidRPr="00A21605">
        <w:rPr>
          <w:rFonts w:cs="Calibri"/>
          <w:lang w:val="en-US"/>
        </w:rPr>
        <w:t> 16, no. 4 (1989): 634–60.</w:t>
      </w:r>
    </w:p>
    <w:p w14:paraId="271B7004" w14:textId="77777777" w:rsidR="009847E8" w:rsidRDefault="009847E8" w:rsidP="00B23996">
      <w:pPr>
        <w:pStyle w:val="Maxhoofdtekst"/>
        <w:spacing w:line="276" w:lineRule="auto"/>
        <w:ind w:left="284" w:hanging="284"/>
        <w:rPr>
          <w:rFonts w:cs="Calibri"/>
          <w:lang w:val="en-US"/>
        </w:rPr>
      </w:pPr>
      <w:r w:rsidRPr="00A21605">
        <w:rPr>
          <w:rFonts w:cs="Calibri"/>
          <w:lang w:val="en-US"/>
        </w:rPr>
        <w:t>Stoler, Ann Laura. </w:t>
      </w:r>
      <w:r w:rsidRPr="00A21605">
        <w:rPr>
          <w:rFonts w:cs="Calibri"/>
          <w:i/>
          <w:iCs/>
          <w:lang w:val="en-US"/>
        </w:rPr>
        <w:t>Race and the Education of Desire</w:t>
      </w:r>
      <w:r w:rsidRPr="00A21605">
        <w:rPr>
          <w:rFonts w:cs="Calibri"/>
          <w:lang w:val="en-US"/>
        </w:rPr>
        <w:t>. Duke University Press, 1995.</w:t>
      </w:r>
    </w:p>
    <w:p w14:paraId="62A51CB2" w14:textId="77777777" w:rsidR="009847E8" w:rsidRPr="00B23996" w:rsidRDefault="009847E8" w:rsidP="00B23996">
      <w:pPr>
        <w:pStyle w:val="Maxhoofdtekst"/>
        <w:spacing w:line="276" w:lineRule="auto"/>
        <w:ind w:left="284" w:hanging="284"/>
        <w:rPr>
          <w:rFonts w:cs="Calibri"/>
          <w:lang w:val="en-US"/>
        </w:rPr>
      </w:pPr>
      <w:r>
        <w:rPr>
          <w:lang w:val="en-US"/>
        </w:rPr>
        <w:t xml:space="preserve">Stoler, Ann Laura. “Sexual Affronts and Racial Frontiers.” In </w:t>
      </w:r>
      <w:r w:rsidRPr="00F818E5">
        <w:rPr>
          <w:i/>
          <w:iCs/>
          <w:lang w:val="en-US"/>
        </w:rPr>
        <w:t>Tensions of Empire</w:t>
      </w:r>
      <w:r>
        <w:rPr>
          <w:lang w:val="en-US"/>
        </w:rPr>
        <w:t>, edited by Frederick Cooper and Ann Laura Stoler. University of California Press, 1998.</w:t>
      </w:r>
    </w:p>
    <w:p w14:paraId="734AD14C" w14:textId="77777777" w:rsidR="009847E8" w:rsidRPr="00A21605" w:rsidRDefault="009847E8" w:rsidP="00B23996">
      <w:pPr>
        <w:pStyle w:val="Maxhoofdtekst"/>
        <w:ind w:left="284" w:hanging="284"/>
        <w:rPr>
          <w:rFonts w:cs="Calibri"/>
          <w:lang w:val="en-US"/>
        </w:rPr>
      </w:pPr>
      <w:r w:rsidRPr="00B23996">
        <w:rPr>
          <w:rFonts w:cs="Calibri"/>
          <w:lang w:val="en-US"/>
        </w:rPr>
        <w:t xml:space="preserve">Stoler, Ann Laura. </w:t>
      </w:r>
      <w:r w:rsidRPr="00B23996">
        <w:rPr>
          <w:rFonts w:cs="Calibri"/>
          <w:i/>
          <w:iCs/>
          <w:lang w:val="en-US"/>
        </w:rPr>
        <w:t>Along the Archival Grain: Epistemic Anxieties and Colonial Common Sense</w:t>
      </w:r>
      <w:r w:rsidRPr="00B23996">
        <w:rPr>
          <w:rFonts w:cs="Calibri"/>
          <w:lang w:val="en-US"/>
        </w:rPr>
        <w:t xml:space="preserve"> (Princeton University Press, 2009). </w:t>
      </w:r>
    </w:p>
    <w:p w14:paraId="184C3B63" w14:textId="77777777" w:rsidR="009847E8" w:rsidRPr="00B23996" w:rsidRDefault="009847E8" w:rsidP="000D6B84">
      <w:pPr>
        <w:pStyle w:val="Maxhoofdtekst"/>
        <w:spacing w:line="276" w:lineRule="auto"/>
        <w:ind w:left="284" w:hanging="284"/>
        <w:rPr>
          <w:rFonts w:cs="Calibri"/>
          <w:color w:val="000000" w:themeColor="text1"/>
          <w:lang w:val="en-US"/>
        </w:rPr>
      </w:pPr>
      <w:r w:rsidRPr="00A21605">
        <w:rPr>
          <w:rFonts w:cs="Calibri"/>
          <w:lang w:val="en-US"/>
        </w:rPr>
        <w:t>Stoler, Ann Laura. </w:t>
      </w:r>
      <w:r w:rsidRPr="00A21605">
        <w:rPr>
          <w:rFonts w:cs="Calibri"/>
          <w:i/>
          <w:iCs/>
          <w:lang w:val="en-US"/>
        </w:rPr>
        <w:t>Carnal Knowledge and Imperial Power: Race and the Intimate in Colonial Rule</w:t>
      </w:r>
      <w:r w:rsidRPr="00A21605">
        <w:rPr>
          <w:rFonts w:cs="Calibri"/>
          <w:lang w:val="en-US"/>
        </w:rPr>
        <w:t>. University of California Press, 2010.</w:t>
      </w:r>
    </w:p>
    <w:p w14:paraId="3F8EF24C" w14:textId="77777777" w:rsidR="009847E8" w:rsidRPr="00A21605" w:rsidRDefault="009847E8" w:rsidP="000D6B84">
      <w:pPr>
        <w:pStyle w:val="Maxhoofdtekst"/>
        <w:spacing w:line="276" w:lineRule="auto"/>
        <w:ind w:left="284" w:hanging="284"/>
        <w:rPr>
          <w:rFonts w:cs="Calibri"/>
          <w:lang w:val="en-US"/>
        </w:rPr>
      </w:pPr>
      <w:r w:rsidRPr="00A21605">
        <w:rPr>
          <w:rFonts w:cs="Calibri"/>
          <w:lang w:val="en-US"/>
        </w:rPr>
        <w:t>Taylor, Jean Gelman. </w:t>
      </w:r>
      <w:r w:rsidRPr="00A21605">
        <w:rPr>
          <w:rFonts w:cs="Calibri"/>
          <w:i/>
          <w:iCs/>
          <w:lang w:val="en-US"/>
        </w:rPr>
        <w:t>Indonesia: Peoples and Histories</w:t>
      </w:r>
      <w:r w:rsidRPr="00A21605">
        <w:rPr>
          <w:rFonts w:cs="Calibri"/>
          <w:lang w:val="en-US"/>
        </w:rPr>
        <w:t>. Yale University Press, 2003.</w:t>
      </w:r>
    </w:p>
    <w:p w14:paraId="69F22353" w14:textId="77777777" w:rsidR="009847E8" w:rsidRDefault="009847E8" w:rsidP="000D6B84">
      <w:pPr>
        <w:pStyle w:val="Maxhoofdtekst"/>
        <w:spacing w:line="276" w:lineRule="auto"/>
        <w:ind w:left="284" w:hanging="284"/>
        <w:rPr>
          <w:rFonts w:cs="Calibri"/>
          <w:lang w:val="en-US"/>
        </w:rPr>
      </w:pPr>
      <w:r w:rsidRPr="00A21605">
        <w:rPr>
          <w:rFonts w:cs="Calibri"/>
          <w:lang w:val="en-US"/>
        </w:rPr>
        <w:t>Taylor, Jean Gelman. </w:t>
      </w:r>
      <w:r w:rsidRPr="00A21605">
        <w:rPr>
          <w:rFonts w:cs="Calibri"/>
          <w:i/>
          <w:iCs/>
          <w:lang w:val="en-US"/>
        </w:rPr>
        <w:t>The Social World of Batavia: European and Eurasian in Dutch Asia</w:t>
      </w:r>
      <w:r w:rsidRPr="00A21605">
        <w:rPr>
          <w:rFonts w:cs="Calibri"/>
          <w:lang w:val="en-US"/>
        </w:rPr>
        <w:t>. University of Wisconsin Press, 2009.</w:t>
      </w:r>
    </w:p>
    <w:p w14:paraId="09421F91" w14:textId="77777777" w:rsidR="009847E8" w:rsidRDefault="009847E8" w:rsidP="00B23996">
      <w:pPr>
        <w:pStyle w:val="Maxhoofdtekst"/>
        <w:ind w:left="284" w:hanging="284"/>
        <w:rPr>
          <w:rFonts w:cs="Calibri"/>
          <w:lang w:val="en-US"/>
        </w:rPr>
      </w:pPr>
      <w:r w:rsidRPr="00B23996">
        <w:rPr>
          <w:rFonts w:cs="Calibri"/>
          <w:lang w:val="en-US"/>
        </w:rPr>
        <w:t>Trouillot, Michel-Rolph</w:t>
      </w:r>
      <w:r w:rsidRPr="00B23996">
        <w:rPr>
          <w:rFonts w:cs="Calibri"/>
          <w:i/>
          <w:iCs/>
          <w:lang w:val="en-US"/>
        </w:rPr>
        <w:t>. Silencing the Past: Power and the Production of History</w:t>
      </w:r>
      <w:r w:rsidRPr="00B23996">
        <w:rPr>
          <w:rFonts w:cs="Calibri"/>
          <w:lang w:val="en-US"/>
        </w:rPr>
        <w:t xml:space="preserve"> (Beacon Press, 1995).</w:t>
      </w:r>
    </w:p>
    <w:p w14:paraId="48C1AD2E" w14:textId="77777777" w:rsidR="009847E8" w:rsidRPr="009847E8" w:rsidRDefault="009847E8" w:rsidP="00421B7A">
      <w:pPr>
        <w:pStyle w:val="Maxhoofdtekst"/>
        <w:spacing w:line="276" w:lineRule="auto"/>
        <w:ind w:left="284" w:hanging="284"/>
        <w:rPr>
          <w:rFonts w:cs="Calibri"/>
        </w:rPr>
      </w:pPr>
      <w:r>
        <w:t xml:space="preserve">Valk, Leendert van der. “Christenslavin onder de slaaffjens.” </w:t>
      </w:r>
      <w:r w:rsidRPr="00EE559B">
        <w:rPr>
          <w:i/>
          <w:iCs/>
        </w:rPr>
        <w:t>De Groene Amsterdammer</w:t>
      </w:r>
      <w:r>
        <w:t xml:space="preserve"> 19</w:t>
      </w:r>
      <w:r w:rsidRPr="00EE559B">
        <w:t xml:space="preserve"> </w:t>
      </w:r>
      <w:r>
        <w:t>(</w:t>
      </w:r>
      <w:r w:rsidRPr="00EE559B">
        <w:t>2026</w:t>
      </w:r>
      <w:r>
        <w:t>)</w:t>
      </w:r>
      <w:r w:rsidRPr="00EE559B">
        <w:t>.</w:t>
      </w:r>
    </w:p>
    <w:p w14:paraId="491D9DB2" w14:textId="77777777" w:rsidR="009847E8" w:rsidRPr="00514A67" w:rsidRDefault="009847E8" w:rsidP="00514A67">
      <w:pPr>
        <w:pStyle w:val="Maxhoofdtekst"/>
        <w:spacing w:line="276" w:lineRule="auto"/>
        <w:ind w:left="284" w:hanging="284"/>
        <w:rPr>
          <w:rFonts w:cs="Calibri"/>
          <w:lang w:val="en-US"/>
        </w:rPr>
      </w:pPr>
      <w:r w:rsidRPr="009847E8">
        <w:rPr>
          <w:rFonts w:cs="Calibri"/>
        </w:rPr>
        <w:t xml:space="preserve">Vandenbosch, </w:t>
      </w:r>
      <w:proofErr w:type="spellStart"/>
      <w:r w:rsidRPr="009847E8">
        <w:rPr>
          <w:rFonts w:cs="Calibri"/>
        </w:rPr>
        <w:t>Amry</w:t>
      </w:r>
      <w:proofErr w:type="spellEnd"/>
      <w:r w:rsidRPr="009847E8">
        <w:rPr>
          <w:rFonts w:cs="Calibri"/>
        </w:rPr>
        <w:t xml:space="preserve">. </w:t>
      </w:r>
      <w:r w:rsidRPr="00A21605">
        <w:rPr>
          <w:rFonts w:cs="Calibri"/>
          <w:lang w:val="en-US"/>
        </w:rPr>
        <w:t>“Customary Law in the Dutch East Indies.” </w:t>
      </w:r>
      <w:r w:rsidRPr="00A21605">
        <w:rPr>
          <w:rFonts w:cs="Calibri"/>
          <w:i/>
          <w:iCs/>
          <w:lang w:val="en-US"/>
        </w:rPr>
        <w:t>Journal of Comparative Legislation and International Law</w:t>
      </w:r>
      <w:r w:rsidRPr="00A21605">
        <w:rPr>
          <w:rFonts w:cs="Calibri"/>
          <w:lang w:val="en-US"/>
        </w:rPr>
        <w:t> 14, no. 1 (1932): 30–44.</w:t>
      </w:r>
    </w:p>
    <w:p w14:paraId="1037834B" w14:textId="77777777" w:rsidR="009847E8" w:rsidRPr="00514A67" w:rsidRDefault="009847E8" w:rsidP="00514A67">
      <w:pPr>
        <w:pStyle w:val="Maxhoofdtekst"/>
        <w:rPr>
          <w:rFonts w:cs="Calibri"/>
        </w:rPr>
      </w:pPr>
      <w:r w:rsidRPr="00514A67">
        <w:rPr>
          <w:rFonts w:cs="Calibri"/>
        </w:rPr>
        <w:t>Walsem, F.M.G. van. “Pro J</w:t>
      </w:r>
      <w:r>
        <w:rPr>
          <w:rFonts w:cs="Calibri"/>
        </w:rPr>
        <w:t>u</w:t>
      </w:r>
      <w:r w:rsidRPr="00514A67">
        <w:rPr>
          <w:rFonts w:cs="Calibri"/>
        </w:rPr>
        <w:t xml:space="preserve">ventute.” </w:t>
      </w:r>
      <w:r w:rsidRPr="00514A67">
        <w:rPr>
          <w:rFonts w:cs="Calibri"/>
          <w:i/>
          <w:iCs/>
        </w:rPr>
        <w:t>Indisch Tijdschrift van het Recht</w:t>
      </w:r>
      <w:r w:rsidRPr="00514A67">
        <w:rPr>
          <w:rFonts w:cs="Calibri"/>
        </w:rPr>
        <w:t>, no. 108 (1917): 1-</w:t>
      </w:r>
      <w:r>
        <w:rPr>
          <w:rFonts w:cs="Calibri"/>
        </w:rPr>
        <w:t>28.</w:t>
      </w:r>
    </w:p>
    <w:p w14:paraId="3CB48E9E" w14:textId="77777777" w:rsidR="009847E8" w:rsidRPr="009847E8" w:rsidRDefault="009847E8" w:rsidP="000D6B84">
      <w:pPr>
        <w:pStyle w:val="Maxhoofdtekst"/>
        <w:spacing w:line="276" w:lineRule="auto"/>
        <w:ind w:left="284" w:hanging="284"/>
        <w:rPr>
          <w:rFonts w:cs="Calibri"/>
        </w:rPr>
      </w:pPr>
    </w:p>
    <w:p w14:paraId="75D009FA" w14:textId="77777777" w:rsidR="009847E8" w:rsidRDefault="009847E8" w:rsidP="000D6B84">
      <w:pPr>
        <w:pStyle w:val="Maxhoofdtekst"/>
        <w:spacing w:line="276" w:lineRule="auto"/>
        <w:ind w:left="284" w:hanging="284"/>
        <w:rPr>
          <w:rFonts w:cs="Calibri"/>
          <w:lang w:val="en-US"/>
        </w:rPr>
      </w:pPr>
      <w:r w:rsidRPr="00A21605">
        <w:rPr>
          <w:rFonts w:cs="Calibri"/>
          <w:lang w:val="en-US"/>
        </w:rPr>
        <w:lastRenderedPageBreak/>
        <w:t>Wesseling, Elisabeth, and Jacques Dane. “Are ‘the Natives’ Educable? Dutch Schoolchildren Learn Ethical Colonial Policy (1890–1910).” </w:t>
      </w:r>
      <w:r w:rsidRPr="00A21605">
        <w:rPr>
          <w:rFonts w:cs="Calibri"/>
          <w:i/>
          <w:iCs/>
          <w:lang w:val="en-US"/>
        </w:rPr>
        <w:t>Journal of Educational Media, Memory and Society</w:t>
      </w:r>
      <w:r w:rsidRPr="00A21605">
        <w:rPr>
          <w:rFonts w:cs="Calibri"/>
          <w:lang w:val="en-US"/>
        </w:rPr>
        <w:t> 10, no. 1 (2018): 28–43.</w:t>
      </w:r>
    </w:p>
    <w:p w14:paraId="491BC012" w14:textId="77777777" w:rsidR="009847E8" w:rsidRPr="00A21605" w:rsidRDefault="009847E8" w:rsidP="00514A67">
      <w:pPr>
        <w:pStyle w:val="Maxhoofdtekst"/>
        <w:rPr>
          <w:rFonts w:cs="Calibri"/>
          <w:lang w:val="en-US"/>
        </w:rPr>
      </w:pPr>
      <w:r w:rsidRPr="00514A67">
        <w:rPr>
          <w:rFonts w:cs="Calibri"/>
          <w:lang w:val="en-US"/>
        </w:rPr>
        <w:t xml:space="preserve">Wilkens, J.A. </w:t>
      </w:r>
      <w:r w:rsidRPr="00514A67">
        <w:rPr>
          <w:rFonts w:cs="Calibri"/>
          <w:i/>
          <w:iCs/>
          <w:lang w:val="en-US"/>
        </w:rPr>
        <w:t>Het Inlandsche Kind in Oost Indië en iets over den Javaan</w:t>
      </w:r>
      <w:r w:rsidRPr="00514A67">
        <w:rPr>
          <w:rFonts w:cs="Calibri"/>
          <w:lang w:val="en-US"/>
        </w:rPr>
        <w:t>. P.N. van Kampen, 1849.</w:t>
      </w:r>
    </w:p>
    <w:p w14:paraId="48A43CF1" w14:textId="77777777" w:rsidR="009847E8" w:rsidRPr="009847E8" w:rsidRDefault="009847E8" w:rsidP="000D6B84">
      <w:pPr>
        <w:pStyle w:val="Maxhoofdtekst"/>
        <w:spacing w:line="276" w:lineRule="auto"/>
        <w:ind w:left="284" w:hanging="284"/>
        <w:rPr>
          <w:rFonts w:cs="Calibri"/>
        </w:rPr>
      </w:pPr>
      <w:r w:rsidRPr="00A21605">
        <w:rPr>
          <w:rFonts w:cs="Calibri"/>
          <w:lang w:val="en-US"/>
        </w:rPr>
        <w:t>Young, Robert J. C. “Foucault on Race and Colonialism.” </w:t>
      </w:r>
      <w:r w:rsidRPr="009847E8">
        <w:rPr>
          <w:rFonts w:cs="Calibri"/>
          <w:i/>
          <w:iCs/>
        </w:rPr>
        <w:t xml:space="preserve">New </w:t>
      </w:r>
      <w:proofErr w:type="spellStart"/>
      <w:r w:rsidRPr="009847E8">
        <w:rPr>
          <w:rFonts w:cs="Calibri"/>
          <w:i/>
          <w:iCs/>
        </w:rPr>
        <w:t>Formations</w:t>
      </w:r>
      <w:proofErr w:type="spellEnd"/>
      <w:r w:rsidRPr="009847E8">
        <w:rPr>
          <w:rFonts w:cs="Calibri"/>
        </w:rPr>
        <w:t> 25 (1995): 57–65.</w:t>
      </w:r>
    </w:p>
    <w:p w14:paraId="5FC2D18D" w14:textId="77777777" w:rsidR="009847E8" w:rsidRPr="00A21605" w:rsidRDefault="009847E8" w:rsidP="000D6B84">
      <w:pPr>
        <w:pStyle w:val="Maxhoofdtekst"/>
        <w:spacing w:line="276" w:lineRule="auto"/>
        <w:ind w:left="284" w:hanging="284"/>
        <w:rPr>
          <w:rFonts w:cs="Calibri"/>
          <w:lang w:val="en-US"/>
        </w:rPr>
      </w:pPr>
      <w:r w:rsidRPr="009847E8">
        <w:rPr>
          <w:rFonts w:cs="Calibri"/>
        </w:rPr>
        <w:t xml:space="preserve">Zijlstra, Suze. </w:t>
      </w:r>
      <w:r w:rsidRPr="003142D2">
        <w:rPr>
          <w:rFonts w:cs="Calibri"/>
          <w:i/>
          <w:iCs/>
        </w:rPr>
        <w:t>De Voormoeders</w:t>
      </w:r>
      <w:r>
        <w:rPr>
          <w:rFonts w:cs="Calibri"/>
        </w:rPr>
        <w:t xml:space="preserve">. Ambo|Anthos, 2021. </w:t>
      </w:r>
    </w:p>
    <w:p w14:paraId="4FEDEC8F" w14:textId="77777777" w:rsidR="009847E8" w:rsidRPr="00B23996" w:rsidRDefault="009847E8" w:rsidP="00B23996">
      <w:pPr>
        <w:spacing w:line="276" w:lineRule="auto"/>
        <w:rPr>
          <w:rFonts w:cs="Calibri"/>
          <w:lang w:val="en-US"/>
        </w:rPr>
      </w:pPr>
    </w:p>
    <w:p w14:paraId="12468909" w14:textId="77777777" w:rsidR="00DA09A2" w:rsidRDefault="00DA09A2" w:rsidP="00365EA9"/>
    <w:sectPr w:rsidR="00DA09A2" w:rsidSect="00906BB0">
      <w:footerReference w:type="defaul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D0C6CC" w14:textId="77777777" w:rsidR="00E92A51" w:rsidRDefault="00E92A51" w:rsidP="00906BB0">
      <w:pPr>
        <w:spacing w:after="0" w:line="240" w:lineRule="auto"/>
      </w:pPr>
      <w:r>
        <w:separator/>
      </w:r>
    </w:p>
  </w:endnote>
  <w:endnote w:type="continuationSeparator" w:id="0">
    <w:p w14:paraId="3B622973" w14:textId="77777777" w:rsidR="00E92A51" w:rsidRDefault="00E92A51" w:rsidP="0090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CSquareSansPro">
    <w:altName w:val="Cambria"/>
    <w:panose1 w:val="020B0604020202020204"/>
    <w:charset w:val="00"/>
    <w:family w:val="roman"/>
    <w:notTrueType/>
    <w:pitch w:val="default"/>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Times New Roman (Hoofdtekst CS)">
    <w:altName w:val="Times New Roman"/>
    <w:panose1 w:val="020B0604020202020204"/>
    <w:charset w:val="00"/>
    <w:family w:val="roman"/>
    <w:pitch w:val="default"/>
  </w:font>
  <w:font w:name="Z@R56C3.tmp">
    <w:altName w:val="Angsana New"/>
    <w:panose1 w:val="020B0604020202020204"/>
    <w:charset w:val="01"/>
    <w:family w:val="roman"/>
    <w:pitch w:val="variable"/>
    <w:sig w:usb0="01010101" w:usb1="01010101" w:usb2="01010101" w:usb3="01010101" w:csb0="01010101" w:csb1="01010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6F84B" w14:textId="77777777" w:rsidR="00906BB0" w:rsidRDefault="00906BB0">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CD590" w14:textId="77777777" w:rsidR="00906BB0" w:rsidRDefault="00906BB0">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483B3" w14:textId="77777777" w:rsidR="00906BB0" w:rsidRDefault="00906BB0">
    <w:pPr>
      <w:spacing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8899590"/>
      <w:docPartObj>
        <w:docPartGallery w:val="Page Numbers (Bottom of Page)"/>
        <w:docPartUnique/>
      </w:docPartObj>
    </w:sdtPr>
    <w:sdtEndPr>
      <w:rPr>
        <w:noProof/>
      </w:rPr>
    </w:sdtEndPr>
    <w:sdtContent>
      <w:p w14:paraId="5EE34DAC" w14:textId="77777777" w:rsidR="00906BB0" w:rsidRDefault="00906BB0">
        <w:pPr>
          <w:pStyle w:val="Footer"/>
          <w:jc w:val="right"/>
        </w:pPr>
        <w:r>
          <w:fldChar w:fldCharType="begin"/>
        </w:r>
        <w:r>
          <w:instrText xml:space="preserve"> PAGE  \* Arabic  \* MERGEFORMAT </w:instrText>
        </w:r>
        <w:r>
          <w:fldChar w:fldCharType="separate"/>
        </w:r>
        <w:r>
          <w:rPr>
            <w:noProof/>
          </w:rPr>
          <w:t>11</w:t>
        </w:r>
        <w:r>
          <w:fldChar w:fldCharType="end"/>
        </w:r>
      </w:p>
    </w:sdtContent>
  </w:sdt>
  <w:p w14:paraId="5127993F" w14:textId="77777777" w:rsidR="00906BB0" w:rsidRDefault="00906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969426" w14:textId="77777777" w:rsidR="00E92A51" w:rsidRDefault="00E92A51" w:rsidP="00906BB0">
      <w:pPr>
        <w:spacing w:after="0" w:line="240" w:lineRule="auto"/>
      </w:pPr>
      <w:r>
        <w:separator/>
      </w:r>
    </w:p>
  </w:footnote>
  <w:footnote w:type="continuationSeparator" w:id="0">
    <w:p w14:paraId="23DAAE77" w14:textId="77777777" w:rsidR="00E92A51" w:rsidRDefault="00E92A51" w:rsidP="00906BB0">
      <w:pPr>
        <w:spacing w:after="0" w:line="240" w:lineRule="auto"/>
      </w:pPr>
      <w:r>
        <w:continuationSeparator/>
      </w:r>
    </w:p>
  </w:footnote>
  <w:footnote w:id="1">
    <w:p w14:paraId="4425A418" w14:textId="77777777" w:rsidR="009847E8" w:rsidRPr="009847E8" w:rsidRDefault="009847E8" w:rsidP="0032387D">
      <w:pPr>
        <w:pStyle w:val="FootnoteText"/>
        <w:rPr>
          <w:lang w:val="nl-NL"/>
        </w:rPr>
      </w:pPr>
      <w:r>
        <w:rPr>
          <w:rStyle w:val="FootnoteReference"/>
        </w:rPr>
        <w:footnoteRef/>
      </w:r>
      <w:r>
        <w:t xml:space="preserve"> </w:t>
      </w:r>
      <w:r>
        <w:rPr>
          <w:lang w:val="en-US"/>
        </w:rPr>
        <w:t xml:space="preserve">In the latter, separation occurred between </w:t>
      </w:r>
      <w:r w:rsidRPr="00DF685B">
        <w:rPr>
          <w:lang w:val="en-US"/>
        </w:rPr>
        <w:t>unmarried Dutch mothers who were forced to give up their</w:t>
      </w:r>
      <w:r>
        <w:rPr>
          <w:lang w:val="en-US"/>
        </w:rPr>
        <w:t xml:space="preserve"> </w:t>
      </w:r>
      <w:r w:rsidRPr="00DF685B">
        <w:rPr>
          <w:lang w:val="en-US"/>
        </w:rPr>
        <w:t xml:space="preserve">children </w:t>
      </w:r>
      <w:r>
        <w:rPr>
          <w:lang w:val="en-US"/>
        </w:rPr>
        <w:t>from the 1950s until the 1980s.</w:t>
      </w:r>
      <w:r>
        <w:t xml:space="preserve"> </w:t>
      </w:r>
      <w:r w:rsidRPr="009847E8">
        <w:rPr>
          <w:lang w:val="nl-NL"/>
        </w:rPr>
        <w:t xml:space="preserve">See: Astrid Werdmuller, </w:t>
      </w:r>
      <w:r w:rsidRPr="009847E8">
        <w:rPr>
          <w:lang w:val="nl-NL"/>
        </w:rPr>
        <w:t>“</w:t>
      </w:r>
      <w:r w:rsidRPr="009847E8">
        <w:rPr>
          <w:lang w:val="nl-NL"/>
        </w:rPr>
        <w:t>De geschiedenis van afstand ter adoptie in Nederland,</w:t>
      </w:r>
      <w:r w:rsidRPr="009847E8">
        <w:rPr>
          <w:lang w:val="nl-NL"/>
        </w:rPr>
        <w:t>”</w:t>
      </w:r>
      <w:r w:rsidRPr="009847E8">
        <w:rPr>
          <w:lang w:val="nl-NL"/>
        </w:rPr>
        <w:t xml:space="preserve"> </w:t>
      </w:r>
      <w:r w:rsidRPr="009847E8">
        <w:rPr>
          <w:i/>
          <w:iCs/>
          <w:lang w:val="nl-NL"/>
        </w:rPr>
        <w:t>Jeugdbeleid</w:t>
      </w:r>
      <w:r w:rsidRPr="009847E8">
        <w:rPr>
          <w:lang w:val="nl-NL"/>
        </w:rPr>
        <w:t xml:space="preserve"> 11 (2017), 65</w:t>
      </w:r>
      <w:r w:rsidRPr="009847E8">
        <w:rPr>
          <w:lang w:val="nl-NL"/>
        </w:rPr>
        <w:t>–</w:t>
      </w:r>
      <w:r w:rsidRPr="009847E8">
        <w:rPr>
          <w:lang w:val="nl-NL"/>
        </w:rPr>
        <w:t>70.</w:t>
      </w:r>
    </w:p>
  </w:footnote>
  <w:footnote w:id="2">
    <w:p w14:paraId="095E857A" w14:textId="77777777" w:rsidR="009847E8" w:rsidRPr="00C2670B" w:rsidRDefault="009847E8" w:rsidP="0032387D">
      <w:pPr>
        <w:pStyle w:val="FootnoteText"/>
        <w:rPr>
          <w:lang w:val="en-US"/>
        </w:rPr>
      </w:pPr>
      <w:r>
        <w:rPr>
          <w:rStyle w:val="FootnoteReference"/>
        </w:rPr>
        <w:footnoteRef/>
      </w:r>
      <w:r>
        <w:t xml:space="preserve"> For instance, </w:t>
      </w:r>
      <w:r>
        <w:rPr>
          <w:lang w:val="en-US"/>
        </w:rPr>
        <w:t>t</w:t>
      </w:r>
      <w:r w:rsidRPr="00C2670B">
        <w:rPr>
          <w:lang w:val="en-US"/>
        </w:rPr>
        <w:t>he unjust practices of child separation in Belgian colonies were qualified</w:t>
      </w:r>
      <w:r>
        <w:t xml:space="preserve"> as crimes against humanity </w:t>
      </w:r>
      <w:r>
        <w:rPr>
          <w:rFonts w:cs="Calibri"/>
        </w:rPr>
        <w:t>by the Brussels Court of Appeals in the M</w:t>
      </w:r>
      <w:r>
        <w:rPr>
          <w:rFonts w:cs="Calibri"/>
        </w:rPr>
        <w:t>é</w:t>
      </w:r>
      <w:r>
        <w:rPr>
          <w:rFonts w:cs="Calibri"/>
        </w:rPr>
        <w:t xml:space="preserve">tis case in 2024. See: Sofia Vandenbosch, </w:t>
      </w:r>
      <w:r>
        <w:rPr>
          <w:rFonts w:cs="Calibri"/>
        </w:rPr>
        <w:t>“</w:t>
      </w:r>
      <w:r>
        <w:rPr>
          <w:rFonts w:cs="Calibri"/>
        </w:rPr>
        <w:t>For the Sole Reason of Being Born Mixed-Race,</w:t>
      </w:r>
      <w:r>
        <w:rPr>
          <w:rFonts w:cs="Calibri"/>
        </w:rPr>
        <w:t>”</w:t>
      </w:r>
      <w:r>
        <w:rPr>
          <w:rFonts w:cs="Calibri"/>
        </w:rPr>
        <w:t xml:space="preserve"> (</w:t>
      </w:r>
      <w:r w:rsidRPr="009B381A">
        <w:rPr>
          <w:rFonts w:cs="Calibri"/>
        </w:rPr>
        <w:t>Verfassungsblog</w:t>
      </w:r>
      <w:r>
        <w:rPr>
          <w:rFonts w:cs="Calibri"/>
          <w:i/>
          <w:iCs/>
        </w:rPr>
        <w:t>,</w:t>
      </w:r>
      <w:r>
        <w:rPr>
          <w:rFonts w:cs="Calibri"/>
        </w:rPr>
        <w:t xml:space="preserve"> 2025), </w:t>
      </w:r>
      <w:hyperlink r:id="rId1" w:history="1">
        <w:r w:rsidRPr="004F6FEC">
          <w:rPr>
            <w:rStyle w:val="Hyperlink"/>
            <w:rFonts w:cs="Calibri"/>
          </w:rPr>
          <w:t>https://verfassungsblog.de/belgium-congo-metis-compensation/</w:t>
        </w:r>
      </w:hyperlink>
      <w:r>
        <w:rPr>
          <w:rFonts w:cs="Calibri"/>
        </w:rPr>
        <w:t xml:space="preserve">. </w:t>
      </w:r>
    </w:p>
  </w:footnote>
  <w:footnote w:id="3">
    <w:p w14:paraId="0A335557" w14:textId="77777777" w:rsidR="009847E8" w:rsidRPr="009847E8" w:rsidRDefault="009847E8">
      <w:pPr>
        <w:pStyle w:val="FootnoteText"/>
        <w:rPr>
          <w:lang w:val="nl-NL"/>
        </w:rPr>
      </w:pPr>
      <w:r w:rsidRPr="007E0DBC">
        <w:rPr>
          <w:rStyle w:val="FootnoteReference"/>
        </w:rPr>
        <w:footnoteRef/>
      </w:r>
      <w:r w:rsidRPr="009847E8">
        <w:rPr>
          <w:lang w:val="nl-NL"/>
        </w:rPr>
        <w:t xml:space="preserve"> </w:t>
      </w:r>
      <w:r w:rsidRPr="009847E8">
        <w:rPr>
          <w:i/>
          <w:iCs/>
          <w:lang w:val="nl-NL"/>
        </w:rPr>
        <w:t>Staatsarmenzorg voor Europeanen in Nederlandsch-Indi</w:t>
      </w:r>
      <w:r w:rsidRPr="009847E8">
        <w:rPr>
          <w:i/>
          <w:iCs/>
          <w:lang w:val="nl-NL"/>
        </w:rPr>
        <w:t>ë</w:t>
      </w:r>
      <w:r w:rsidRPr="009847E8">
        <w:rPr>
          <w:lang w:val="nl-NL"/>
        </w:rPr>
        <w:t xml:space="preserve"> (Batavia Landsdrukkerij, 1902).</w:t>
      </w:r>
    </w:p>
  </w:footnote>
  <w:footnote w:id="4">
    <w:p w14:paraId="6E5DB109" w14:textId="77777777" w:rsidR="009847E8" w:rsidRPr="009847E8" w:rsidRDefault="009847E8" w:rsidP="003117FF">
      <w:pPr>
        <w:pStyle w:val="FootnoteText"/>
        <w:rPr>
          <w:lang w:val="nl-NL"/>
        </w:rPr>
      </w:pPr>
      <w:r>
        <w:rPr>
          <w:rStyle w:val="FootnoteReference"/>
        </w:rPr>
        <w:footnoteRef/>
      </w:r>
      <w:r w:rsidRPr="009847E8">
        <w:rPr>
          <w:lang w:val="nl-NL"/>
        </w:rPr>
        <w:t xml:space="preserve"> Wilma van der Maten, </w:t>
      </w:r>
      <w:r w:rsidRPr="009847E8">
        <w:rPr>
          <w:i/>
          <w:iCs/>
          <w:lang w:val="nl-NL"/>
        </w:rPr>
        <w:t>Vergeten door het Vaderland</w:t>
      </w:r>
      <w:r w:rsidRPr="009847E8">
        <w:rPr>
          <w:lang w:val="nl-NL"/>
        </w:rPr>
        <w:t xml:space="preserve"> (Uitgeverij Conserve, 2015).</w:t>
      </w:r>
    </w:p>
  </w:footnote>
  <w:footnote w:id="5">
    <w:p w14:paraId="1B5D9C95" w14:textId="77777777" w:rsidR="009847E8" w:rsidRPr="009847E8" w:rsidRDefault="009847E8" w:rsidP="00721CF8">
      <w:pPr>
        <w:pStyle w:val="FootnoteText"/>
        <w:rPr>
          <w:lang w:val="nl-NL"/>
        </w:rPr>
      </w:pPr>
      <w:r>
        <w:rPr>
          <w:rStyle w:val="FootnoteReference"/>
        </w:rPr>
        <w:footnoteRef/>
      </w:r>
      <w:r w:rsidRPr="009847E8">
        <w:rPr>
          <w:lang w:val="nl-NL"/>
        </w:rPr>
        <w:t xml:space="preserve"> Van der Maten, </w:t>
      </w:r>
      <w:r w:rsidRPr="009847E8">
        <w:rPr>
          <w:i/>
          <w:iCs/>
          <w:lang w:val="nl-NL"/>
        </w:rPr>
        <w:t>Vergeten door het Vaderland</w:t>
      </w:r>
      <w:r w:rsidRPr="009847E8">
        <w:rPr>
          <w:lang w:val="nl-NL"/>
        </w:rPr>
        <w:t>, 62.</w:t>
      </w:r>
    </w:p>
  </w:footnote>
  <w:footnote w:id="6">
    <w:p w14:paraId="714CD2C6" w14:textId="77777777" w:rsidR="009847E8" w:rsidRPr="009847E8" w:rsidRDefault="009847E8" w:rsidP="00721CF8">
      <w:pPr>
        <w:pStyle w:val="FootnoteText"/>
        <w:rPr>
          <w:lang w:val="nl-NL"/>
        </w:rPr>
      </w:pPr>
      <w:r>
        <w:rPr>
          <w:rStyle w:val="FootnoteReference"/>
        </w:rPr>
        <w:footnoteRef/>
      </w:r>
      <w:r w:rsidRPr="009847E8">
        <w:rPr>
          <w:lang w:val="nl-NL"/>
        </w:rPr>
        <w:t xml:space="preserve"> This occurred around 1930. Van der Maten, </w:t>
      </w:r>
      <w:r w:rsidRPr="009847E8">
        <w:rPr>
          <w:i/>
          <w:iCs/>
          <w:lang w:val="nl-NL"/>
        </w:rPr>
        <w:t>Vergeten door het Vaderland</w:t>
      </w:r>
      <w:r w:rsidRPr="009847E8">
        <w:rPr>
          <w:lang w:val="nl-NL"/>
        </w:rPr>
        <w:t>, 61.</w:t>
      </w:r>
    </w:p>
  </w:footnote>
  <w:footnote w:id="7">
    <w:p w14:paraId="2B3EDD2F" w14:textId="77777777" w:rsidR="009847E8" w:rsidRPr="009847E8" w:rsidRDefault="009847E8">
      <w:pPr>
        <w:pStyle w:val="FootnoteText"/>
        <w:rPr>
          <w:lang w:val="nl-NL"/>
        </w:rPr>
      </w:pPr>
      <w:r>
        <w:rPr>
          <w:rStyle w:val="FootnoteReference"/>
        </w:rPr>
        <w:footnoteRef/>
      </w:r>
      <w:r>
        <w:t xml:space="preserve"> Geertje Mak, Marit</w:t>
      </w:r>
      <w:r w:rsidRPr="002E530F">
        <w:t xml:space="preserve"> Monteiro, E</w:t>
      </w:r>
      <w:r>
        <w:t xml:space="preserve">lisabeth </w:t>
      </w:r>
      <w:r w:rsidRPr="002E530F">
        <w:t>Wesseling</w:t>
      </w:r>
      <w:r>
        <w:t xml:space="preserve">, </w:t>
      </w:r>
      <w:r>
        <w:t>“</w:t>
      </w:r>
      <w:r w:rsidRPr="002E530F">
        <w:t xml:space="preserve">Child Separation. </w:t>
      </w:r>
      <w:r w:rsidRPr="009847E8">
        <w:rPr>
          <w:lang w:val="nl-NL"/>
        </w:rPr>
        <w:t>(Post)Colonial Policies and Practices in the Netherlands and Belgium,</w:t>
      </w:r>
      <w:r w:rsidRPr="009847E8">
        <w:rPr>
          <w:lang w:val="nl-NL"/>
        </w:rPr>
        <w:t>”</w:t>
      </w:r>
      <w:r w:rsidRPr="009847E8">
        <w:rPr>
          <w:lang w:val="nl-NL"/>
        </w:rPr>
        <w:t xml:space="preserve"> </w:t>
      </w:r>
      <w:r w:rsidRPr="009847E8">
        <w:rPr>
          <w:i/>
          <w:iCs/>
          <w:lang w:val="nl-NL"/>
        </w:rPr>
        <w:t>Bijdragen en Mededelingen Betreffende de Geschiedenis der Nederlanden</w:t>
      </w:r>
      <w:r w:rsidRPr="009847E8">
        <w:rPr>
          <w:lang w:val="nl-NL"/>
        </w:rPr>
        <w:t xml:space="preserve"> 135, no. 3/4 (2020): 4-28.</w:t>
      </w:r>
    </w:p>
  </w:footnote>
  <w:footnote w:id="8">
    <w:p w14:paraId="25B8133E" w14:textId="77777777" w:rsidR="009847E8" w:rsidRPr="0032387D" w:rsidRDefault="009847E8" w:rsidP="000538E9">
      <w:pPr>
        <w:pStyle w:val="FootnoteText"/>
        <w:rPr>
          <w:lang w:val="en-US"/>
        </w:rPr>
      </w:pPr>
      <w:r w:rsidRPr="0032387D">
        <w:rPr>
          <w:rStyle w:val="FootnoteReference"/>
        </w:rPr>
        <w:footnoteRef/>
      </w:r>
      <w:r w:rsidRPr="0032387D">
        <w:t xml:space="preserve"> </w:t>
      </w:r>
      <w:r w:rsidRPr="0032387D">
        <w:rPr>
          <w:lang w:val="en-US"/>
        </w:rPr>
        <w:t xml:space="preserve">Michel Foucault, </w:t>
      </w:r>
      <w:r w:rsidRPr="0032387D">
        <w:rPr>
          <w:i/>
          <w:iCs/>
          <w:lang w:val="en-US"/>
        </w:rPr>
        <w:t>The History of Sexuality: Vol. 1</w:t>
      </w:r>
      <w:r>
        <w:rPr>
          <w:lang w:val="en-US"/>
        </w:rPr>
        <w:t xml:space="preserve"> </w:t>
      </w:r>
      <w:r w:rsidRPr="0032387D">
        <w:rPr>
          <w:lang w:val="en-US"/>
        </w:rPr>
        <w:t>(Vintage Books, 1980), 143.</w:t>
      </w:r>
    </w:p>
  </w:footnote>
  <w:footnote w:id="9">
    <w:p w14:paraId="21C6E9B9" w14:textId="77777777" w:rsidR="009847E8" w:rsidRPr="00526E3C" w:rsidRDefault="009847E8" w:rsidP="000538E9">
      <w:pPr>
        <w:pStyle w:val="FootnoteText"/>
        <w:rPr>
          <w:lang w:val="en-US"/>
        </w:rPr>
      </w:pPr>
      <w:r>
        <w:rPr>
          <w:rStyle w:val="FootnoteReference"/>
        </w:rPr>
        <w:footnoteRef/>
      </w:r>
      <w:r>
        <w:t xml:space="preserve"> </w:t>
      </w:r>
      <w:r>
        <w:rPr>
          <w:lang w:val="en-US"/>
        </w:rPr>
        <w:t xml:space="preserve">Foucault, </w:t>
      </w:r>
      <w:r w:rsidRPr="00526E3C">
        <w:rPr>
          <w:i/>
          <w:iCs/>
          <w:lang w:val="en-US"/>
        </w:rPr>
        <w:t>History of Sexuality</w:t>
      </w:r>
      <w:r>
        <w:rPr>
          <w:lang w:val="en-US"/>
        </w:rPr>
        <w:t>, 141.</w:t>
      </w:r>
    </w:p>
  </w:footnote>
  <w:footnote w:id="10">
    <w:p w14:paraId="67011A86" w14:textId="77777777" w:rsidR="009847E8" w:rsidRPr="00526E3C" w:rsidRDefault="009847E8" w:rsidP="000538E9">
      <w:pPr>
        <w:pStyle w:val="FootnoteText"/>
        <w:rPr>
          <w:lang w:val="en-US"/>
        </w:rPr>
      </w:pPr>
      <w:r>
        <w:rPr>
          <w:rStyle w:val="FootnoteReference"/>
        </w:rPr>
        <w:footnoteRef/>
      </w:r>
      <w:r>
        <w:t xml:space="preserve"> </w:t>
      </w:r>
      <w:r>
        <w:rPr>
          <w:lang w:val="en-US"/>
        </w:rPr>
        <w:t xml:space="preserve">Foucault, </w:t>
      </w:r>
      <w:r w:rsidRPr="00526E3C">
        <w:rPr>
          <w:i/>
          <w:iCs/>
          <w:lang w:val="en-US"/>
        </w:rPr>
        <w:t>History of Sexuality</w:t>
      </w:r>
      <w:r>
        <w:rPr>
          <w:lang w:val="en-US"/>
        </w:rPr>
        <w:t xml:space="preserve">, 144. </w:t>
      </w:r>
    </w:p>
  </w:footnote>
  <w:footnote w:id="11">
    <w:p w14:paraId="306368FD" w14:textId="77777777" w:rsidR="009847E8" w:rsidRPr="00884BC9" w:rsidRDefault="009847E8">
      <w:pPr>
        <w:pStyle w:val="FootnoteText"/>
        <w:rPr>
          <w:lang w:val="en-US"/>
        </w:rPr>
      </w:pPr>
      <w:r>
        <w:rPr>
          <w:rStyle w:val="FootnoteReference"/>
        </w:rPr>
        <w:footnoteRef/>
      </w:r>
      <w:r>
        <w:t xml:space="preserve"> </w:t>
      </w:r>
      <w:r>
        <w:rPr>
          <w:lang w:val="en-US"/>
        </w:rPr>
        <w:t xml:space="preserve">Both Stoler and Foucault refuse to define the term </w:t>
      </w:r>
      <w:r>
        <w:rPr>
          <w:lang w:val="en-US"/>
        </w:rPr>
        <w:t>‘</w:t>
      </w:r>
      <w:r>
        <w:rPr>
          <w:lang w:val="en-US"/>
        </w:rPr>
        <w:t>bourgeois</w:t>
      </w:r>
      <w:r>
        <w:rPr>
          <w:lang w:val="en-US"/>
        </w:rPr>
        <w:t>’</w:t>
      </w:r>
      <w:r>
        <w:rPr>
          <w:lang w:val="en-US"/>
        </w:rPr>
        <w:t xml:space="preserve">. Stoler acknowledges this may be frustrating to the reader but deems it necessary to emphasize the mobility of colonial discourses and how a bourgeois self was identified, see </w:t>
      </w:r>
      <w:r w:rsidRPr="0001459B">
        <w:rPr>
          <w:i/>
          <w:iCs/>
          <w:lang w:val="en-US"/>
        </w:rPr>
        <w:t>Race and the Education of Desire</w:t>
      </w:r>
      <w:r>
        <w:rPr>
          <w:lang w:val="en-US"/>
        </w:rPr>
        <w:t xml:space="preserve">, 18. Bourgeois can therefore not be reduced to a single class with strictly defined characteristics. Rather, it is an identity constantly produced through criteria of education, language, religion, and domestic habits. Someone belonging to the bourgeois class is someone that belongs to the </w:t>
      </w:r>
      <w:r>
        <w:rPr>
          <w:lang w:val="en-US"/>
        </w:rPr>
        <w:t>‘</w:t>
      </w:r>
      <w:r>
        <w:rPr>
          <w:lang w:val="en-US"/>
        </w:rPr>
        <w:t>civilized</w:t>
      </w:r>
      <w:r>
        <w:rPr>
          <w:lang w:val="en-US"/>
        </w:rPr>
        <w:t>’</w:t>
      </w:r>
      <w:r>
        <w:rPr>
          <w:lang w:val="en-US"/>
        </w:rPr>
        <w:t xml:space="preserve">, European order of the colony.  </w:t>
      </w:r>
    </w:p>
  </w:footnote>
  <w:footnote w:id="12">
    <w:p w14:paraId="70BF715F" w14:textId="77777777" w:rsidR="009847E8" w:rsidRPr="006B3033" w:rsidRDefault="009847E8" w:rsidP="00CF2056">
      <w:pPr>
        <w:pStyle w:val="FootnoteText"/>
        <w:rPr>
          <w:lang w:val="en-US"/>
        </w:rPr>
      </w:pPr>
      <w:r>
        <w:rPr>
          <w:rStyle w:val="FootnoteReference"/>
        </w:rPr>
        <w:footnoteRef/>
      </w:r>
      <w:r>
        <w:t xml:space="preserve"> </w:t>
      </w:r>
      <w:r>
        <w:rPr>
          <w:lang w:val="en-US"/>
        </w:rPr>
        <w:t xml:space="preserve">Arnout van der Meer, </w:t>
      </w:r>
      <w:r>
        <w:rPr>
          <w:lang w:val="en-US"/>
        </w:rPr>
        <w:t>“</w:t>
      </w:r>
      <w:r>
        <w:rPr>
          <w:lang w:val="en-US"/>
        </w:rPr>
        <w:t>East is East, West is West: Forging Modern Identities</w:t>
      </w:r>
      <w:r>
        <w:rPr>
          <w:lang w:val="en-US"/>
        </w:rPr>
        <w:t>”</w:t>
      </w:r>
      <w:r>
        <w:rPr>
          <w:lang w:val="en-US"/>
        </w:rPr>
        <w:t xml:space="preserve">, in: </w:t>
      </w:r>
      <w:r w:rsidRPr="003A0AF3">
        <w:rPr>
          <w:i/>
          <w:iCs/>
          <w:lang w:val="en-US"/>
        </w:rPr>
        <w:t>Performing Power: Cultural Hegemony, Identity and Resistance in Colonial Indonesia</w:t>
      </w:r>
      <w:r>
        <w:rPr>
          <w:lang w:val="en-US"/>
        </w:rPr>
        <w:t xml:space="preserve"> (Cornell University Press, 2020), 146. </w:t>
      </w:r>
    </w:p>
  </w:footnote>
  <w:footnote w:id="13">
    <w:p w14:paraId="7B6D43F1" w14:textId="77777777" w:rsidR="009847E8" w:rsidRPr="009847E8" w:rsidRDefault="009847E8" w:rsidP="00263941">
      <w:pPr>
        <w:pStyle w:val="FootnoteText"/>
        <w:rPr>
          <w:lang w:val="nl-NL"/>
        </w:rPr>
      </w:pPr>
      <w:r>
        <w:rPr>
          <w:rStyle w:val="FootnoteReference"/>
        </w:rPr>
        <w:footnoteRef/>
      </w:r>
      <w:r w:rsidRPr="009847E8">
        <w:rPr>
          <w:lang w:val="nl-NL"/>
        </w:rPr>
        <w:t xml:space="preserve"> Van der Maten, </w:t>
      </w:r>
      <w:r w:rsidRPr="009847E8">
        <w:rPr>
          <w:i/>
          <w:iCs/>
          <w:lang w:val="nl-NL"/>
        </w:rPr>
        <w:t>Vergeten door het Vaderland</w:t>
      </w:r>
      <w:r w:rsidRPr="009847E8">
        <w:rPr>
          <w:lang w:val="nl-NL"/>
        </w:rPr>
        <w:t xml:space="preserve">, 16-17. </w:t>
      </w:r>
    </w:p>
  </w:footnote>
  <w:footnote w:id="14">
    <w:p w14:paraId="29D46D43" w14:textId="77777777" w:rsidR="009847E8" w:rsidRPr="009847E8" w:rsidRDefault="009847E8" w:rsidP="00263941">
      <w:pPr>
        <w:pStyle w:val="FootnoteText"/>
        <w:rPr>
          <w:lang w:val="nl-NL"/>
        </w:rPr>
      </w:pPr>
      <w:r>
        <w:rPr>
          <w:rStyle w:val="FootnoteReference"/>
        </w:rPr>
        <w:footnoteRef/>
      </w:r>
      <w:r w:rsidRPr="009847E8">
        <w:rPr>
          <w:lang w:val="nl-NL"/>
        </w:rPr>
        <w:t xml:space="preserve"> Van der Maten, </w:t>
      </w:r>
      <w:r w:rsidRPr="009847E8">
        <w:rPr>
          <w:i/>
          <w:iCs/>
          <w:lang w:val="nl-NL"/>
        </w:rPr>
        <w:t>Vergeten door het Vaderland</w:t>
      </w:r>
      <w:r w:rsidRPr="009847E8">
        <w:rPr>
          <w:lang w:val="nl-NL"/>
        </w:rPr>
        <w:t xml:space="preserve">, 16. </w:t>
      </w:r>
    </w:p>
  </w:footnote>
  <w:footnote w:id="15">
    <w:p w14:paraId="55706ECB" w14:textId="77777777" w:rsidR="009847E8" w:rsidRPr="00991A71" w:rsidRDefault="009847E8" w:rsidP="00DF685B">
      <w:pPr>
        <w:pStyle w:val="FootnoteText"/>
        <w:rPr>
          <w:lang w:val="en-US"/>
        </w:rPr>
      </w:pPr>
      <w:r>
        <w:rPr>
          <w:rStyle w:val="FootnoteReference"/>
        </w:rPr>
        <w:footnoteRef/>
      </w:r>
      <w:r>
        <w:t xml:space="preserve"> </w:t>
      </w:r>
      <w:r w:rsidRPr="0057274E">
        <w:rPr>
          <w:lang w:val="en-US"/>
        </w:rPr>
        <w:t>See, for instance:</w:t>
      </w:r>
      <w:r>
        <w:rPr>
          <w:lang w:val="en-US"/>
        </w:rPr>
        <w:t xml:space="preserve"> Ann Laura Stoler, </w:t>
      </w:r>
      <w:r w:rsidRPr="00153BF1">
        <w:rPr>
          <w:i/>
          <w:iCs/>
          <w:lang w:val="en-US"/>
        </w:rPr>
        <w:t>Carnal Knowledge and Imperial Power</w:t>
      </w:r>
      <w:r>
        <w:rPr>
          <w:lang w:val="en-US"/>
        </w:rPr>
        <w:t xml:space="preserve"> (University of California Press, 2010); Stoler, </w:t>
      </w:r>
      <w:r w:rsidRPr="00153BF1">
        <w:rPr>
          <w:i/>
          <w:iCs/>
          <w:lang w:val="en-US"/>
        </w:rPr>
        <w:t>Race and the Education of Desir</w:t>
      </w:r>
      <w:r>
        <w:rPr>
          <w:i/>
          <w:iCs/>
          <w:lang w:val="en-US"/>
        </w:rPr>
        <w:t>e</w:t>
      </w:r>
      <w:r>
        <w:rPr>
          <w:lang w:val="en-US"/>
        </w:rPr>
        <w:t xml:space="preserve"> (Duke University Press, 1995); </w:t>
      </w:r>
      <w:r w:rsidRPr="0057274E">
        <w:t>Elisabeth Wesseling and Jacques Dane</w:t>
      </w:r>
      <w:r>
        <w:t>,</w:t>
      </w:r>
      <w:r w:rsidRPr="0057274E">
        <w:t xml:space="preserve"> "Are </w:t>
      </w:r>
      <w:r w:rsidRPr="0057274E">
        <w:t>“</w:t>
      </w:r>
      <w:r w:rsidRPr="000538E9">
        <w:rPr>
          <w:lang w:val="en-US"/>
        </w:rPr>
        <w:t>the Natives</w:t>
      </w:r>
      <w:r w:rsidRPr="000538E9">
        <w:rPr>
          <w:lang w:val="en-US"/>
        </w:rPr>
        <w:t>”</w:t>
      </w:r>
      <w:r w:rsidRPr="000538E9">
        <w:rPr>
          <w:lang w:val="en-US"/>
        </w:rPr>
        <w:t xml:space="preserve"> Educable?: Dutch Schoolchildren Learn Ethical Colonial Policy (1890</w:t>
      </w:r>
      <w:r w:rsidRPr="000538E9">
        <w:rPr>
          <w:lang w:val="en-US"/>
        </w:rPr>
        <w:t>–</w:t>
      </w:r>
      <w:r w:rsidRPr="000538E9">
        <w:rPr>
          <w:lang w:val="en-US"/>
        </w:rPr>
        <w:t>1910)."</w:t>
      </w:r>
      <w:r w:rsidRPr="000538E9">
        <w:rPr>
          <w:lang w:val="en-US"/>
        </w:rPr>
        <w:t> </w:t>
      </w:r>
      <w:r w:rsidRPr="000538E9">
        <w:rPr>
          <w:i/>
          <w:iCs/>
          <w:lang w:val="en-US"/>
        </w:rPr>
        <w:t>Journal of Educational Media, Memory, and Society</w:t>
      </w:r>
      <w:r w:rsidRPr="000538E9">
        <w:rPr>
          <w:lang w:val="en-US"/>
        </w:rPr>
        <w:t> </w:t>
      </w:r>
      <w:r w:rsidRPr="000538E9">
        <w:rPr>
          <w:lang w:val="en-US"/>
        </w:rPr>
        <w:t xml:space="preserve">10 (2018): 28-43; Sophie Rose, </w:t>
      </w:r>
      <w:r w:rsidRPr="000538E9">
        <w:rPr>
          <w:i/>
          <w:iCs/>
          <w:lang w:val="en-US"/>
        </w:rPr>
        <w:t>Intimacy and Social (Dis) Order in Dutch Colonial Expansion: Regulating Sex, Marriage, and Family Life, 1600</w:t>
      </w:r>
      <w:r w:rsidRPr="000538E9">
        <w:rPr>
          <w:i/>
          <w:iCs/>
          <w:lang w:val="en-US"/>
        </w:rPr>
        <w:t>–</w:t>
      </w:r>
      <w:r w:rsidRPr="000538E9">
        <w:rPr>
          <w:i/>
          <w:iCs/>
          <w:lang w:val="en-US"/>
        </w:rPr>
        <w:t>1800</w:t>
      </w:r>
      <w:r w:rsidRPr="000538E9">
        <w:rPr>
          <w:lang w:val="en-US"/>
        </w:rPr>
        <w:t xml:space="preserve">. (Brill, 2025); Nawal Mustafa, </w:t>
      </w:r>
      <w:r w:rsidRPr="000538E9">
        <w:rPr>
          <w:i/>
          <w:iCs/>
          <w:lang w:val="en-US"/>
        </w:rPr>
        <w:t xml:space="preserve">A Certain Class of Undesirables: </w:t>
      </w:r>
      <w:r w:rsidRPr="000538E9">
        <w:rPr>
          <w:i/>
          <w:iCs/>
          <w:lang w:val="en-US"/>
        </w:rPr>
        <w:t>‘</w:t>
      </w:r>
      <w:r w:rsidRPr="000538E9">
        <w:rPr>
          <w:i/>
          <w:iCs/>
          <w:lang w:val="en-US"/>
        </w:rPr>
        <w:t>Race</w:t>
      </w:r>
      <w:r w:rsidRPr="000538E9">
        <w:rPr>
          <w:i/>
          <w:iCs/>
          <w:lang w:val="en-US"/>
        </w:rPr>
        <w:t>’</w:t>
      </w:r>
      <w:r w:rsidRPr="000538E9">
        <w:rPr>
          <w:i/>
          <w:iCs/>
          <w:lang w:val="en-US"/>
        </w:rPr>
        <w:t>, Regulation &amp; Interracialized Intimacies in Britain (1948-1968</w:t>
      </w:r>
      <w:r w:rsidRPr="000538E9">
        <w:rPr>
          <w:lang w:val="en-US"/>
        </w:rPr>
        <w:t>)</w:t>
      </w:r>
      <w:r>
        <w:rPr>
          <w:lang w:val="en-US"/>
        </w:rPr>
        <w:t xml:space="preserve"> PhD diss., </w:t>
      </w:r>
      <w:r w:rsidRPr="000538E9">
        <w:rPr>
          <w:lang w:val="en-US"/>
        </w:rPr>
        <w:t>Vrije Universiteit Amsterdam, 2023); Elena Zambelli and</w:t>
      </w:r>
      <w:r>
        <w:rPr>
          <w:lang w:val="en-US"/>
        </w:rPr>
        <w:t xml:space="preserve"> Betty de Hart, eds., </w:t>
      </w:r>
      <w:r w:rsidRPr="009B381A">
        <w:rPr>
          <w:i/>
          <w:iCs/>
          <w:lang w:val="en-US"/>
        </w:rPr>
        <w:t>Regulating Interracialized Intimacies: Perspectives from Europe and beyond</w:t>
      </w:r>
      <w:r>
        <w:rPr>
          <w:lang w:val="en-US"/>
        </w:rPr>
        <w:t xml:space="preserve"> (Routledge, 2025).</w:t>
      </w:r>
    </w:p>
  </w:footnote>
  <w:footnote w:id="16">
    <w:p w14:paraId="55573836" w14:textId="77777777" w:rsidR="009847E8" w:rsidRPr="00991A71" w:rsidRDefault="009847E8" w:rsidP="00DF685B">
      <w:pPr>
        <w:pStyle w:val="FootnoteText"/>
        <w:rPr>
          <w:lang w:val="en-US"/>
        </w:rPr>
      </w:pPr>
      <w:r>
        <w:rPr>
          <w:rStyle w:val="FootnoteReference"/>
        </w:rPr>
        <w:footnoteRef/>
      </w:r>
      <w:r>
        <w:t xml:space="preserve"> Geertje Mak, Marit Monteiro and Elisabeth Wesseling edited a special issue on the topic </w:t>
      </w:r>
      <w:r w:rsidRPr="000538E9">
        <w:rPr>
          <w:lang w:val="en-US"/>
        </w:rPr>
        <w:t>of child separation practices in the Netherlands and Belgium, encompassing 8 insightful papers on the issue (Child Separation: Post(Colonial) Policies and Practices in the Netherlands and Belgium.</w:t>
      </w:r>
      <w:r w:rsidRPr="000538E9">
        <w:rPr>
          <w:lang w:val="en-US"/>
        </w:rPr>
        <w:t> </w:t>
      </w:r>
      <w:r w:rsidRPr="000538E9">
        <w:rPr>
          <w:i/>
          <w:iCs/>
        </w:rPr>
        <w:t>Bijdragen en Mededelingen Betreffende de Geschiedenis der Nederlanden</w:t>
      </w:r>
      <w:r w:rsidRPr="000538E9">
        <w:t xml:space="preserve"> </w:t>
      </w:r>
      <w:r w:rsidRPr="000538E9">
        <w:rPr>
          <w:lang w:val="en-US"/>
        </w:rPr>
        <w:t>135, no. 3-4). However, their approach is more from a historical and anthropological angle, whereas I provide a legal-philosophical angle in this thesis. This is what I aim to contribute to the scholarship on child separation practices. See also:</w:t>
      </w:r>
      <w:r>
        <w:t xml:space="preserve"> </w:t>
      </w:r>
      <w:r>
        <w:rPr>
          <w:lang w:val="en-US"/>
        </w:rPr>
        <w:t xml:space="preserve">Betty de Hart, </w:t>
      </w:r>
      <w:r>
        <w:rPr>
          <w:lang w:val="en-US"/>
        </w:rPr>
        <w:t>‘</w:t>
      </w:r>
      <w:r>
        <w:rPr>
          <w:lang w:val="en-US"/>
        </w:rPr>
        <w:t>Race-based child separation in colonial context as crimes against humanity. The Belgian m</w:t>
      </w:r>
      <w:r>
        <w:rPr>
          <w:lang w:val="en-US"/>
        </w:rPr>
        <w:t>é</w:t>
      </w:r>
      <w:r>
        <w:rPr>
          <w:lang w:val="en-US"/>
        </w:rPr>
        <w:t>tis court case and lessons for the Netherlands</w:t>
      </w:r>
      <w:r>
        <w:rPr>
          <w:lang w:val="en-US"/>
        </w:rPr>
        <w:t>’</w:t>
      </w:r>
      <w:r>
        <w:rPr>
          <w:lang w:val="en-US"/>
        </w:rPr>
        <w:t xml:space="preserve">, in: </w:t>
      </w:r>
      <w:r w:rsidRPr="007E0DBC">
        <w:rPr>
          <w:i/>
          <w:iCs/>
          <w:lang w:val="en-US"/>
        </w:rPr>
        <w:t>Critical Spijkerboer Studies: Liber Amicorum voor Thomas Spijkerboer</w:t>
      </w:r>
      <w:r>
        <w:rPr>
          <w:lang w:val="en-US"/>
        </w:rPr>
        <w:t xml:space="preserve"> (Boom, 2025). </w:t>
      </w:r>
    </w:p>
  </w:footnote>
  <w:footnote w:id="17">
    <w:p w14:paraId="0E1460FD" w14:textId="77777777" w:rsidR="009847E8" w:rsidRPr="00DF685B" w:rsidRDefault="009847E8">
      <w:pPr>
        <w:pStyle w:val="FootnoteText"/>
        <w:rPr>
          <w:lang w:val="en-US"/>
        </w:rPr>
      </w:pPr>
      <w:r>
        <w:rPr>
          <w:rStyle w:val="FootnoteReference"/>
        </w:rPr>
        <w:footnoteRef/>
      </w:r>
      <w:r>
        <w:t xml:space="preserve"> Christian Firpo and Margaret Jacobs, </w:t>
      </w:r>
      <w:r>
        <w:t>“</w:t>
      </w:r>
      <w:r>
        <w:t>Taking Children, Ruling Colonies</w:t>
      </w:r>
      <w:r>
        <w:t>”</w:t>
      </w:r>
      <w:r w:rsidRPr="007E0DBC">
        <w:rPr>
          <w:i/>
          <w:iCs/>
        </w:rPr>
        <w:t>, Journal of World History</w:t>
      </w:r>
      <w:r>
        <w:t xml:space="preserve"> 29, no. 4 (2018); Geertje Mak</w:t>
      </w:r>
      <w:r w:rsidRPr="0057274E">
        <w:rPr>
          <w:lang w:val="en-US"/>
        </w:rPr>
        <w:t xml:space="preserve">, </w:t>
      </w:r>
      <w:r>
        <w:rPr>
          <w:lang w:val="en-US"/>
        </w:rPr>
        <w:t>“</w:t>
      </w:r>
      <w:r w:rsidRPr="0057274E">
        <w:rPr>
          <w:lang w:val="en-US"/>
        </w:rPr>
        <w:t>Children on the Fault Lines: A Historical-Anthropological Reconstruction of the Background of Children purchased by Dutch Missionaries between 1863 and 1898 in Dutch New Guinea</w:t>
      </w:r>
      <w:r>
        <w:rPr>
          <w:lang w:val="en-US"/>
        </w:rPr>
        <w:t>”</w:t>
      </w:r>
      <w:r w:rsidRPr="0057274E">
        <w:rPr>
          <w:lang w:val="en-US"/>
        </w:rPr>
        <w:t>,</w:t>
      </w:r>
      <w:r w:rsidRPr="0057274E">
        <w:rPr>
          <w:lang w:val="en-US"/>
        </w:rPr>
        <w:t> </w:t>
      </w:r>
      <w:r w:rsidRPr="0057274E">
        <w:rPr>
          <w:i/>
          <w:iCs/>
          <w:lang w:val="en-US"/>
        </w:rPr>
        <w:t>BMGN - Low Countries Historical Review</w:t>
      </w:r>
      <w:r w:rsidRPr="0057274E">
        <w:rPr>
          <w:lang w:val="en-US"/>
        </w:rPr>
        <w:t> </w:t>
      </w:r>
      <w:r w:rsidRPr="0057274E">
        <w:rPr>
          <w:i/>
          <w:iCs/>
          <w:lang w:val="en-US"/>
        </w:rPr>
        <w:t>135</w:t>
      </w:r>
      <w:r>
        <w:rPr>
          <w:lang w:val="en-US"/>
        </w:rPr>
        <w:t xml:space="preserve">, no. </w:t>
      </w:r>
      <w:r w:rsidRPr="0057274E">
        <w:rPr>
          <w:lang w:val="en-US"/>
        </w:rPr>
        <w:t xml:space="preserve">3-4, </w:t>
      </w:r>
      <w:r>
        <w:rPr>
          <w:lang w:val="en-US"/>
        </w:rPr>
        <w:t>(</w:t>
      </w:r>
      <w:r w:rsidRPr="0057274E">
        <w:rPr>
          <w:lang w:val="en-US"/>
        </w:rPr>
        <w:t>2020</w:t>
      </w:r>
      <w:r>
        <w:rPr>
          <w:lang w:val="en-US"/>
        </w:rPr>
        <w:t xml:space="preserve">): </w:t>
      </w:r>
      <w:r w:rsidRPr="0057274E">
        <w:rPr>
          <w:lang w:val="en-US"/>
        </w:rPr>
        <w:t xml:space="preserve">29-55; Kirsten Kamphuis, </w:t>
      </w:r>
      <w:r>
        <w:rPr>
          <w:lang w:val="en-US"/>
        </w:rPr>
        <w:t>“</w:t>
      </w:r>
      <w:r w:rsidRPr="0057274E">
        <w:rPr>
          <w:lang w:val="en-US"/>
        </w:rPr>
        <w:t>An Alternative Family: An Elite Christian Girls</w:t>
      </w:r>
      <w:r w:rsidRPr="0057274E">
        <w:rPr>
          <w:lang w:val="en-US"/>
        </w:rPr>
        <w:t>’</w:t>
      </w:r>
      <w:r w:rsidRPr="0057274E">
        <w:rPr>
          <w:lang w:val="en-US"/>
        </w:rPr>
        <w:t xml:space="preserve"> School on Java in a Context of Social Change, c. 1907-1939,</w:t>
      </w:r>
      <w:r>
        <w:rPr>
          <w:lang w:val="en-US"/>
        </w:rPr>
        <w:t>”</w:t>
      </w:r>
      <w:r w:rsidRPr="0057274E">
        <w:rPr>
          <w:lang w:val="en-US"/>
        </w:rPr>
        <w:t> </w:t>
      </w:r>
      <w:r w:rsidRPr="0057274E">
        <w:rPr>
          <w:i/>
          <w:iCs/>
          <w:lang w:val="en-US"/>
        </w:rPr>
        <w:t>BMGN - Low Countries Historical Review</w:t>
      </w:r>
      <w:r w:rsidRPr="0057274E">
        <w:rPr>
          <w:lang w:val="en-US"/>
        </w:rPr>
        <w:t>,</w:t>
      </w:r>
      <w:r w:rsidRPr="0057274E">
        <w:rPr>
          <w:lang w:val="en-US"/>
        </w:rPr>
        <w:t> </w:t>
      </w:r>
      <w:r w:rsidRPr="0057274E">
        <w:rPr>
          <w:i/>
          <w:iCs/>
          <w:lang w:val="en-US"/>
        </w:rPr>
        <w:t>135</w:t>
      </w:r>
      <w:r w:rsidRPr="0057274E">
        <w:rPr>
          <w:lang w:val="en-US"/>
        </w:rPr>
        <w:t xml:space="preserve">(3-4), 2020, 133-157; Marit Monteiro, </w:t>
      </w:r>
      <w:r w:rsidRPr="0057274E">
        <w:rPr>
          <w:lang w:val="en-US"/>
        </w:rPr>
        <w:t>‘</w:t>
      </w:r>
      <w:r w:rsidRPr="0057274E">
        <w:rPr>
          <w:lang w:val="en-US"/>
        </w:rPr>
        <w:t>Colonial Complicities: Catholic Missionaries, Chinese Elite and Non-kin Support for Chinese Children in Semarang During the 1930s</w:t>
      </w:r>
      <w:r w:rsidRPr="0057274E">
        <w:rPr>
          <w:lang w:val="en-US"/>
        </w:rPr>
        <w:t>’</w:t>
      </w:r>
      <w:r w:rsidRPr="0057274E">
        <w:rPr>
          <w:lang w:val="en-US"/>
        </w:rPr>
        <w:t>,</w:t>
      </w:r>
      <w:r w:rsidRPr="0057274E">
        <w:rPr>
          <w:lang w:val="en-US"/>
        </w:rPr>
        <w:t> </w:t>
      </w:r>
      <w:r w:rsidRPr="0057274E">
        <w:rPr>
          <w:i/>
          <w:iCs/>
          <w:lang w:val="en-US"/>
        </w:rPr>
        <w:t>BMGN - Low Countries Historical Review</w:t>
      </w:r>
      <w:r w:rsidRPr="0057274E">
        <w:rPr>
          <w:lang w:val="en-US"/>
        </w:rPr>
        <w:t> </w:t>
      </w:r>
      <w:r w:rsidRPr="009B381A">
        <w:rPr>
          <w:lang w:val="en-US"/>
        </w:rPr>
        <w:t>135, no</w:t>
      </w:r>
      <w:r>
        <w:rPr>
          <w:i/>
          <w:iCs/>
          <w:lang w:val="en-US"/>
        </w:rPr>
        <w:t xml:space="preserve">. </w:t>
      </w:r>
      <w:r w:rsidRPr="0057274E">
        <w:rPr>
          <w:lang w:val="en-US"/>
        </w:rPr>
        <w:t xml:space="preserve">3-4, </w:t>
      </w:r>
      <w:r>
        <w:rPr>
          <w:lang w:val="en-US"/>
        </w:rPr>
        <w:t>(</w:t>
      </w:r>
      <w:r w:rsidRPr="0057274E">
        <w:rPr>
          <w:lang w:val="en-US"/>
        </w:rPr>
        <w:t>2020</w:t>
      </w:r>
      <w:r>
        <w:rPr>
          <w:lang w:val="en-US"/>
        </w:rPr>
        <w:t>):</w:t>
      </w:r>
      <w:r w:rsidRPr="0057274E">
        <w:rPr>
          <w:lang w:val="en-US"/>
        </w:rPr>
        <w:t xml:space="preserve"> 158-183.</w:t>
      </w:r>
    </w:p>
  </w:footnote>
  <w:footnote w:id="18">
    <w:p w14:paraId="3ED97691" w14:textId="77777777" w:rsidR="009847E8" w:rsidRPr="0057274E" w:rsidRDefault="009847E8">
      <w:pPr>
        <w:pStyle w:val="FootnoteText"/>
        <w:rPr>
          <w:lang w:val="en-US"/>
        </w:rPr>
      </w:pPr>
      <w:r>
        <w:rPr>
          <w:rStyle w:val="FootnoteReference"/>
        </w:rPr>
        <w:footnoteRef/>
      </w:r>
      <w:r>
        <w:t xml:space="preserve"> </w:t>
      </w:r>
      <w:r w:rsidRPr="005246A9">
        <w:rPr>
          <w:rFonts w:cs="Calibri"/>
        </w:rPr>
        <w:t xml:space="preserve">Stoler, </w:t>
      </w:r>
      <w:r w:rsidRPr="005246A9">
        <w:rPr>
          <w:rFonts w:cs="Calibri"/>
          <w:i/>
          <w:iCs/>
        </w:rPr>
        <w:t xml:space="preserve">Race </w:t>
      </w:r>
      <w:r w:rsidRPr="0057274E">
        <w:rPr>
          <w:rFonts w:cs="Calibri"/>
          <w:i/>
          <w:iCs/>
          <w:lang w:val="en-US"/>
        </w:rPr>
        <w:t>and the Education of Desire</w:t>
      </w:r>
      <w:r>
        <w:rPr>
          <w:rFonts w:cs="Calibri"/>
          <w:lang w:val="en-US"/>
        </w:rPr>
        <w:t xml:space="preserve">, </w:t>
      </w:r>
      <w:r w:rsidRPr="0057274E">
        <w:rPr>
          <w:rFonts w:cs="Calibri"/>
          <w:lang w:val="en-US"/>
        </w:rPr>
        <w:t>196.</w:t>
      </w:r>
    </w:p>
  </w:footnote>
  <w:footnote w:id="19">
    <w:p w14:paraId="37A67C68" w14:textId="77777777" w:rsidR="009847E8" w:rsidRPr="0057274E" w:rsidRDefault="009847E8">
      <w:pPr>
        <w:pStyle w:val="FootnoteText"/>
        <w:rPr>
          <w:lang w:val="en-US"/>
        </w:rPr>
      </w:pPr>
      <w:r w:rsidRPr="0057274E">
        <w:rPr>
          <w:rStyle w:val="FootnoteReference"/>
          <w:lang w:val="en-US"/>
        </w:rPr>
        <w:footnoteRef/>
      </w:r>
      <w:r w:rsidRPr="0057274E">
        <w:rPr>
          <w:lang w:val="en-US"/>
        </w:rPr>
        <w:t xml:space="preserve"> For instance, she focuses more on </w:t>
      </w:r>
      <w:r>
        <w:rPr>
          <w:lang w:val="en-US"/>
        </w:rPr>
        <w:t>Indonesian</w:t>
      </w:r>
      <w:r w:rsidRPr="0057274E">
        <w:rPr>
          <w:lang w:val="en-US"/>
        </w:rPr>
        <w:t xml:space="preserve"> nursemaids: </w:t>
      </w:r>
      <w:r w:rsidRPr="0057274E">
        <w:rPr>
          <w:rFonts w:cs="Calibri"/>
          <w:i/>
          <w:iCs/>
          <w:lang w:val="en-US"/>
        </w:rPr>
        <w:t>Race and the Education of Desire</w:t>
      </w:r>
      <w:r w:rsidRPr="0057274E">
        <w:rPr>
          <w:rFonts w:cs="Calibri"/>
          <w:lang w:val="en-US"/>
        </w:rPr>
        <w:t>, 146-158.</w:t>
      </w:r>
    </w:p>
  </w:footnote>
  <w:footnote w:id="20">
    <w:p w14:paraId="08FF728F" w14:textId="77777777" w:rsidR="009847E8" w:rsidRPr="002A2ACF" w:rsidRDefault="009847E8" w:rsidP="002E530F">
      <w:pPr>
        <w:pStyle w:val="FootnoteText"/>
        <w:rPr>
          <w:rFonts w:cs="Calibri"/>
        </w:rPr>
      </w:pPr>
      <w:r w:rsidRPr="0057274E">
        <w:rPr>
          <w:rStyle w:val="FootnoteReference"/>
          <w:lang w:val="en-US"/>
        </w:rPr>
        <w:footnoteRef/>
      </w:r>
      <w:r w:rsidRPr="0057274E">
        <w:rPr>
          <w:lang w:val="en-US"/>
        </w:rPr>
        <w:t xml:space="preserve"> </w:t>
      </w:r>
      <w:r w:rsidRPr="0057274E">
        <w:rPr>
          <w:rFonts w:cs="Calibri"/>
          <w:lang w:val="en-US"/>
        </w:rPr>
        <w:t xml:space="preserve">Stoler, </w:t>
      </w:r>
      <w:r w:rsidRPr="0057274E">
        <w:rPr>
          <w:rFonts w:cs="Calibri"/>
          <w:i/>
          <w:iCs/>
          <w:lang w:val="en-US"/>
        </w:rPr>
        <w:t>Race and the Education of Desire</w:t>
      </w:r>
      <w:r w:rsidRPr="0057274E">
        <w:rPr>
          <w:rFonts w:cs="Calibri"/>
          <w:lang w:val="en-US"/>
        </w:rPr>
        <w:t>, 62.</w:t>
      </w:r>
      <w:r>
        <w:rPr>
          <w:rFonts w:cs="Calibri"/>
        </w:rPr>
        <w:t xml:space="preserve"> </w:t>
      </w:r>
    </w:p>
  </w:footnote>
  <w:footnote w:id="21">
    <w:p w14:paraId="4ADA8415" w14:textId="77777777" w:rsidR="009847E8" w:rsidRPr="00C851DC" w:rsidRDefault="009847E8" w:rsidP="003117FF">
      <w:pPr>
        <w:pStyle w:val="FootnoteText"/>
        <w:rPr>
          <w:lang w:val="en-US"/>
        </w:rPr>
      </w:pPr>
      <w:r>
        <w:rPr>
          <w:rStyle w:val="FootnoteReference"/>
        </w:rPr>
        <w:footnoteRef/>
      </w:r>
      <w:r>
        <w:t xml:space="preserve"> </w:t>
      </w:r>
      <w:r>
        <w:rPr>
          <w:lang w:val="en-US"/>
        </w:rPr>
        <w:t xml:space="preserve">Moritz Koenig has pointed out the need for a cautionary reading when referencing the </w:t>
      </w:r>
      <w:r w:rsidRPr="00705C3B">
        <w:rPr>
          <w:i/>
          <w:iCs/>
          <w:lang w:val="en-US"/>
        </w:rPr>
        <w:t>Indische Tijdschrift van het Recht</w:t>
      </w:r>
      <w:r>
        <w:rPr>
          <w:lang w:val="en-US"/>
        </w:rPr>
        <w:t xml:space="preserve"> as a scholarly source. He especially emphasizes the colonial type of knowledge-production, where, for instance, voices of </w:t>
      </w:r>
      <w:r>
        <w:rPr>
          <w:lang w:val="en-US"/>
        </w:rPr>
        <w:t>‘</w:t>
      </w:r>
      <w:r>
        <w:rPr>
          <w:lang w:val="en-US"/>
        </w:rPr>
        <w:t>local disputants were either subjected to multiple layers of translations or eradicated entirely from official records</w:t>
      </w:r>
      <w:r>
        <w:rPr>
          <w:lang w:val="en-US"/>
        </w:rPr>
        <w:t>’</w:t>
      </w:r>
      <w:r>
        <w:rPr>
          <w:lang w:val="en-US"/>
        </w:rPr>
        <w:t xml:space="preserve">. See: </w:t>
      </w:r>
      <w:r>
        <w:t>“</w:t>
      </w:r>
      <w:r w:rsidRPr="00C851DC">
        <w:t>The</w:t>
      </w:r>
      <w:r w:rsidRPr="00C851DC">
        <w:t> </w:t>
      </w:r>
      <w:r w:rsidRPr="00C851DC">
        <w:rPr>
          <w:i/>
          <w:iCs/>
        </w:rPr>
        <w:t>Indisch Tijdschrift van het Recht</w:t>
      </w:r>
      <w:r w:rsidRPr="00C851DC">
        <w:t>, 1915</w:t>
      </w:r>
      <w:r w:rsidRPr="00C851DC">
        <w:t>–</w:t>
      </w:r>
      <w:r w:rsidRPr="00C851DC">
        <w:t>1947: A Critical Reassessment of Dutch Colonial Legal Sources</w:t>
      </w:r>
      <w:r>
        <w:t>”</w:t>
      </w:r>
      <w:r>
        <w:t>,</w:t>
      </w:r>
      <w:r w:rsidRPr="00C851DC">
        <w:t> </w:t>
      </w:r>
      <w:r w:rsidRPr="00C851DC">
        <w:rPr>
          <w:i/>
          <w:iCs/>
        </w:rPr>
        <w:t>Bijdragen tot de Taal-, Land- en Volkenkunde</w:t>
      </w:r>
      <w:r w:rsidRPr="00C851DC">
        <w:t>, 180, no. 1</w:t>
      </w:r>
      <w:r>
        <w:t xml:space="preserve"> (2024):</w:t>
      </w:r>
      <w:r w:rsidRPr="00C851DC">
        <w:t xml:space="preserve"> 62-94.</w:t>
      </w:r>
      <w:r w:rsidRPr="00C851DC">
        <w:t> </w:t>
      </w:r>
    </w:p>
  </w:footnote>
  <w:footnote w:id="22">
    <w:p w14:paraId="3C09F2F2" w14:textId="77777777" w:rsidR="009847E8" w:rsidRPr="002E530F" w:rsidRDefault="009847E8" w:rsidP="002E530F">
      <w:pPr>
        <w:pStyle w:val="FootnoteText"/>
        <w:rPr>
          <w:lang w:val="en-US"/>
        </w:rPr>
      </w:pPr>
      <w:r>
        <w:rPr>
          <w:rStyle w:val="FootnoteReference"/>
        </w:rPr>
        <w:footnoteRef/>
      </w:r>
      <w:r>
        <w:t xml:space="preserve"> </w:t>
      </w:r>
      <w:r>
        <w:rPr>
          <w:lang w:val="en-US"/>
        </w:rPr>
        <w:t>Jin Haritaworn</w:t>
      </w:r>
      <w:r>
        <w:rPr>
          <w:lang w:val="en-US"/>
        </w:rPr>
        <w:t>’</w:t>
      </w:r>
      <w:r>
        <w:rPr>
          <w:lang w:val="en-US"/>
        </w:rPr>
        <w:t xml:space="preserve">s concept of multi-racialization refers to </w:t>
      </w:r>
      <w:r>
        <w:rPr>
          <w:lang w:val="en-US"/>
        </w:rPr>
        <w:t>‘</w:t>
      </w:r>
      <w:r>
        <w:rPr>
          <w:lang w:val="en-US"/>
        </w:rPr>
        <w:t xml:space="preserve">the process by which people whose ancestors are racialized differentially become known as </w:t>
      </w:r>
      <w:r>
        <w:rPr>
          <w:lang w:val="en-US"/>
        </w:rPr>
        <w:t>‘</w:t>
      </w:r>
      <w:r>
        <w:rPr>
          <w:lang w:val="en-US"/>
        </w:rPr>
        <w:t>mixed-race</w:t>
      </w:r>
      <w:r>
        <w:rPr>
          <w:lang w:val="en-US"/>
        </w:rPr>
        <w:t>’</w:t>
      </w:r>
      <w:r>
        <w:rPr>
          <w:lang w:val="en-US"/>
        </w:rPr>
        <w:t xml:space="preserve">. See: </w:t>
      </w:r>
      <w:r>
        <w:rPr>
          <w:lang w:val="en-US"/>
        </w:rPr>
        <w:t>‘’</w:t>
      </w:r>
      <w:r>
        <w:rPr>
          <w:lang w:val="en-US"/>
        </w:rPr>
        <w:t>Caucasian and Thai make a good mix</w:t>
      </w:r>
      <w:r>
        <w:rPr>
          <w:lang w:val="en-US"/>
        </w:rPr>
        <w:t>’</w:t>
      </w:r>
      <w:r>
        <w:rPr>
          <w:lang w:val="en-US"/>
        </w:rPr>
        <w:t xml:space="preserve">: Gender, Ambivalence and the </w:t>
      </w:r>
      <w:r>
        <w:rPr>
          <w:lang w:val="en-US"/>
        </w:rPr>
        <w:t>‘</w:t>
      </w:r>
      <w:r>
        <w:rPr>
          <w:lang w:val="en-US"/>
        </w:rPr>
        <w:t>Mixed-Race</w:t>
      </w:r>
      <w:r>
        <w:rPr>
          <w:lang w:val="en-US"/>
        </w:rPr>
        <w:t>’</w:t>
      </w:r>
      <w:r>
        <w:rPr>
          <w:lang w:val="en-US"/>
        </w:rPr>
        <w:t xml:space="preserve"> Body</w:t>
      </w:r>
      <w:r>
        <w:rPr>
          <w:lang w:val="en-US"/>
        </w:rPr>
        <w:t>’</w:t>
      </w:r>
      <w:r>
        <w:rPr>
          <w:lang w:val="en-US"/>
        </w:rPr>
        <w:t xml:space="preserve">, </w:t>
      </w:r>
      <w:r w:rsidRPr="002E530F">
        <w:rPr>
          <w:i/>
          <w:iCs/>
          <w:lang w:val="en-US"/>
        </w:rPr>
        <w:t>European Journal of Cultural Studies</w:t>
      </w:r>
      <w:r>
        <w:rPr>
          <w:lang w:val="en-US"/>
        </w:rPr>
        <w:t xml:space="preserve"> no. 12, vol. 1 (2009). See also Guno Jones and Betty de Hart, </w:t>
      </w:r>
      <w:r>
        <w:rPr>
          <w:lang w:val="en-US"/>
        </w:rPr>
        <w:t>“</w:t>
      </w:r>
      <w:r>
        <w:rPr>
          <w:lang w:val="en-US"/>
        </w:rPr>
        <w:t>(Not) Measuring Mixedness in the Netherlands,</w:t>
      </w:r>
      <w:r>
        <w:rPr>
          <w:lang w:val="en-US"/>
        </w:rPr>
        <w:t>”</w:t>
      </w:r>
      <w:r>
        <w:rPr>
          <w:lang w:val="en-US"/>
        </w:rPr>
        <w:t xml:space="preserve"> in: Z.L Rocha and P.J. Aspinall, eds., </w:t>
      </w:r>
      <w:r w:rsidRPr="003117FF">
        <w:rPr>
          <w:i/>
          <w:iCs/>
          <w:lang w:val="en-US"/>
        </w:rPr>
        <w:t>The Palgrave International Handbook of Mixed Racial and Ethnic Classification</w:t>
      </w:r>
      <w:r>
        <w:rPr>
          <w:lang w:val="en-US"/>
        </w:rPr>
        <w:t xml:space="preserve"> (Palgrave/MacMillan, 2020), 368.</w:t>
      </w:r>
    </w:p>
  </w:footnote>
  <w:footnote w:id="23">
    <w:p w14:paraId="64B9F52B" w14:textId="77777777" w:rsidR="009847E8" w:rsidRPr="00E81550" w:rsidRDefault="009847E8" w:rsidP="001151A4">
      <w:pPr>
        <w:pStyle w:val="FootnoteText"/>
        <w:rPr>
          <w:lang w:val="en-US"/>
        </w:rPr>
      </w:pPr>
      <w:r>
        <w:rPr>
          <w:rStyle w:val="FootnoteReference"/>
        </w:rPr>
        <w:footnoteRef/>
      </w:r>
      <w:r>
        <w:t xml:space="preserve"> </w:t>
      </w:r>
      <w:r>
        <w:rPr>
          <w:lang w:val="en-US"/>
        </w:rPr>
        <w:t>See also Franco and Mustafa</w:t>
      </w:r>
      <w:r>
        <w:rPr>
          <w:lang w:val="en-US"/>
        </w:rPr>
        <w:t>’</w:t>
      </w:r>
      <w:r>
        <w:rPr>
          <w:lang w:val="en-US"/>
        </w:rPr>
        <w:t xml:space="preserve">s paper on discomfort and anxieties prompted by the need to interpret silences and undertones in archival research on racial thinking: </w:t>
      </w:r>
      <w:r>
        <w:rPr>
          <w:lang w:val="en-US"/>
        </w:rPr>
        <w:t>“</w:t>
      </w:r>
      <w:r>
        <w:rPr>
          <w:lang w:val="en-US"/>
        </w:rPr>
        <w:t>Invalidating the Archive: Interpreting Silences and Inconsistencies,</w:t>
      </w:r>
      <w:r>
        <w:rPr>
          <w:lang w:val="en-US"/>
        </w:rPr>
        <w:t>”</w:t>
      </w:r>
      <w:r>
        <w:rPr>
          <w:lang w:val="en-US"/>
        </w:rPr>
        <w:t xml:space="preserve"> </w:t>
      </w:r>
      <w:r w:rsidRPr="00E81550">
        <w:rPr>
          <w:i/>
          <w:iCs/>
          <w:lang w:val="en-US"/>
        </w:rPr>
        <w:t>Sentio</w:t>
      </w:r>
      <w:r>
        <w:rPr>
          <w:i/>
          <w:iCs/>
          <w:lang w:val="en-US"/>
        </w:rPr>
        <w:t xml:space="preserve"> Journal </w:t>
      </w:r>
      <w:r w:rsidRPr="003A0AF3">
        <w:rPr>
          <w:lang w:val="en-US"/>
        </w:rPr>
        <w:t xml:space="preserve">1, no. 1 (2019), </w:t>
      </w:r>
      <w:r>
        <w:rPr>
          <w:lang w:val="en-US"/>
        </w:rPr>
        <w:t xml:space="preserve">42-48.  </w:t>
      </w:r>
    </w:p>
  </w:footnote>
  <w:footnote w:id="24">
    <w:p w14:paraId="4CFF68DC" w14:textId="77777777" w:rsidR="009847E8" w:rsidRPr="00B23996" w:rsidRDefault="009847E8">
      <w:pPr>
        <w:pStyle w:val="FootnoteText"/>
        <w:rPr>
          <w:lang w:val="en-US"/>
        </w:rPr>
      </w:pPr>
      <w:r>
        <w:rPr>
          <w:rStyle w:val="FootnoteReference"/>
        </w:rPr>
        <w:footnoteRef/>
      </w:r>
      <w:r>
        <w:t xml:space="preserve"> Michel-Rolph Trouillot, </w:t>
      </w:r>
      <w:r w:rsidRPr="00B23996">
        <w:rPr>
          <w:i/>
          <w:iCs/>
        </w:rPr>
        <w:t>Silencing the Past: Power and the Production of History</w:t>
      </w:r>
      <w:r>
        <w:t xml:space="preserve"> (Beacon Press, 1995), xxiii.</w:t>
      </w:r>
    </w:p>
  </w:footnote>
  <w:footnote w:id="25">
    <w:p w14:paraId="7D668B85" w14:textId="77777777" w:rsidR="009847E8" w:rsidRPr="00B23996" w:rsidRDefault="009847E8">
      <w:pPr>
        <w:pStyle w:val="FootnoteText"/>
        <w:rPr>
          <w:lang w:val="en-US"/>
        </w:rPr>
      </w:pPr>
      <w:r>
        <w:rPr>
          <w:rStyle w:val="FootnoteReference"/>
        </w:rPr>
        <w:footnoteRef/>
      </w:r>
      <w:r>
        <w:t xml:space="preserve"> </w:t>
      </w:r>
      <w:r>
        <w:rPr>
          <w:lang w:val="en-US"/>
        </w:rPr>
        <w:t xml:space="preserve">Trouillot, </w:t>
      </w:r>
      <w:r w:rsidRPr="00B23996">
        <w:rPr>
          <w:i/>
          <w:iCs/>
          <w:lang w:val="en-US"/>
        </w:rPr>
        <w:t>Silencing the Past</w:t>
      </w:r>
      <w:r>
        <w:rPr>
          <w:lang w:val="en-US"/>
        </w:rPr>
        <w:t>, 26.</w:t>
      </w:r>
    </w:p>
  </w:footnote>
  <w:footnote w:id="26">
    <w:p w14:paraId="62037815" w14:textId="77777777" w:rsidR="009847E8" w:rsidRPr="00B23996" w:rsidRDefault="009847E8">
      <w:pPr>
        <w:pStyle w:val="FootnoteText"/>
        <w:rPr>
          <w:lang w:val="en-US"/>
        </w:rPr>
      </w:pPr>
      <w:r>
        <w:rPr>
          <w:rStyle w:val="FootnoteReference"/>
        </w:rPr>
        <w:footnoteRef/>
      </w:r>
      <w:r>
        <w:t xml:space="preserve"> </w:t>
      </w:r>
      <w:r>
        <w:rPr>
          <w:lang w:val="en-US"/>
        </w:rPr>
        <w:t xml:space="preserve">Ann Laura Stoler, </w:t>
      </w:r>
      <w:r w:rsidRPr="00B23996">
        <w:rPr>
          <w:i/>
          <w:iCs/>
          <w:lang w:val="en-US"/>
        </w:rPr>
        <w:t>Along the Archival Grain: Epistemic Anxieties and Colonial Common Sense</w:t>
      </w:r>
      <w:r>
        <w:rPr>
          <w:lang w:val="en-US"/>
        </w:rPr>
        <w:t xml:space="preserve"> (Princeton University Press, 2009). </w:t>
      </w:r>
    </w:p>
  </w:footnote>
  <w:footnote w:id="27">
    <w:p w14:paraId="3A22A6C1" w14:textId="77777777" w:rsidR="009847E8" w:rsidRPr="00B23996" w:rsidRDefault="009847E8">
      <w:pPr>
        <w:pStyle w:val="FootnoteText"/>
        <w:rPr>
          <w:lang w:val="en-US"/>
        </w:rPr>
      </w:pPr>
      <w:r>
        <w:rPr>
          <w:rStyle w:val="FootnoteReference"/>
        </w:rPr>
        <w:footnoteRef/>
      </w:r>
      <w:r>
        <w:t xml:space="preserve"> </w:t>
      </w:r>
      <w:r>
        <w:rPr>
          <w:lang w:val="en-US"/>
        </w:rPr>
        <w:t xml:space="preserve">Stoler, </w:t>
      </w:r>
      <w:r w:rsidRPr="00B23996">
        <w:rPr>
          <w:i/>
          <w:iCs/>
          <w:lang w:val="en-US"/>
        </w:rPr>
        <w:t>Along the Archival Grain</w:t>
      </w:r>
      <w:r>
        <w:rPr>
          <w:lang w:val="en-US"/>
        </w:rPr>
        <w:t xml:space="preserve">, 20. </w:t>
      </w:r>
    </w:p>
  </w:footnote>
  <w:footnote w:id="28">
    <w:p w14:paraId="5E640DE2" w14:textId="77777777" w:rsidR="009847E8" w:rsidRPr="00B23996" w:rsidRDefault="009847E8" w:rsidP="00910696">
      <w:pPr>
        <w:pStyle w:val="FootnoteText"/>
        <w:rPr>
          <w:lang w:val="en-US"/>
        </w:rPr>
      </w:pPr>
      <w:r>
        <w:rPr>
          <w:rStyle w:val="FootnoteReference"/>
        </w:rPr>
        <w:footnoteRef/>
      </w:r>
      <w:r>
        <w:t xml:space="preserve"> </w:t>
      </w:r>
      <w:r>
        <w:rPr>
          <w:lang w:val="en-US"/>
        </w:rPr>
        <w:t xml:space="preserve">Danilyn Rutherford, Review of Along the Archival Grain, </w:t>
      </w:r>
      <w:r w:rsidRPr="00B23996">
        <w:rPr>
          <w:i/>
          <w:iCs/>
          <w:lang w:val="en-US"/>
        </w:rPr>
        <w:t>Journal of Colonialism and Colonial History</w:t>
      </w:r>
      <w:r>
        <w:rPr>
          <w:lang w:val="en-US"/>
        </w:rPr>
        <w:t xml:space="preserve"> 10, no. 2 (2009). </w:t>
      </w:r>
    </w:p>
  </w:footnote>
  <w:footnote w:id="29">
    <w:p w14:paraId="3F7573CA" w14:textId="77777777" w:rsidR="009847E8" w:rsidRPr="00473BEF" w:rsidRDefault="009847E8">
      <w:pPr>
        <w:pStyle w:val="FootnoteText"/>
        <w:rPr>
          <w:lang w:val="en-US"/>
        </w:rPr>
      </w:pPr>
      <w:r>
        <w:rPr>
          <w:rStyle w:val="FootnoteReference"/>
        </w:rPr>
        <w:footnoteRef/>
      </w:r>
      <w:r w:rsidRPr="009847E8">
        <w:rPr>
          <w:lang w:val="nl-NL"/>
        </w:rPr>
        <w:t xml:space="preserve"> Albert Dekker and Hanneke van Katwijk, </w:t>
      </w:r>
      <w:r w:rsidRPr="009847E8">
        <w:rPr>
          <w:lang w:val="nl-NL"/>
        </w:rPr>
        <w:t>“</w:t>
      </w:r>
      <w:r w:rsidRPr="009847E8">
        <w:rPr>
          <w:lang w:val="nl-NL"/>
        </w:rPr>
        <w:t>Recht en Rechtspraak in Nederlands-Indi</w:t>
      </w:r>
      <w:r w:rsidRPr="009847E8">
        <w:rPr>
          <w:lang w:val="nl-NL"/>
        </w:rPr>
        <w:t>ë</w:t>
      </w:r>
      <w:r w:rsidRPr="009847E8">
        <w:rPr>
          <w:lang w:val="nl-NL"/>
        </w:rPr>
        <w:t>,</w:t>
      </w:r>
      <w:r w:rsidRPr="009847E8">
        <w:rPr>
          <w:lang w:val="nl-NL"/>
        </w:rPr>
        <w:t>”</w:t>
      </w:r>
      <w:r w:rsidRPr="009847E8">
        <w:rPr>
          <w:lang w:val="nl-NL"/>
        </w:rPr>
        <w:t xml:space="preserve"> (Brill, 1993), 21. </w:t>
      </w:r>
      <w:r>
        <w:rPr>
          <w:lang w:val="en-US"/>
        </w:rPr>
        <w:t>The Supreme Court was the highest court in the Dutch East-Indi</w:t>
      </w:r>
      <w:r>
        <w:rPr>
          <w:lang w:val="en-US"/>
        </w:rPr>
        <w:t>ë</w:t>
      </w:r>
      <w:r>
        <w:rPr>
          <w:lang w:val="en-US"/>
        </w:rPr>
        <w:t xml:space="preserve">, based in Batavia, consisting of only Dutch councilmen, and after 1917 those equated to Europeans. Directly below were the Councils of Justice, which were six different councils in six different cities. </w:t>
      </w:r>
    </w:p>
  </w:footnote>
  <w:footnote w:id="30">
    <w:p w14:paraId="17E7DA50"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Michel Foucault, </w:t>
      </w:r>
      <w:r w:rsidRPr="00620FB6">
        <w:rPr>
          <w:i/>
          <w:iCs/>
          <w:lang w:val="en-US"/>
        </w:rPr>
        <w:t>History of Sexuality</w:t>
      </w:r>
      <w:r w:rsidRPr="00620FB6">
        <w:rPr>
          <w:lang w:val="en-US"/>
        </w:rPr>
        <w:t xml:space="preserve">, Vintage Book Edition 2018, New York. </w:t>
      </w:r>
    </w:p>
  </w:footnote>
  <w:footnote w:id="31">
    <w:p w14:paraId="34AEDEF1" w14:textId="77777777" w:rsidR="009847E8" w:rsidRPr="00C90C79" w:rsidRDefault="009847E8" w:rsidP="002D6DB8">
      <w:pPr>
        <w:pStyle w:val="FootnoteText"/>
        <w:rPr>
          <w:lang w:val="en-US"/>
        </w:rPr>
      </w:pPr>
      <w:r>
        <w:rPr>
          <w:rStyle w:val="FootnoteReference"/>
        </w:rPr>
        <w:footnoteRef/>
      </w:r>
      <w:r>
        <w:t xml:space="preserve"> </w:t>
      </w:r>
      <w:r w:rsidRPr="00C90C79">
        <w:rPr>
          <w:lang w:val="en-US"/>
        </w:rPr>
        <w:t>Archaeology is Foucault's method for describing discourses as practices governed by specific rules of formation</w:t>
      </w:r>
      <w:r>
        <w:rPr>
          <w:lang w:val="en-US"/>
        </w:rPr>
        <w:t>. I</w:t>
      </w:r>
      <w:r w:rsidRPr="00C90C79">
        <w:rPr>
          <w:lang w:val="en-US"/>
        </w:rPr>
        <w:t xml:space="preserve">t is </w:t>
      </w:r>
      <w:r>
        <w:rPr>
          <w:lang w:val="en-US"/>
        </w:rPr>
        <w:t>‘</w:t>
      </w:r>
      <w:r>
        <w:rPr>
          <w:lang w:val="en-US"/>
        </w:rPr>
        <w:t>t</w:t>
      </w:r>
      <w:r w:rsidRPr="00C90C79">
        <w:rPr>
          <w:lang w:val="en-US"/>
        </w:rPr>
        <w:t>he general system of the formation and transformation of statements.</w:t>
      </w:r>
      <w:r>
        <w:rPr>
          <w:lang w:val="en-US"/>
        </w:rPr>
        <w:t>’</w:t>
      </w:r>
      <w:r w:rsidRPr="00C90C79">
        <w:rPr>
          <w:lang w:val="en-US"/>
        </w:rPr>
        <w:t xml:space="preserve"> Rather than seeking the intentions </w:t>
      </w:r>
      <w:r>
        <w:rPr>
          <w:lang w:val="en-US"/>
        </w:rPr>
        <w:t>behind discourses</w:t>
      </w:r>
      <w:r w:rsidRPr="00C90C79">
        <w:rPr>
          <w:lang w:val="en-US"/>
        </w:rPr>
        <w:t xml:space="preserve">, it </w:t>
      </w:r>
      <w:r>
        <w:rPr>
          <w:lang w:val="en-US"/>
        </w:rPr>
        <w:t>demonstrates</w:t>
      </w:r>
      <w:r w:rsidRPr="00C90C79">
        <w:rPr>
          <w:lang w:val="en-US"/>
        </w:rPr>
        <w:t xml:space="preserve"> the rules that determine what can be said, how statements appear, and where one discursive formation is replaced by another.</w:t>
      </w:r>
      <w:r>
        <w:rPr>
          <w:lang w:val="en-US"/>
        </w:rPr>
        <w:t xml:space="preserve"> See:</w:t>
      </w:r>
      <w:r w:rsidRPr="00C90C79">
        <w:rPr>
          <w:lang w:val="en-US"/>
        </w:rPr>
        <w:t xml:space="preserve"> Michel Foucault</w:t>
      </w:r>
      <w:r>
        <w:rPr>
          <w:lang w:val="en-US"/>
        </w:rPr>
        <w:t>,</w:t>
      </w:r>
      <w:r w:rsidRPr="00C90C79">
        <w:rPr>
          <w:lang w:val="en-US"/>
        </w:rPr>
        <w:t xml:space="preserve"> </w:t>
      </w:r>
      <w:r w:rsidRPr="00C90C79">
        <w:rPr>
          <w:i/>
          <w:iCs/>
          <w:lang w:val="en-US"/>
        </w:rPr>
        <w:t>Archaeology of Knowledge</w:t>
      </w:r>
      <w:r>
        <w:rPr>
          <w:lang w:val="en-US"/>
        </w:rPr>
        <w:t xml:space="preserve"> (</w:t>
      </w:r>
      <w:r w:rsidRPr="00C90C79">
        <w:rPr>
          <w:lang w:val="en-US"/>
        </w:rPr>
        <w:t>Routledge, 2002</w:t>
      </w:r>
      <w:r>
        <w:rPr>
          <w:lang w:val="en-US"/>
        </w:rPr>
        <w:t xml:space="preserve">), 146. </w:t>
      </w:r>
    </w:p>
  </w:footnote>
  <w:footnote w:id="32">
    <w:p w14:paraId="33ABA003"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C61DFC">
        <w:rPr>
          <w:i/>
          <w:iCs/>
          <w:lang w:val="en-US"/>
        </w:rPr>
        <w:t>Race and the Education of Desir</w:t>
      </w:r>
      <w:r>
        <w:rPr>
          <w:i/>
          <w:iCs/>
          <w:lang w:val="en-US"/>
        </w:rPr>
        <w:t>e</w:t>
      </w:r>
      <w:r>
        <w:rPr>
          <w:lang w:val="en-US"/>
        </w:rPr>
        <w:t>.</w:t>
      </w:r>
    </w:p>
  </w:footnote>
  <w:footnote w:id="33">
    <w:p w14:paraId="5A267279" w14:textId="77777777" w:rsidR="009847E8" w:rsidRPr="00233BAA" w:rsidRDefault="009847E8" w:rsidP="002D6DB8">
      <w:pPr>
        <w:pStyle w:val="FootnoteText"/>
        <w:rPr>
          <w:lang w:val="en-US"/>
        </w:rPr>
      </w:pPr>
      <w:r>
        <w:rPr>
          <w:rStyle w:val="FootnoteReference"/>
        </w:rPr>
        <w:footnoteRef/>
      </w:r>
      <w:r w:rsidRPr="002F66D9">
        <w:rPr>
          <w:lang w:val="en-US"/>
        </w:rPr>
        <w:t xml:space="preserve"> </w:t>
      </w:r>
      <w:r>
        <w:rPr>
          <w:lang w:val="en-US"/>
        </w:rPr>
        <w:t xml:space="preserve">Stoler, </w:t>
      </w:r>
      <w:r w:rsidRPr="00233BAA">
        <w:rPr>
          <w:i/>
          <w:iCs/>
          <w:lang w:val="en-US"/>
        </w:rPr>
        <w:t>Race and the Education of Desire</w:t>
      </w:r>
      <w:r>
        <w:rPr>
          <w:lang w:val="en-US"/>
        </w:rPr>
        <w:t xml:space="preserve">, 95. </w:t>
      </w:r>
    </w:p>
  </w:footnote>
  <w:footnote w:id="34">
    <w:p w14:paraId="10026E91"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xml:space="preserve">, 55. </w:t>
      </w:r>
    </w:p>
  </w:footnote>
  <w:footnote w:id="35">
    <w:p w14:paraId="485865A6"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12. </w:t>
      </w:r>
    </w:p>
  </w:footnote>
  <w:footnote w:id="36">
    <w:p w14:paraId="02407B42"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11.</w:t>
      </w:r>
      <w:r>
        <w:rPr>
          <w:lang w:val="en-US"/>
        </w:rPr>
        <w:t xml:space="preserve"> Foucault</w:t>
      </w:r>
      <w:r>
        <w:rPr>
          <w:lang w:val="en-US"/>
        </w:rPr>
        <w:t>’</w:t>
      </w:r>
      <w:r>
        <w:rPr>
          <w:lang w:val="en-US"/>
        </w:rPr>
        <w:t xml:space="preserve">s genealogical method critically analyzes objects of knowledge and procedures of knowledge production. See: Derek Hook, </w:t>
      </w:r>
      <w:r>
        <w:rPr>
          <w:lang w:val="en-US"/>
        </w:rPr>
        <w:t>‘</w:t>
      </w:r>
      <w:r>
        <w:rPr>
          <w:lang w:val="en-US"/>
        </w:rPr>
        <w:t xml:space="preserve">Genealogy, Discourse, </w:t>
      </w:r>
      <w:r>
        <w:rPr>
          <w:lang w:val="en-US"/>
        </w:rPr>
        <w:t>‘</w:t>
      </w:r>
      <w:r>
        <w:rPr>
          <w:lang w:val="en-US"/>
        </w:rPr>
        <w:t>effective history</w:t>
      </w:r>
      <w:r>
        <w:rPr>
          <w:lang w:val="en-US"/>
        </w:rPr>
        <w:t>’</w:t>
      </w:r>
      <w:r>
        <w:rPr>
          <w:lang w:val="en-US"/>
        </w:rPr>
        <w:t>: Foucault and the work of critique</w:t>
      </w:r>
      <w:r>
        <w:rPr>
          <w:lang w:val="en-US"/>
        </w:rPr>
        <w:t>’</w:t>
      </w:r>
      <w:r>
        <w:rPr>
          <w:lang w:val="en-US"/>
        </w:rPr>
        <w:t xml:space="preserve">, </w:t>
      </w:r>
      <w:r w:rsidRPr="00C90C79">
        <w:rPr>
          <w:i/>
          <w:iCs/>
          <w:lang w:val="en-US"/>
        </w:rPr>
        <w:t>Qualitative Research in Psychology</w:t>
      </w:r>
      <w:r>
        <w:rPr>
          <w:lang w:val="en-US"/>
        </w:rPr>
        <w:t xml:space="preserve">, 2(1), 3-31. </w:t>
      </w:r>
    </w:p>
  </w:footnote>
  <w:footnote w:id="37">
    <w:p w14:paraId="7EC5404E"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17</w:t>
      </w:r>
      <w:r>
        <w:rPr>
          <w:lang w:val="en-US"/>
        </w:rPr>
        <w:t xml:space="preserve">; </w:t>
      </w:r>
      <w:r w:rsidRPr="00620FB6">
        <w:rPr>
          <w:lang w:val="en-US"/>
        </w:rPr>
        <w:t xml:space="preserve">Foucault, </w:t>
      </w:r>
      <w:r w:rsidRPr="00620FB6">
        <w:rPr>
          <w:i/>
          <w:iCs/>
          <w:lang w:val="en-US"/>
        </w:rPr>
        <w:t>History of Sexuality</w:t>
      </w:r>
      <w:r w:rsidRPr="00620FB6">
        <w:rPr>
          <w:lang w:val="en-US"/>
        </w:rPr>
        <w:t xml:space="preserve">, 23. </w:t>
      </w:r>
    </w:p>
  </w:footnote>
  <w:footnote w:id="38">
    <w:p w14:paraId="7040EC6B"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24. </w:t>
      </w:r>
    </w:p>
  </w:footnote>
  <w:footnote w:id="39">
    <w:p w14:paraId="05BAAE00"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26. </w:t>
      </w:r>
    </w:p>
  </w:footnote>
  <w:footnote w:id="40">
    <w:p w14:paraId="65B1E37B"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25. </w:t>
      </w:r>
    </w:p>
  </w:footnote>
  <w:footnote w:id="41">
    <w:p w14:paraId="7470C956"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92. He reiterates this rejection of a purely juridical, economic conception of power in his first lecture of Society Must Be Defended, see: Michel Foucault, </w:t>
      </w:r>
      <w:r w:rsidRPr="00620FB6">
        <w:rPr>
          <w:i/>
          <w:iCs/>
          <w:lang w:val="en-US"/>
        </w:rPr>
        <w:t>Society Must Be Defended: lectures at the Coll</w:t>
      </w:r>
      <w:r w:rsidRPr="00620FB6">
        <w:rPr>
          <w:i/>
          <w:iCs/>
          <w:lang w:val="en-US"/>
        </w:rPr>
        <w:t>è</w:t>
      </w:r>
      <w:r w:rsidRPr="00620FB6">
        <w:rPr>
          <w:i/>
          <w:iCs/>
          <w:lang w:val="en-US"/>
        </w:rPr>
        <w:t>ge de France, 1975-76</w:t>
      </w:r>
      <w:r w:rsidRPr="00620FB6">
        <w:rPr>
          <w:lang w:val="en-US"/>
        </w:rPr>
        <w:t xml:space="preserve">, London: Allen Lane 2003, 13-17.  </w:t>
      </w:r>
    </w:p>
  </w:footnote>
  <w:footnote w:id="42">
    <w:p w14:paraId="25E8D869"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94. </w:t>
      </w:r>
    </w:p>
  </w:footnote>
  <w:footnote w:id="43">
    <w:p w14:paraId="70C30AD5"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94.</w:t>
      </w:r>
    </w:p>
  </w:footnote>
  <w:footnote w:id="44">
    <w:p w14:paraId="058393A7"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95. </w:t>
      </w:r>
    </w:p>
  </w:footnote>
  <w:footnote w:id="45">
    <w:p w14:paraId="23C43454"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33. </w:t>
      </w:r>
    </w:p>
  </w:footnote>
  <w:footnote w:id="46">
    <w:p w14:paraId="39183902"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97. </w:t>
      </w:r>
    </w:p>
  </w:footnote>
  <w:footnote w:id="47">
    <w:p w14:paraId="714FC7EF"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w:t>
      </w:r>
      <w:r>
        <w:rPr>
          <w:lang w:val="en-US"/>
        </w:rPr>
        <w:t>38-39</w:t>
      </w:r>
      <w:r w:rsidRPr="00620FB6">
        <w:rPr>
          <w:lang w:val="en-US"/>
        </w:rPr>
        <w:t xml:space="preserve">. </w:t>
      </w:r>
    </w:p>
  </w:footnote>
  <w:footnote w:id="48">
    <w:p w14:paraId="1CB5FD3C"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54. </w:t>
      </w:r>
    </w:p>
  </w:footnote>
  <w:footnote w:id="49">
    <w:p w14:paraId="0CC09F5F"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57-58, 68.</w:t>
      </w:r>
    </w:p>
  </w:footnote>
  <w:footnote w:id="50">
    <w:p w14:paraId="54AEB84E"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105. </w:t>
      </w:r>
    </w:p>
  </w:footnote>
  <w:footnote w:id="51">
    <w:p w14:paraId="4DE17C66"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110 and 116. </w:t>
      </w:r>
    </w:p>
  </w:footnote>
  <w:footnote w:id="52">
    <w:p w14:paraId="5E6E3CC1"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136-137.</w:t>
      </w:r>
    </w:p>
  </w:footnote>
  <w:footnote w:id="53">
    <w:p w14:paraId="461DA0F0"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139. </w:t>
      </w:r>
    </w:p>
  </w:footnote>
  <w:footnote w:id="54">
    <w:p w14:paraId="79B3F572"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140. </w:t>
      </w:r>
    </w:p>
  </w:footnote>
  <w:footnote w:id="55">
    <w:p w14:paraId="07DC0397"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145. </w:t>
      </w:r>
    </w:p>
  </w:footnote>
  <w:footnote w:id="56">
    <w:p w14:paraId="1E825DFF"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147. </w:t>
      </w:r>
    </w:p>
  </w:footnote>
  <w:footnote w:id="57">
    <w:p w14:paraId="0A5CC493"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149. </w:t>
      </w:r>
    </w:p>
  </w:footnote>
  <w:footnote w:id="58">
    <w:p w14:paraId="23EDF313" w14:textId="77777777" w:rsidR="009847E8" w:rsidRPr="00910696" w:rsidRDefault="009847E8">
      <w:pPr>
        <w:pStyle w:val="FootnoteText"/>
        <w:rPr>
          <w:lang w:val="en-US"/>
        </w:rPr>
      </w:pPr>
      <w:r>
        <w:rPr>
          <w:rStyle w:val="FootnoteReference"/>
        </w:rPr>
        <w:footnoteRef/>
      </w:r>
      <w:r>
        <w:t xml:space="preserve"> </w:t>
      </w:r>
      <w:r>
        <w:rPr>
          <w:lang w:val="en-US"/>
        </w:rPr>
        <w:t xml:space="preserve">Stoler, </w:t>
      </w:r>
      <w:r w:rsidRPr="00547F58">
        <w:rPr>
          <w:i/>
          <w:iCs/>
          <w:lang w:val="en-US"/>
        </w:rPr>
        <w:t>Race and the Education of Desire</w:t>
      </w:r>
      <w:r>
        <w:rPr>
          <w:lang w:val="en-US"/>
        </w:rPr>
        <w:t>, 38-39.</w:t>
      </w:r>
    </w:p>
  </w:footnote>
  <w:footnote w:id="59">
    <w:p w14:paraId="7A92F82A" w14:textId="77777777" w:rsidR="009847E8" w:rsidRPr="00910696" w:rsidRDefault="009847E8">
      <w:pPr>
        <w:pStyle w:val="FootnoteText"/>
        <w:rPr>
          <w:lang w:val="en-US"/>
        </w:rPr>
      </w:pPr>
      <w:r>
        <w:rPr>
          <w:rStyle w:val="FootnoteReference"/>
        </w:rPr>
        <w:footnoteRef/>
      </w:r>
      <w:r>
        <w:t xml:space="preserve"> </w:t>
      </w:r>
      <w:r>
        <w:rPr>
          <w:lang w:val="en-US"/>
        </w:rPr>
        <w:t xml:space="preserve">Stoler, </w:t>
      </w:r>
      <w:r w:rsidRPr="00547F58">
        <w:rPr>
          <w:i/>
          <w:iCs/>
          <w:lang w:val="en-US"/>
        </w:rPr>
        <w:t>Race and the Education of Desire</w:t>
      </w:r>
      <w:r>
        <w:rPr>
          <w:lang w:val="en-US"/>
        </w:rPr>
        <w:t>, 31.</w:t>
      </w:r>
    </w:p>
  </w:footnote>
  <w:footnote w:id="60">
    <w:p w14:paraId="73476269"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149. </w:t>
      </w:r>
    </w:p>
  </w:footnote>
  <w:footnote w:id="61">
    <w:p w14:paraId="1497396D"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141. </w:t>
      </w:r>
      <w:r>
        <w:rPr>
          <w:lang w:val="en-US"/>
        </w:rPr>
        <w:t xml:space="preserve">For </w:t>
      </w:r>
      <w:r w:rsidRPr="00CB1D10">
        <w:rPr>
          <w:lang w:val="en-US"/>
        </w:rPr>
        <w:t xml:space="preserve">instance, Indigenous midwives had to practice according to Western </w:t>
      </w:r>
      <w:r w:rsidRPr="00CB1D10">
        <w:rPr>
          <w:lang w:val="en-US"/>
        </w:rPr>
        <w:t>‘</w:t>
      </w:r>
      <w:r w:rsidRPr="00CB1D10">
        <w:rPr>
          <w:lang w:val="en-US"/>
        </w:rPr>
        <w:t>standards of hygiene</w:t>
      </w:r>
      <w:r w:rsidRPr="00CB1D10">
        <w:rPr>
          <w:lang w:val="en-US"/>
        </w:rPr>
        <w:t>’</w:t>
      </w:r>
      <w:r w:rsidRPr="00CB1D10">
        <w:rPr>
          <w:lang w:val="en-US"/>
        </w:rPr>
        <w:t xml:space="preserve">, as traditional </w:t>
      </w:r>
      <w:r w:rsidRPr="00CB1D10">
        <w:rPr>
          <w:i/>
          <w:iCs/>
          <w:lang w:val="en-US"/>
        </w:rPr>
        <w:t>dukun beranak</w:t>
      </w:r>
      <w:r w:rsidRPr="00CB1D10">
        <w:rPr>
          <w:lang w:val="en-US"/>
        </w:rPr>
        <w:t xml:space="preserve"> (traditional midwifery) was frowned upon for being </w:t>
      </w:r>
      <w:r w:rsidRPr="00CB1D10">
        <w:rPr>
          <w:lang w:val="en-US"/>
        </w:rPr>
        <w:t>‘</w:t>
      </w:r>
      <w:r w:rsidRPr="00CB1D10">
        <w:rPr>
          <w:lang w:val="en-US"/>
        </w:rPr>
        <w:t>barbaric</w:t>
      </w:r>
      <w:r w:rsidRPr="00CB1D10">
        <w:rPr>
          <w:lang w:val="en-US"/>
        </w:rPr>
        <w:t>’</w:t>
      </w:r>
      <w:r w:rsidRPr="00CB1D10">
        <w:rPr>
          <w:lang w:val="en-US"/>
        </w:rPr>
        <w:t xml:space="preserve"> and were considered </w:t>
      </w:r>
      <w:r w:rsidRPr="00CB1D10">
        <w:rPr>
          <w:lang w:val="en-US"/>
        </w:rPr>
        <w:t>‘</w:t>
      </w:r>
      <w:r w:rsidRPr="00CB1D10">
        <w:rPr>
          <w:lang w:val="en-US"/>
        </w:rPr>
        <w:t>bad medicine</w:t>
      </w:r>
      <w:r w:rsidRPr="00CB1D10">
        <w:rPr>
          <w:lang w:val="en-US"/>
        </w:rPr>
        <w:t>’</w:t>
      </w:r>
      <w:r w:rsidRPr="00CB1D10">
        <w:rPr>
          <w:lang w:val="en-US"/>
        </w:rPr>
        <w:t xml:space="preserve">. See: </w:t>
      </w:r>
      <w:r w:rsidRPr="00CB1D10">
        <w:rPr>
          <w:lang w:val="en-US"/>
        </w:rPr>
        <w:t>‘</w:t>
      </w:r>
      <w:r w:rsidRPr="00CB1D10">
        <w:rPr>
          <w:lang w:val="en-US"/>
        </w:rPr>
        <w:t>Midwives and Dukun Beranak, the Choices for Handling Childbirth</w:t>
      </w:r>
      <w:r w:rsidRPr="00CB1D10">
        <w:rPr>
          <w:lang w:val="en-US"/>
        </w:rPr>
        <w:t>’</w:t>
      </w:r>
      <w:r w:rsidRPr="00CB1D10">
        <w:rPr>
          <w:lang w:val="en-US"/>
        </w:rPr>
        <w:t xml:space="preserve">, </w:t>
      </w:r>
      <w:r w:rsidRPr="00CB1D10">
        <w:rPr>
          <w:i/>
          <w:iCs/>
          <w:lang w:val="en-US"/>
        </w:rPr>
        <w:t>Lembaran Sejarah</w:t>
      </w:r>
      <w:r w:rsidRPr="00CB1D10">
        <w:rPr>
          <w:lang w:val="en-US"/>
        </w:rPr>
        <w:t xml:space="preserve"> 2020 16(2), 165-182. Furthermore, concerns for European reproduction and racial survival led to the </w:t>
      </w:r>
      <w:r>
        <w:rPr>
          <w:lang w:val="en-US"/>
        </w:rPr>
        <w:t>administration and supervision</w:t>
      </w:r>
      <w:r w:rsidRPr="00CB1D10">
        <w:rPr>
          <w:lang w:val="en-US"/>
        </w:rPr>
        <w:t xml:space="preserve"> of fertility in the colony; the Netherlands Indies Eugenics Society supported medical research in the 1930s which examined the correlation between racial type and fertility rates, see: Stoler, </w:t>
      </w:r>
      <w:r w:rsidRPr="00CB1D10">
        <w:rPr>
          <w:i/>
          <w:iCs/>
          <w:lang w:val="en-US"/>
        </w:rPr>
        <w:t>Carnal Knowledge and Imperial Power</w:t>
      </w:r>
      <w:r w:rsidRPr="00CB1D10">
        <w:rPr>
          <w:lang w:val="en-US"/>
        </w:rPr>
        <w:t>, 73.</w:t>
      </w:r>
    </w:p>
  </w:footnote>
  <w:footnote w:id="62">
    <w:p w14:paraId="0882D801" w14:textId="77777777" w:rsidR="009847E8" w:rsidRPr="00547F58" w:rsidRDefault="009847E8" w:rsidP="002D6DB8">
      <w:pPr>
        <w:pStyle w:val="FootnoteText"/>
        <w:rPr>
          <w:lang w:val="en-US"/>
        </w:rPr>
      </w:pPr>
      <w:r>
        <w:rPr>
          <w:rStyle w:val="FootnoteReference"/>
        </w:rPr>
        <w:footnoteRef/>
      </w:r>
      <w:r>
        <w:t xml:space="preserve"> </w:t>
      </w:r>
      <w:r>
        <w:rPr>
          <w:lang w:val="en-US"/>
        </w:rPr>
        <w:t xml:space="preserve">Stoler, </w:t>
      </w:r>
      <w:r w:rsidRPr="00547F58">
        <w:rPr>
          <w:i/>
          <w:iCs/>
          <w:lang w:val="en-US"/>
        </w:rPr>
        <w:t>Race and the Education of Desire</w:t>
      </w:r>
      <w:r>
        <w:rPr>
          <w:lang w:val="en-US"/>
        </w:rPr>
        <w:t>, 93;</w:t>
      </w:r>
      <w:r w:rsidRPr="00620FB6">
        <w:rPr>
          <w:i/>
          <w:iCs/>
          <w:lang w:val="en-US"/>
        </w:rPr>
        <w:t xml:space="preserve"> Carnal Knowledge and Imperial Power</w:t>
      </w:r>
      <w:r w:rsidRPr="00620FB6">
        <w:rPr>
          <w:lang w:val="en-US"/>
        </w:rPr>
        <w:t>, 42.</w:t>
      </w:r>
    </w:p>
  </w:footnote>
  <w:footnote w:id="63">
    <w:p w14:paraId="1EA543D4" w14:textId="77777777" w:rsidR="009847E8" w:rsidRPr="00E75798" w:rsidRDefault="009847E8" w:rsidP="002D6DB8">
      <w:pPr>
        <w:pStyle w:val="FootnoteText"/>
      </w:pPr>
      <w:r>
        <w:rPr>
          <w:rStyle w:val="FootnoteReference"/>
        </w:rPr>
        <w:footnoteRef/>
      </w:r>
      <w:r w:rsidRPr="002F66D9">
        <w:t xml:space="preserve"> </w:t>
      </w:r>
      <w:r w:rsidRPr="00620FB6">
        <w:t xml:space="preserve">Stoler, </w:t>
      </w:r>
      <w:r w:rsidRPr="00620FB6">
        <w:rPr>
          <w:i/>
          <w:iCs/>
        </w:rPr>
        <w:t>Race and the Education of Desire</w:t>
      </w:r>
      <w:r w:rsidRPr="00620FB6">
        <w:t>,</w:t>
      </w:r>
      <w:r>
        <w:t xml:space="preserve"> 184-187.</w:t>
      </w:r>
    </w:p>
  </w:footnote>
  <w:footnote w:id="64">
    <w:p w14:paraId="4527EEF6" w14:textId="77777777" w:rsidR="009847E8" w:rsidRPr="002951D1" w:rsidRDefault="009847E8" w:rsidP="002D6DB8">
      <w:pPr>
        <w:pStyle w:val="FootnoteText"/>
        <w:rPr>
          <w:lang w:val="en-US"/>
        </w:rPr>
      </w:pPr>
      <w:r>
        <w:rPr>
          <w:rStyle w:val="FootnoteReference"/>
        </w:rPr>
        <w:footnoteRef/>
      </w:r>
      <w:r>
        <w:t xml:space="preserve"> </w:t>
      </w:r>
      <w:r w:rsidRPr="002951D1">
        <w:rPr>
          <w:lang w:val="en-US"/>
        </w:rPr>
        <w:t>This scientific study of women's bodies is also racially grounded. Stratz describes the European female body in a scientific and 'objective' manner, focusing more on diseases</w:t>
      </w:r>
      <w:r>
        <w:rPr>
          <w:lang w:val="en-US"/>
        </w:rPr>
        <w:t xml:space="preserve">, without </w:t>
      </w:r>
      <w:r w:rsidRPr="002951D1">
        <w:rPr>
          <w:lang w:val="en-US"/>
        </w:rPr>
        <w:t>photographs of the sexual parts of the body.</w:t>
      </w:r>
      <w:r>
        <w:rPr>
          <w:lang w:val="en-US"/>
        </w:rPr>
        <w:t xml:space="preserve"> </w:t>
      </w:r>
    </w:p>
  </w:footnote>
  <w:footnote w:id="65">
    <w:p w14:paraId="28073021"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56. </w:t>
      </w:r>
    </w:p>
  </w:footnote>
  <w:footnote w:id="66">
    <w:p w14:paraId="36CE36E2" w14:textId="77777777" w:rsidR="009847E8" w:rsidRPr="002951D1" w:rsidRDefault="009847E8" w:rsidP="002D6DB8">
      <w:pPr>
        <w:pStyle w:val="FootnoteText"/>
        <w:rPr>
          <w:lang w:val="en-US"/>
        </w:rPr>
      </w:pPr>
      <w:r>
        <w:rPr>
          <w:rStyle w:val="FootnoteReference"/>
        </w:rPr>
        <w:footnoteRef/>
      </w:r>
      <w:r>
        <w:t xml:space="preserve"> </w:t>
      </w:r>
      <w:r>
        <w:rPr>
          <w:lang w:val="en-US"/>
        </w:rPr>
        <w:t xml:space="preserve">Stoler, </w:t>
      </w:r>
      <w:r w:rsidRPr="00620FB6">
        <w:rPr>
          <w:i/>
          <w:iCs/>
        </w:rPr>
        <w:t>Race and the Education of Desire</w:t>
      </w:r>
      <w:r w:rsidRPr="00620FB6">
        <w:t>,</w:t>
      </w:r>
      <w:r>
        <w:t xml:space="preserve"> 184.</w:t>
      </w:r>
    </w:p>
  </w:footnote>
  <w:footnote w:id="67">
    <w:p w14:paraId="201C4E3A"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w:t>
      </w:r>
      <w:r>
        <w:rPr>
          <w:lang w:val="en-US"/>
        </w:rPr>
        <w:t xml:space="preserve">I mainly use the lectures of 7 January 1976, 14 January 1976, 21 January 1976, and 4 February 1976, from: </w:t>
      </w:r>
      <w:r w:rsidRPr="00620FB6">
        <w:rPr>
          <w:lang w:val="en-US"/>
        </w:rPr>
        <w:t xml:space="preserve">Michel Foucault, </w:t>
      </w:r>
      <w:r w:rsidRPr="00620FB6">
        <w:rPr>
          <w:i/>
          <w:iCs/>
          <w:lang w:val="en-US"/>
        </w:rPr>
        <w:t>Society Must Be Defended: lectures at the Coll</w:t>
      </w:r>
      <w:r w:rsidRPr="00620FB6">
        <w:rPr>
          <w:i/>
          <w:iCs/>
          <w:lang w:val="en-US"/>
        </w:rPr>
        <w:t>è</w:t>
      </w:r>
      <w:r w:rsidRPr="00620FB6">
        <w:rPr>
          <w:i/>
          <w:iCs/>
          <w:lang w:val="en-US"/>
        </w:rPr>
        <w:t>ge de France, 1975-76</w:t>
      </w:r>
      <w:r w:rsidRPr="00620FB6">
        <w:rPr>
          <w:lang w:val="en-US"/>
        </w:rPr>
        <w:t xml:space="preserve">, </w:t>
      </w:r>
      <w:r>
        <w:rPr>
          <w:lang w:val="en-US"/>
        </w:rPr>
        <w:t>(</w:t>
      </w:r>
      <w:r w:rsidRPr="00620FB6">
        <w:rPr>
          <w:lang w:val="en-US"/>
        </w:rPr>
        <w:t>Allen Lane, 2003</w:t>
      </w:r>
      <w:r>
        <w:rPr>
          <w:lang w:val="en-US"/>
        </w:rPr>
        <w:t>)</w:t>
      </w:r>
      <w:r w:rsidRPr="00620FB6">
        <w:rPr>
          <w:lang w:val="en-US"/>
        </w:rPr>
        <w:t xml:space="preserve">.  </w:t>
      </w:r>
    </w:p>
  </w:footnote>
  <w:footnote w:id="68">
    <w:p w14:paraId="78F1BD8A"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w:t>
      </w:r>
      <w:r>
        <w:rPr>
          <w:lang w:val="en-US"/>
        </w:rPr>
        <w:t xml:space="preserve">Foucault, </w:t>
      </w:r>
      <w:r w:rsidRPr="00620FB6">
        <w:rPr>
          <w:i/>
          <w:iCs/>
          <w:lang w:val="en-US"/>
        </w:rPr>
        <w:t>Society Must Be Defended</w:t>
      </w:r>
      <w:r>
        <w:rPr>
          <w:lang w:val="en-US"/>
        </w:rPr>
        <w:t xml:space="preserve">, 16; </w:t>
      </w:r>
      <w:r w:rsidRPr="00620FB6">
        <w:rPr>
          <w:lang w:val="en-US"/>
        </w:rPr>
        <w:t xml:space="preserve">Stoler, </w:t>
      </w:r>
      <w:r w:rsidRPr="00620FB6">
        <w:rPr>
          <w:i/>
          <w:iCs/>
          <w:lang w:val="en-US"/>
        </w:rPr>
        <w:t>Race and the Education of Desire</w:t>
      </w:r>
      <w:r w:rsidRPr="00620FB6">
        <w:rPr>
          <w:lang w:val="en-US"/>
        </w:rPr>
        <w:t>, 64.</w:t>
      </w:r>
    </w:p>
  </w:footnote>
  <w:footnote w:id="69">
    <w:p w14:paraId="6D01595B" w14:textId="77777777" w:rsidR="009847E8" w:rsidRPr="007504C3" w:rsidRDefault="009847E8" w:rsidP="002D6DB8">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 Society Must Be Defended</w:t>
      </w:r>
      <w:r w:rsidRPr="00620FB6">
        <w:rPr>
          <w:lang w:val="en-US"/>
        </w:rPr>
        <w:t xml:space="preserve">, </w:t>
      </w:r>
      <w:r>
        <w:rPr>
          <w:lang w:val="en-US"/>
        </w:rPr>
        <w:t>38-39.</w:t>
      </w:r>
    </w:p>
  </w:footnote>
  <w:footnote w:id="70">
    <w:p w14:paraId="67CDEC92" w14:textId="77777777" w:rsidR="009847E8" w:rsidRPr="008F4346" w:rsidRDefault="009847E8" w:rsidP="002D6DB8">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 Society Must Be Defended</w:t>
      </w:r>
      <w:r w:rsidRPr="00620FB6">
        <w:rPr>
          <w:lang w:val="en-US"/>
        </w:rPr>
        <w:t xml:space="preserve">, </w:t>
      </w:r>
      <w:r>
        <w:rPr>
          <w:lang w:val="en-US"/>
        </w:rPr>
        <w:t>39.</w:t>
      </w:r>
    </w:p>
  </w:footnote>
  <w:footnote w:id="71">
    <w:p w14:paraId="61F98842" w14:textId="77777777" w:rsidR="009847E8" w:rsidRPr="0001459B" w:rsidRDefault="009847E8">
      <w:pPr>
        <w:pStyle w:val="FootnoteText"/>
        <w:rPr>
          <w:lang w:val="en-US"/>
        </w:rPr>
      </w:pPr>
      <w:r>
        <w:rPr>
          <w:rStyle w:val="FootnoteReference"/>
        </w:rPr>
        <w:footnoteRef/>
      </w:r>
      <w:r>
        <w:t xml:space="preserve"> </w:t>
      </w:r>
      <w:r w:rsidRPr="00620FB6">
        <w:rPr>
          <w:lang w:val="en-US"/>
        </w:rPr>
        <w:t>Foucault</w:t>
      </w:r>
      <w:r w:rsidRPr="00620FB6">
        <w:rPr>
          <w:i/>
          <w:iCs/>
          <w:lang w:val="en-US"/>
        </w:rPr>
        <w:t>, Society Must Be Defended</w:t>
      </w:r>
      <w:r w:rsidRPr="00620FB6">
        <w:rPr>
          <w:lang w:val="en-US"/>
        </w:rPr>
        <w:t>,</w:t>
      </w:r>
      <w:r>
        <w:rPr>
          <w:lang w:val="en-US"/>
        </w:rPr>
        <w:t xml:space="preserve"> 45. </w:t>
      </w:r>
    </w:p>
  </w:footnote>
  <w:footnote w:id="72">
    <w:p w14:paraId="3CED4968" w14:textId="77777777" w:rsidR="009847E8" w:rsidRPr="0001459B" w:rsidRDefault="009847E8">
      <w:pPr>
        <w:pStyle w:val="FootnoteText"/>
        <w:rPr>
          <w:lang w:val="en-US"/>
        </w:rPr>
      </w:pPr>
      <w:r>
        <w:rPr>
          <w:rStyle w:val="FootnoteReference"/>
        </w:rPr>
        <w:footnoteRef/>
      </w:r>
      <w:r>
        <w:t xml:space="preserve"> </w:t>
      </w:r>
      <w:r w:rsidRPr="00620FB6">
        <w:rPr>
          <w:lang w:val="en-US"/>
        </w:rPr>
        <w:t>Foucault</w:t>
      </w:r>
      <w:r w:rsidRPr="00620FB6">
        <w:rPr>
          <w:i/>
          <w:iCs/>
          <w:lang w:val="en-US"/>
        </w:rPr>
        <w:t>, Society Must Be Defended</w:t>
      </w:r>
      <w:r w:rsidRPr="00620FB6">
        <w:rPr>
          <w:lang w:val="en-US"/>
        </w:rPr>
        <w:t xml:space="preserve">, </w:t>
      </w:r>
      <w:r>
        <w:rPr>
          <w:lang w:val="en-US"/>
        </w:rPr>
        <w:t>46.</w:t>
      </w:r>
    </w:p>
  </w:footnote>
  <w:footnote w:id="73">
    <w:p w14:paraId="7625F72A" w14:textId="77777777" w:rsidR="009847E8" w:rsidRPr="0001459B" w:rsidRDefault="009847E8">
      <w:pPr>
        <w:pStyle w:val="FootnoteText"/>
        <w:rPr>
          <w:lang w:val="en-US"/>
        </w:rPr>
      </w:pPr>
      <w:r>
        <w:rPr>
          <w:rStyle w:val="FootnoteReference"/>
        </w:rPr>
        <w:footnoteRef/>
      </w:r>
      <w:r>
        <w:t xml:space="preserve"> </w:t>
      </w:r>
      <w:r>
        <w:rPr>
          <w:rFonts w:cs="Calibri"/>
        </w:rPr>
        <w:t>Fo</w:t>
      </w:r>
      <w:r w:rsidRPr="001841DA">
        <w:rPr>
          <w:rFonts w:cs="Calibri"/>
          <w:lang w:val="en-US"/>
        </w:rPr>
        <w:t>r a more in-depth discussion, see:</w:t>
      </w:r>
      <w:r>
        <w:rPr>
          <w:rFonts w:cs="Calibri"/>
          <w:lang w:val="en-US"/>
        </w:rPr>
        <w:t xml:space="preserve"> Alan Hunt and Gary Wickham, </w:t>
      </w:r>
      <w:r w:rsidRPr="001841DA">
        <w:rPr>
          <w:rFonts w:cs="Calibri"/>
          <w:i/>
          <w:iCs/>
          <w:lang w:val="en-US"/>
        </w:rPr>
        <w:t>Foucault and the Law: Towards a Sociology of Law as Governance</w:t>
      </w:r>
      <w:r w:rsidRPr="001841DA">
        <w:rPr>
          <w:rFonts w:cs="Calibri"/>
          <w:lang w:val="en-US"/>
        </w:rPr>
        <w:t xml:space="preserve"> (</w:t>
      </w:r>
      <w:r>
        <w:rPr>
          <w:rFonts w:cs="Calibri"/>
          <w:lang w:val="en-US"/>
        </w:rPr>
        <w:t>Pluto Press, 1994);</w:t>
      </w:r>
      <w:r w:rsidRPr="001841DA">
        <w:rPr>
          <w:rFonts w:cs="Calibri"/>
          <w:lang w:val="en-US"/>
        </w:rPr>
        <w:t xml:space="preserve"> Victor Tadros, </w:t>
      </w:r>
      <w:r w:rsidRPr="001841DA">
        <w:rPr>
          <w:rFonts w:cs="Calibri"/>
          <w:lang w:val="en-US"/>
        </w:rPr>
        <w:t>“</w:t>
      </w:r>
      <w:r w:rsidRPr="001841DA">
        <w:rPr>
          <w:rFonts w:cs="Calibri"/>
          <w:lang w:val="en-US"/>
        </w:rPr>
        <w:t>Between Governance and Discipline: The Law and Michel</w:t>
      </w:r>
      <w:r>
        <w:rPr>
          <w:rFonts w:cs="Calibri"/>
        </w:rPr>
        <w:t xml:space="preserve"> Foucault,</w:t>
      </w:r>
      <w:r>
        <w:rPr>
          <w:rFonts w:cs="Calibri"/>
        </w:rPr>
        <w:t>”</w:t>
      </w:r>
      <w:r>
        <w:rPr>
          <w:rFonts w:cs="Calibri"/>
        </w:rPr>
        <w:t xml:space="preserve"> </w:t>
      </w:r>
      <w:r w:rsidRPr="001841DA">
        <w:rPr>
          <w:rFonts w:cs="Calibri"/>
          <w:i/>
          <w:iCs/>
        </w:rPr>
        <w:t>Oxford Journal of Legal Studies</w:t>
      </w:r>
      <w:r>
        <w:rPr>
          <w:rFonts w:cs="Calibri"/>
        </w:rPr>
        <w:t xml:space="preserve"> 18, no. 1 (1998), 75-103.</w:t>
      </w:r>
    </w:p>
  </w:footnote>
  <w:footnote w:id="74">
    <w:p w14:paraId="2988050A"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w:t>
      </w:r>
      <w:bookmarkStart w:id="13" w:name="OLE_LINK1"/>
      <w:r w:rsidRPr="00620FB6">
        <w:rPr>
          <w:lang w:val="en-US"/>
        </w:rPr>
        <w:t>Foucault</w:t>
      </w:r>
      <w:r w:rsidRPr="00620FB6">
        <w:rPr>
          <w:i/>
          <w:iCs/>
          <w:lang w:val="en-US"/>
        </w:rPr>
        <w:t>, Society Must Be Defended</w:t>
      </w:r>
      <w:r w:rsidRPr="00620FB6">
        <w:rPr>
          <w:lang w:val="en-US"/>
        </w:rPr>
        <w:t>, 15</w:t>
      </w:r>
      <w:bookmarkEnd w:id="13"/>
      <w:r w:rsidRPr="00620FB6">
        <w:rPr>
          <w:lang w:val="en-US"/>
        </w:rPr>
        <w:t>.</w:t>
      </w:r>
      <w:r>
        <w:rPr>
          <w:lang w:val="en-US"/>
        </w:rPr>
        <w:t xml:space="preserve"> He elaborates on this statement in his lecture on 21 January 1976:</w:t>
      </w:r>
      <w:r w:rsidRPr="008F4346">
        <w:rPr>
          <w:lang w:val="en-US"/>
        </w:rPr>
        <w:t xml:space="preserve"> </w:t>
      </w:r>
      <w:r w:rsidRPr="00620FB6">
        <w:rPr>
          <w:lang w:val="en-US"/>
        </w:rPr>
        <w:t>Foucault</w:t>
      </w:r>
      <w:r w:rsidRPr="00620FB6">
        <w:rPr>
          <w:i/>
          <w:iCs/>
          <w:lang w:val="en-US"/>
        </w:rPr>
        <w:t>, Society Must Be Defended</w:t>
      </w:r>
      <w:r w:rsidRPr="00620FB6">
        <w:rPr>
          <w:lang w:val="en-US"/>
        </w:rPr>
        <w:t xml:space="preserve">, </w:t>
      </w:r>
      <w:r>
        <w:rPr>
          <w:lang w:val="en-US"/>
        </w:rPr>
        <w:t xml:space="preserve">49-51. </w:t>
      </w:r>
    </w:p>
  </w:footnote>
  <w:footnote w:id="75">
    <w:p w14:paraId="623610FF" w14:textId="77777777" w:rsidR="009847E8" w:rsidRPr="008F4346" w:rsidRDefault="009847E8" w:rsidP="002D6DB8">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 Society Must Be Defended</w:t>
      </w:r>
      <w:r w:rsidRPr="00620FB6">
        <w:rPr>
          <w:lang w:val="en-US"/>
        </w:rPr>
        <w:t xml:space="preserve">, </w:t>
      </w:r>
      <w:r>
        <w:rPr>
          <w:lang w:val="en-US"/>
        </w:rPr>
        <w:t xml:space="preserve">48 and 50. The language that Foucault employs in both lectures and History of Sexuality already signal that Foucault sees the biopolitical state as a war continued by other means, with terms like </w:t>
      </w:r>
      <w:r>
        <w:rPr>
          <w:lang w:val="en-US"/>
        </w:rPr>
        <w:t>‘</w:t>
      </w:r>
      <w:r>
        <w:rPr>
          <w:lang w:val="en-US"/>
        </w:rPr>
        <w:t>technique</w:t>
      </w:r>
      <w:r>
        <w:rPr>
          <w:lang w:val="en-US"/>
        </w:rPr>
        <w:t>’</w:t>
      </w:r>
      <w:r>
        <w:rPr>
          <w:lang w:val="en-US"/>
        </w:rPr>
        <w:t xml:space="preserve"> and </w:t>
      </w:r>
      <w:r>
        <w:rPr>
          <w:lang w:val="en-US"/>
        </w:rPr>
        <w:t>‘</w:t>
      </w:r>
      <w:r>
        <w:rPr>
          <w:lang w:val="en-US"/>
        </w:rPr>
        <w:t>strategy</w:t>
      </w:r>
      <w:r>
        <w:rPr>
          <w:lang w:val="en-US"/>
        </w:rPr>
        <w:t>’</w:t>
      </w:r>
      <w:r>
        <w:rPr>
          <w:lang w:val="en-US"/>
        </w:rPr>
        <w:t xml:space="preserve">. For a further discussion, see Arnold Davidson, </w:t>
      </w:r>
      <w:r>
        <w:rPr>
          <w:lang w:val="en-US"/>
        </w:rPr>
        <w:t>‘</w:t>
      </w:r>
      <w:r>
        <w:rPr>
          <w:lang w:val="en-US"/>
        </w:rPr>
        <w:t>Introduction</w:t>
      </w:r>
      <w:r>
        <w:rPr>
          <w:lang w:val="en-US"/>
        </w:rPr>
        <w:t>’</w:t>
      </w:r>
      <w:r>
        <w:rPr>
          <w:lang w:val="en-US"/>
        </w:rPr>
        <w:t xml:space="preserve">, in: Foucault, </w:t>
      </w:r>
      <w:r w:rsidRPr="00CB1D10">
        <w:rPr>
          <w:i/>
          <w:iCs/>
          <w:lang w:val="en-US"/>
        </w:rPr>
        <w:t>Society Must Be Defended</w:t>
      </w:r>
      <w:r>
        <w:rPr>
          <w:lang w:val="en-US"/>
        </w:rPr>
        <w:t>, xviii-xxii.</w:t>
      </w:r>
    </w:p>
  </w:footnote>
  <w:footnote w:id="76">
    <w:p w14:paraId="4F36E199" w14:textId="77777777" w:rsidR="009847E8" w:rsidRPr="00C15485" w:rsidRDefault="009847E8" w:rsidP="002D6DB8">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 Society Must Be Defended</w:t>
      </w:r>
      <w:r w:rsidRPr="00620FB6">
        <w:rPr>
          <w:lang w:val="en-US"/>
        </w:rPr>
        <w:t>,</w:t>
      </w:r>
      <w:r>
        <w:rPr>
          <w:lang w:val="en-US"/>
        </w:rPr>
        <w:t xml:space="preserve"> 51. </w:t>
      </w:r>
    </w:p>
  </w:footnote>
  <w:footnote w:id="77">
    <w:p w14:paraId="0779980E" w14:textId="77777777" w:rsidR="009847E8" w:rsidRPr="003117FF" w:rsidRDefault="009847E8" w:rsidP="002D6DB8">
      <w:pPr>
        <w:pStyle w:val="FootnoteText"/>
        <w:rPr>
          <w:lang w:val="en-US"/>
        </w:rPr>
      </w:pPr>
      <w:r>
        <w:rPr>
          <w:rStyle w:val="FootnoteReference"/>
        </w:rPr>
        <w:footnoteRef/>
      </w:r>
      <w:r>
        <w:t xml:space="preserve"> War must not be understood as </w:t>
      </w:r>
      <w:r w:rsidRPr="003117FF">
        <w:rPr>
          <w:lang w:val="en-US"/>
        </w:rPr>
        <w:t xml:space="preserve">a </w:t>
      </w:r>
      <w:r w:rsidRPr="003117FF">
        <w:rPr>
          <w:lang w:val="en-US"/>
        </w:rPr>
        <w:t>‘</w:t>
      </w:r>
      <w:r w:rsidRPr="003117FF">
        <w:rPr>
          <w:lang w:val="en-US"/>
        </w:rPr>
        <w:t>battle in the warrior sense</w:t>
      </w:r>
      <w:r w:rsidRPr="003117FF">
        <w:rPr>
          <w:lang w:val="en-US"/>
        </w:rPr>
        <w:t>’</w:t>
      </w:r>
      <w:r w:rsidRPr="003117FF">
        <w:rPr>
          <w:lang w:val="en-US"/>
        </w:rPr>
        <w:t xml:space="preserve">, but rather, </w:t>
      </w:r>
      <w:r w:rsidRPr="003117FF">
        <w:rPr>
          <w:lang w:val="en-US"/>
        </w:rPr>
        <w:t>‘</w:t>
      </w:r>
      <w:r w:rsidRPr="003117FF">
        <w:rPr>
          <w:lang w:val="en-US"/>
        </w:rPr>
        <w:t xml:space="preserve">a biological battle of differentiation, </w:t>
      </w:r>
      <w:r>
        <w:rPr>
          <w:lang w:val="en-US"/>
        </w:rPr>
        <w:t>survival of the fittest,</w:t>
      </w:r>
      <w:r w:rsidRPr="003117FF">
        <w:rPr>
          <w:lang w:val="en-US"/>
        </w:rPr>
        <w:t xml:space="preserve"> maintenance of the better adapted race</w:t>
      </w:r>
      <w:r w:rsidRPr="003117FF">
        <w:rPr>
          <w:lang w:val="en-US"/>
        </w:rPr>
        <w:t>’</w:t>
      </w:r>
      <w:r w:rsidRPr="003117FF">
        <w:rPr>
          <w:lang w:val="en-US"/>
        </w:rPr>
        <w:t>.</w:t>
      </w:r>
      <w:r w:rsidRPr="00620FB6">
        <w:rPr>
          <w:i/>
          <w:iCs/>
          <w:lang w:val="en-US"/>
        </w:rPr>
        <w:t xml:space="preserve"> Society Must Be Defended</w:t>
      </w:r>
      <w:r w:rsidRPr="00620FB6">
        <w:rPr>
          <w:lang w:val="en-US"/>
        </w:rPr>
        <w:t>,</w:t>
      </w:r>
      <w:r>
        <w:rPr>
          <w:lang w:val="en-US"/>
        </w:rPr>
        <w:t xml:space="preserve"> 80.</w:t>
      </w:r>
    </w:p>
  </w:footnote>
  <w:footnote w:id="78">
    <w:p w14:paraId="5ECB1305"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Society Must Be Defended</w:t>
      </w:r>
      <w:r w:rsidRPr="00620FB6">
        <w:rPr>
          <w:lang w:val="en-US"/>
        </w:rPr>
        <w:t xml:space="preserve">, </w:t>
      </w:r>
      <w:r>
        <w:rPr>
          <w:lang w:val="en-US"/>
        </w:rPr>
        <w:t xml:space="preserve">61, </w:t>
      </w:r>
      <w:r w:rsidRPr="00620FB6">
        <w:rPr>
          <w:lang w:val="en-US"/>
        </w:rPr>
        <w:t xml:space="preserve">as quoted in Stoler, </w:t>
      </w:r>
      <w:r w:rsidRPr="00620FB6">
        <w:rPr>
          <w:i/>
          <w:iCs/>
          <w:lang w:val="en-US"/>
        </w:rPr>
        <w:t>Race and the Education of Desire</w:t>
      </w:r>
      <w:r w:rsidRPr="00620FB6">
        <w:rPr>
          <w:lang w:val="en-US"/>
        </w:rPr>
        <w:t xml:space="preserve">, 67. </w:t>
      </w:r>
    </w:p>
  </w:footnote>
  <w:footnote w:id="79">
    <w:p w14:paraId="2FA5A107"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35.</w:t>
      </w:r>
    </w:p>
  </w:footnote>
  <w:footnote w:id="80">
    <w:p w14:paraId="001F46D7" w14:textId="77777777" w:rsidR="009847E8" w:rsidRPr="005E4BE8" w:rsidRDefault="009847E8" w:rsidP="002D6DB8">
      <w:pPr>
        <w:pStyle w:val="FootnoteText"/>
        <w:rPr>
          <w:lang w:val="en-US"/>
        </w:rPr>
      </w:pPr>
      <w:r>
        <w:rPr>
          <w:rStyle w:val="FootnoteReference"/>
        </w:rPr>
        <w:footnoteRef/>
      </w:r>
      <w:r w:rsidRPr="002F66D9">
        <w:rPr>
          <w:lang w:val="en-US"/>
        </w:rPr>
        <w:t xml:space="preserve"> </w:t>
      </w:r>
      <w:r>
        <w:rPr>
          <w:lang w:val="en-US"/>
        </w:rPr>
        <w:t>Foucault</w:t>
      </w:r>
      <w:r>
        <w:rPr>
          <w:lang w:val="en-US"/>
        </w:rPr>
        <w:t>’</w:t>
      </w:r>
      <w:r>
        <w:rPr>
          <w:lang w:val="en-US"/>
        </w:rPr>
        <w:t xml:space="preserve">s silence regarding colonialism has also been noted by other scholars, see for example: </w:t>
      </w:r>
      <w:r w:rsidRPr="009003C0">
        <w:rPr>
          <w:lang w:val="en-US"/>
        </w:rPr>
        <w:t>Robert J.C. Young</w:t>
      </w:r>
      <w:r>
        <w:rPr>
          <w:lang w:val="en-US"/>
        </w:rPr>
        <w:t xml:space="preserve">, </w:t>
      </w:r>
      <w:r w:rsidRPr="009003C0">
        <w:rPr>
          <w:lang w:val="en-US"/>
        </w:rPr>
        <w:t>‘</w:t>
      </w:r>
      <w:r w:rsidRPr="009003C0">
        <w:rPr>
          <w:lang w:val="en-US"/>
        </w:rPr>
        <w:t>Foucault on Race and Colonialism</w:t>
      </w:r>
      <w:r w:rsidRPr="009003C0">
        <w:rPr>
          <w:lang w:val="en-US"/>
        </w:rPr>
        <w:t>’</w:t>
      </w:r>
      <w:r>
        <w:rPr>
          <w:lang w:val="en-US"/>
        </w:rPr>
        <w:t xml:space="preserve">, </w:t>
      </w:r>
      <w:r w:rsidRPr="005E4BE8">
        <w:rPr>
          <w:i/>
          <w:iCs/>
          <w:lang w:val="en-US"/>
        </w:rPr>
        <w:t>New Formations</w:t>
      </w:r>
      <w:r w:rsidRPr="009003C0">
        <w:rPr>
          <w:lang w:val="en-US"/>
        </w:rPr>
        <w:t xml:space="preserve"> 25 (1995) 57-65</w:t>
      </w:r>
      <w:r>
        <w:rPr>
          <w:lang w:val="en-US"/>
        </w:rPr>
        <w:t xml:space="preserve"> and </w:t>
      </w:r>
      <w:r w:rsidRPr="005E4BE8">
        <w:rPr>
          <w:lang w:val="en-US"/>
        </w:rPr>
        <w:t xml:space="preserve">Gayatri Chakravorty Spivak, </w:t>
      </w:r>
      <w:r>
        <w:rPr>
          <w:lang w:val="en-US"/>
        </w:rPr>
        <w:t>“</w:t>
      </w:r>
      <w:r w:rsidRPr="005E4BE8">
        <w:rPr>
          <w:lang w:val="en-US"/>
        </w:rPr>
        <w:t>Can the Subaltern Speak? Speculations on Wid</w:t>
      </w:r>
      <w:r>
        <w:rPr>
          <w:lang w:val="en-US"/>
        </w:rPr>
        <w:t>ow</w:t>
      </w:r>
      <w:r w:rsidRPr="005E4BE8">
        <w:rPr>
          <w:lang w:val="en-US"/>
        </w:rPr>
        <w:t xml:space="preserve"> Sacrifice,</w:t>
      </w:r>
      <w:r>
        <w:rPr>
          <w:lang w:val="en-US"/>
        </w:rPr>
        <w:t>”</w:t>
      </w:r>
      <w:r w:rsidRPr="005E4BE8">
        <w:rPr>
          <w:lang w:val="en-US"/>
        </w:rPr>
        <w:t xml:space="preserve"> </w:t>
      </w:r>
      <w:r>
        <w:rPr>
          <w:rFonts w:cs="Calibri"/>
          <w:lang w:val="en-US"/>
        </w:rPr>
        <w:t>i</w:t>
      </w:r>
      <w:r w:rsidRPr="00A21605">
        <w:rPr>
          <w:rFonts w:cs="Calibri"/>
          <w:lang w:val="en-US"/>
        </w:rPr>
        <w:t>n</w:t>
      </w:r>
      <w:r w:rsidRPr="00A21605">
        <w:rPr>
          <w:rFonts w:cs="Calibri"/>
          <w:lang w:val="en-US"/>
        </w:rPr>
        <w:t> </w:t>
      </w:r>
      <w:r w:rsidRPr="00A21605">
        <w:rPr>
          <w:rFonts w:cs="Calibri"/>
          <w:i/>
          <w:iCs/>
          <w:lang w:val="en-US"/>
        </w:rPr>
        <w:t>Colonial Discourse and Post-Colonial Theory: A Reader</w:t>
      </w:r>
      <w:r w:rsidRPr="00A21605">
        <w:rPr>
          <w:rFonts w:cs="Calibri"/>
          <w:lang w:val="en-US"/>
        </w:rPr>
        <w:t xml:space="preserve">, </w:t>
      </w:r>
      <w:r>
        <w:rPr>
          <w:rFonts w:cs="Calibri"/>
          <w:lang w:val="en-US"/>
        </w:rPr>
        <w:t>eds.</w:t>
      </w:r>
      <w:r w:rsidRPr="00A21605">
        <w:rPr>
          <w:rFonts w:cs="Calibri"/>
          <w:lang w:val="en-US"/>
        </w:rPr>
        <w:t xml:space="preserve"> Patrick Williams and Laura Chrisman</w:t>
      </w:r>
      <w:r>
        <w:rPr>
          <w:rFonts w:cs="Calibri"/>
          <w:lang w:val="en-US"/>
        </w:rPr>
        <w:t xml:space="preserve"> (</w:t>
      </w:r>
      <w:r w:rsidRPr="00A21605">
        <w:rPr>
          <w:rFonts w:cs="Calibri"/>
          <w:lang w:val="en-US"/>
        </w:rPr>
        <w:t>Columbia University Press, 1988</w:t>
      </w:r>
      <w:r>
        <w:rPr>
          <w:rFonts w:cs="Calibri"/>
          <w:lang w:val="en-US"/>
        </w:rPr>
        <w:t xml:space="preserve">), </w:t>
      </w:r>
      <w:r w:rsidRPr="005E4BE8">
        <w:rPr>
          <w:lang w:val="en-US"/>
        </w:rPr>
        <w:t>291.</w:t>
      </w:r>
      <w:r>
        <w:rPr>
          <w:lang w:val="en-US"/>
        </w:rPr>
        <w:t xml:space="preserve"> </w:t>
      </w:r>
    </w:p>
  </w:footnote>
  <w:footnote w:id="81">
    <w:p w14:paraId="4AED498C"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39.</w:t>
      </w:r>
    </w:p>
  </w:footnote>
  <w:footnote w:id="82">
    <w:p w14:paraId="0C2B567B"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xml:space="preserve">, 39. </w:t>
      </w:r>
    </w:p>
  </w:footnote>
  <w:footnote w:id="83">
    <w:p w14:paraId="75A16DA5"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xml:space="preserve">, 41. </w:t>
      </w:r>
    </w:p>
  </w:footnote>
  <w:footnote w:id="84">
    <w:p w14:paraId="4CF83F4A" w14:textId="77777777" w:rsidR="009847E8" w:rsidRPr="0045686F" w:rsidRDefault="009847E8" w:rsidP="002D6DB8">
      <w:pPr>
        <w:pStyle w:val="FootnoteText"/>
        <w:rPr>
          <w:lang w:val="en-US"/>
        </w:rPr>
      </w:pPr>
      <w:r>
        <w:rPr>
          <w:rStyle w:val="FootnoteReference"/>
        </w:rPr>
        <w:footnoteRef/>
      </w:r>
      <w:r w:rsidRPr="002F66D9">
        <w:rPr>
          <w:lang w:val="en-US"/>
        </w:rPr>
        <w:t xml:space="preserve"> </w:t>
      </w:r>
      <w:r>
        <w:rPr>
          <w:lang w:val="en-US"/>
        </w:rPr>
        <w:t xml:space="preserve">Spivak, </w:t>
      </w:r>
      <w:r>
        <w:rPr>
          <w:lang w:val="en-US"/>
        </w:rPr>
        <w:t>“</w:t>
      </w:r>
      <w:r>
        <w:rPr>
          <w:lang w:val="en-US"/>
        </w:rPr>
        <w:t>Can the Subaltern Speak?</w:t>
      </w:r>
      <w:r>
        <w:rPr>
          <w:lang w:val="en-US"/>
        </w:rPr>
        <w:t>”</w:t>
      </w:r>
      <w:r>
        <w:rPr>
          <w:lang w:val="en-US"/>
        </w:rPr>
        <w:t>, 86. He briefly mentions the influence of colonial practice in the West Indies on juridico-political structures in Europe, in his lecture at the Coll</w:t>
      </w:r>
      <w:r>
        <w:rPr>
          <w:lang w:val="en-US"/>
        </w:rPr>
        <w:t>è</w:t>
      </w:r>
      <w:r>
        <w:rPr>
          <w:lang w:val="en-US"/>
        </w:rPr>
        <w:t xml:space="preserve">ge de France on 4 February 1976: </w:t>
      </w:r>
      <w:r>
        <w:rPr>
          <w:lang w:val="en-US"/>
        </w:rPr>
        <w:t>‘</w:t>
      </w:r>
      <w:r>
        <w:rPr>
          <w:lang w:val="en-US"/>
        </w:rPr>
        <w:t>It should not be forgotten that while colonization, with its techniques and its political and juridical weapons, obviously transported European models to other continents, it also had a considerable boomerang effect on the mechanisms of power in the West, and on the apparatuses, institutions, and techniques of power</w:t>
      </w:r>
      <w:r>
        <w:rPr>
          <w:lang w:val="en-US"/>
        </w:rPr>
        <w:t>’</w:t>
      </w:r>
      <w:r>
        <w:rPr>
          <w:lang w:val="en-US"/>
        </w:rPr>
        <w:t xml:space="preserve">. However, this is the only time he mentions colonialism outside of the European continent in both these lectures and History of Sexuality. </w:t>
      </w:r>
      <w:r w:rsidRPr="00DF685B">
        <w:rPr>
          <w:i/>
          <w:iCs/>
          <w:lang w:val="en-US"/>
        </w:rPr>
        <w:t>Society Must Be Defended</w:t>
      </w:r>
      <w:r>
        <w:rPr>
          <w:lang w:val="en-US"/>
        </w:rPr>
        <w:t xml:space="preserve">, 103. </w:t>
      </w:r>
    </w:p>
  </w:footnote>
  <w:footnote w:id="85">
    <w:p w14:paraId="6AA0C688" w14:textId="77777777" w:rsidR="009847E8" w:rsidRPr="00CA03C1" w:rsidRDefault="009847E8" w:rsidP="002D6DB8">
      <w:pPr>
        <w:pStyle w:val="FootnoteText"/>
        <w:rPr>
          <w:lang w:val="en-US"/>
        </w:rPr>
      </w:pPr>
      <w:r>
        <w:rPr>
          <w:rStyle w:val="FootnoteReference"/>
        </w:rPr>
        <w:footnoteRef/>
      </w:r>
      <w:r>
        <w:t xml:space="preserve"> </w:t>
      </w:r>
      <w:r>
        <w:rPr>
          <w:lang w:val="en-US"/>
        </w:rPr>
        <w:t xml:space="preserve">Stoler, </w:t>
      </w:r>
      <w:r w:rsidRPr="00620FB6">
        <w:rPr>
          <w:i/>
          <w:iCs/>
          <w:lang w:val="en-US"/>
        </w:rPr>
        <w:t>Race and the Education of Desire</w:t>
      </w:r>
      <w:r>
        <w:rPr>
          <w:i/>
          <w:iCs/>
          <w:lang w:val="en-US"/>
        </w:rPr>
        <w:t xml:space="preserve">, </w:t>
      </w:r>
      <w:r w:rsidRPr="00CA03C1">
        <w:rPr>
          <w:lang w:val="en-US"/>
        </w:rPr>
        <w:t>118.</w:t>
      </w:r>
    </w:p>
  </w:footnote>
  <w:footnote w:id="86">
    <w:p w14:paraId="34ED48A4" w14:textId="77777777" w:rsidR="009847E8" w:rsidRPr="00CA03C1" w:rsidRDefault="009847E8" w:rsidP="002D6DB8">
      <w:pPr>
        <w:pStyle w:val="FootnoteText"/>
        <w:rPr>
          <w:lang w:val="en-US"/>
        </w:rPr>
      </w:pPr>
      <w:r>
        <w:rPr>
          <w:rStyle w:val="FootnoteReference"/>
        </w:rPr>
        <w:footnoteRef/>
      </w:r>
      <w:r>
        <w:t xml:space="preserve"> </w:t>
      </w:r>
      <w:r>
        <w:rPr>
          <w:lang w:val="en-US"/>
        </w:rPr>
        <w:t xml:space="preserve">Stoler, </w:t>
      </w:r>
      <w:r w:rsidRPr="00620FB6">
        <w:rPr>
          <w:i/>
          <w:iCs/>
          <w:lang w:val="en-US"/>
        </w:rPr>
        <w:t>Race and the Education of Desire</w:t>
      </w:r>
      <w:r>
        <w:rPr>
          <w:i/>
          <w:iCs/>
          <w:lang w:val="en-US"/>
        </w:rPr>
        <w:t xml:space="preserve">, </w:t>
      </w:r>
      <w:r w:rsidRPr="00CA03C1">
        <w:rPr>
          <w:lang w:val="en-US"/>
        </w:rPr>
        <w:t>11</w:t>
      </w:r>
      <w:r>
        <w:rPr>
          <w:lang w:val="en-US"/>
        </w:rPr>
        <w:t>9.</w:t>
      </w:r>
    </w:p>
  </w:footnote>
  <w:footnote w:id="87">
    <w:p w14:paraId="0E089160" w14:textId="77777777" w:rsidR="009847E8" w:rsidRPr="00CA03C1" w:rsidRDefault="009847E8" w:rsidP="002D6DB8">
      <w:pPr>
        <w:pStyle w:val="FootnoteText"/>
        <w:rPr>
          <w:lang w:val="en-US"/>
        </w:rPr>
      </w:pPr>
      <w:r>
        <w:rPr>
          <w:rStyle w:val="FootnoteReference"/>
        </w:rPr>
        <w:footnoteRef/>
      </w:r>
      <w:r>
        <w:t xml:space="preserve"> </w:t>
      </w:r>
      <w:r>
        <w:rPr>
          <w:lang w:val="en-US"/>
        </w:rPr>
        <w:t xml:space="preserve">Stoler, </w:t>
      </w:r>
      <w:r w:rsidRPr="00620FB6">
        <w:rPr>
          <w:i/>
          <w:iCs/>
          <w:lang w:val="en-US"/>
        </w:rPr>
        <w:t>Race and the Education of Desire</w:t>
      </w:r>
      <w:r>
        <w:rPr>
          <w:i/>
          <w:iCs/>
          <w:lang w:val="en-US"/>
        </w:rPr>
        <w:t xml:space="preserve">, </w:t>
      </w:r>
      <w:r w:rsidRPr="00CA03C1">
        <w:rPr>
          <w:lang w:val="en-US"/>
        </w:rPr>
        <w:t>11</w:t>
      </w:r>
      <w:r>
        <w:rPr>
          <w:lang w:val="en-US"/>
        </w:rPr>
        <w:t>9.</w:t>
      </w:r>
    </w:p>
  </w:footnote>
  <w:footnote w:id="88">
    <w:p w14:paraId="79BDC286" w14:textId="77777777" w:rsidR="009847E8" w:rsidRPr="003117FF" w:rsidRDefault="009847E8" w:rsidP="002D6DB8">
      <w:pPr>
        <w:pStyle w:val="FootnoteText"/>
        <w:rPr>
          <w:lang w:val="en-US"/>
        </w:rPr>
      </w:pPr>
      <w:r>
        <w:rPr>
          <w:rStyle w:val="FootnoteReference"/>
        </w:rPr>
        <w:footnoteRef/>
      </w:r>
      <w:r>
        <w:t xml:space="preserve"> </w:t>
      </w:r>
      <w:r>
        <w:rPr>
          <w:lang w:val="en-US"/>
        </w:rPr>
        <w:t xml:space="preserve">Stoler, </w:t>
      </w:r>
      <w:r w:rsidRPr="00620FB6">
        <w:rPr>
          <w:i/>
          <w:iCs/>
          <w:lang w:val="en-US"/>
        </w:rPr>
        <w:t>Race and the Education of Desire</w:t>
      </w:r>
      <w:r w:rsidRPr="00620FB6">
        <w:rPr>
          <w:lang w:val="en-US"/>
        </w:rPr>
        <w:t>,</w:t>
      </w:r>
      <w:r>
        <w:rPr>
          <w:lang w:val="en-US"/>
        </w:rPr>
        <w:t xml:space="preserve"> 88. </w:t>
      </w:r>
    </w:p>
  </w:footnote>
  <w:footnote w:id="89">
    <w:p w14:paraId="7FDC86C9" w14:textId="77777777" w:rsidR="009847E8" w:rsidRPr="005E4BE8" w:rsidRDefault="009847E8" w:rsidP="002D6DB8">
      <w:pPr>
        <w:pStyle w:val="FootnoteText"/>
        <w:rPr>
          <w:lang w:val="en-US"/>
        </w:rPr>
      </w:pPr>
      <w:r>
        <w:rPr>
          <w:rStyle w:val="FootnoteReference"/>
        </w:rPr>
        <w:footnoteRef/>
      </w:r>
      <w:r w:rsidRPr="002F66D9">
        <w:rPr>
          <w:lang w:val="en-US"/>
        </w:rPr>
        <w:t xml:space="preserve"> </w:t>
      </w:r>
      <w:r w:rsidRPr="00620FB6">
        <w:rPr>
          <w:lang w:val="en-US"/>
        </w:rPr>
        <w:t xml:space="preserve">Stoler, </w:t>
      </w:r>
      <w:r w:rsidRPr="00620FB6">
        <w:rPr>
          <w:i/>
          <w:iCs/>
          <w:lang w:val="en-US"/>
        </w:rPr>
        <w:t>Race and the Education of Desir</w:t>
      </w:r>
      <w:r>
        <w:rPr>
          <w:i/>
          <w:iCs/>
          <w:lang w:val="en-US"/>
        </w:rPr>
        <w:t>e</w:t>
      </w:r>
      <w:r>
        <w:rPr>
          <w:lang w:val="en-US"/>
        </w:rPr>
        <w:t>, 69.</w:t>
      </w:r>
      <w:r>
        <w:rPr>
          <w:i/>
          <w:iCs/>
          <w:lang w:val="en-US"/>
        </w:rPr>
        <w:t xml:space="preserve"> </w:t>
      </w:r>
    </w:p>
  </w:footnote>
  <w:footnote w:id="90">
    <w:p w14:paraId="4A2BD3D1" w14:textId="77777777" w:rsidR="009847E8" w:rsidRPr="0059148E"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25-26. </w:t>
      </w:r>
    </w:p>
  </w:footnote>
  <w:footnote w:id="91">
    <w:p w14:paraId="0E69CA14" w14:textId="77777777" w:rsidR="009847E8" w:rsidRPr="0059148E" w:rsidRDefault="009847E8" w:rsidP="00703732">
      <w:pPr>
        <w:pStyle w:val="FootnoteText"/>
        <w:rPr>
          <w:lang w:val="en-US"/>
        </w:rPr>
      </w:pPr>
      <w:r>
        <w:rPr>
          <w:rStyle w:val="FootnoteReference"/>
        </w:rPr>
        <w:footnoteRef/>
      </w:r>
      <w:r w:rsidRPr="002F66D9">
        <w:rPr>
          <w:lang w:val="en-US"/>
        </w:rPr>
        <w:t xml:space="preserve"> </w:t>
      </w:r>
      <w:r>
        <w:rPr>
          <w:lang w:val="en-US"/>
        </w:rPr>
        <w:t xml:space="preserve">Stoler, </w:t>
      </w:r>
      <w:r w:rsidRPr="00BD20A5">
        <w:rPr>
          <w:i/>
          <w:iCs/>
          <w:lang w:val="en-US"/>
        </w:rPr>
        <w:t>Race and the Education of Desire</w:t>
      </w:r>
      <w:r>
        <w:rPr>
          <w:lang w:val="en-US"/>
        </w:rPr>
        <w:t>, 102.</w:t>
      </w:r>
    </w:p>
  </w:footnote>
  <w:footnote w:id="92">
    <w:p w14:paraId="0B7A09E1" w14:textId="77777777" w:rsidR="009847E8" w:rsidRPr="00280C3A" w:rsidRDefault="009847E8" w:rsidP="002D6DB8">
      <w:pPr>
        <w:pStyle w:val="FootnoteText"/>
        <w:rPr>
          <w:rFonts w:cs="Calibri"/>
        </w:rPr>
      </w:pPr>
      <w:r w:rsidRPr="00280C3A">
        <w:rPr>
          <w:rStyle w:val="FootnoteReference"/>
          <w:rFonts w:cs="Calibri"/>
        </w:rPr>
        <w:footnoteRef/>
      </w:r>
      <w:r w:rsidRPr="00280C3A">
        <w:rPr>
          <w:rFonts w:cs="Calibri"/>
        </w:rPr>
        <w:t xml:space="preserve"> </w:t>
      </w:r>
      <w:r>
        <w:rPr>
          <w:rFonts w:cs="Calibri"/>
        </w:rPr>
        <w:t xml:space="preserve">Ann Laura </w:t>
      </w:r>
      <w:r w:rsidRPr="00280C3A">
        <w:rPr>
          <w:rFonts w:cs="Calibri"/>
        </w:rPr>
        <w:t xml:space="preserve">Stoler, </w:t>
      </w:r>
      <w:r>
        <w:rPr>
          <w:rFonts w:cs="Calibri"/>
        </w:rPr>
        <w:t>“</w:t>
      </w:r>
      <w:r w:rsidRPr="00280C3A">
        <w:rPr>
          <w:rFonts w:cs="Calibri"/>
        </w:rPr>
        <w:t>Making Empire Respectable</w:t>
      </w:r>
      <w:r>
        <w:rPr>
          <w:rFonts w:cs="Calibri"/>
        </w:rPr>
        <w:t xml:space="preserve">: </w:t>
      </w:r>
      <w:r w:rsidRPr="00153BF1">
        <w:rPr>
          <w:rFonts w:cs="Calibri"/>
        </w:rPr>
        <w:t>The Politics of Race and Sexual Morality in 20th-Century Colonial Cultures,</w:t>
      </w:r>
      <w:r w:rsidRPr="00153BF1">
        <w:rPr>
          <w:rFonts w:cs="Calibri"/>
        </w:rPr>
        <w:t>”</w:t>
      </w:r>
      <w:r w:rsidRPr="00153BF1">
        <w:rPr>
          <w:rFonts w:cs="Calibri"/>
        </w:rPr>
        <w:t xml:space="preserve"> </w:t>
      </w:r>
      <w:r w:rsidRPr="00153BF1">
        <w:rPr>
          <w:rFonts w:cs="Calibri"/>
          <w:i/>
          <w:iCs/>
        </w:rPr>
        <w:t>American Ethnologist</w:t>
      </w:r>
      <w:r w:rsidRPr="00153BF1">
        <w:rPr>
          <w:rFonts w:cs="Calibri"/>
        </w:rPr>
        <w:t xml:space="preserve"> 16, no. 4 (1989)</w:t>
      </w:r>
      <w:r>
        <w:rPr>
          <w:rFonts w:cs="Calibri"/>
        </w:rPr>
        <w:t>,</w:t>
      </w:r>
      <w:r w:rsidRPr="00280C3A">
        <w:rPr>
          <w:rFonts w:cs="Calibri"/>
        </w:rPr>
        <w:t xml:space="preserve"> 635.</w:t>
      </w:r>
    </w:p>
  </w:footnote>
  <w:footnote w:id="93">
    <w:p w14:paraId="63D9C172" w14:textId="77777777" w:rsidR="009847E8" w:rsidRPr="009847E8" w:rsidRDefault="009847E8" w:rsidP="002D6DB8">
      <w:pPr>
        <w:pStyle w:val="FootnoteText"/>
        <w:rPr>
          <w:rFonts w:cs="Calibri"/>
          <w:lang w:val="nl-NL"/>
        </w:rPr>
      </w:pPr>
      <w:r w:rsidRPr="00280C3A">
        <w:rPr>
          <w:rStyle w:val="FootnoteReference"/>
          <w:rFonts w:cs="Calibri"/>
        </w:rPr>
        <w:footnoteRef/>
      </w:r>
      <w:r w:rsidRPr="009847E8">
        <w:rPr>
          <w:rFonts w:cs="Calibri"/>
          <w:lang w:val="nl-NL"/>
        </w:rPr>
        <w:t xml:space="preserve"> Bosma, Raben, </w:t>
      </w:r>
      <w:r w:rsidRPr="009847E8">
        <w:rPr>
          <w:rFonts w:cs="Calibri"/>
          <w:i/>
          <w:iCs/>
          <w:lang w:val="nl-NL"/>
        </w:rPr>
        <w:t>De oude Indische wereld</w:t>
      </w:r>
      <w:r w:rsidRPr="009847E8">
        <w:rPr>
          <w:rFonts w:cs="Calibri"/>
          <w:lang w:val="nl-NL"/>
        </w:rPr>
        <w:t xml:space="preserve">, 35. </w:t>
      </w:r>
    </w:p>
  </w:footnote>
  <w:footnote w:id="94">
    <w:p w14:paraId="33DF21E9" w14:textId="77777777" w:rsidR="009847E8" w:rsidRPr="00D44790"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23; Stoler, </w:t>
      </w:r>
      <w:r w:rsidRPr="00BD20A5">
        <w:rPr>
          <w:i/>
          <w:iCs/>
          <w:lang w:val="en-US"/>
        </w:rPr>
        <w:t>Race and the Education of Desire</w:t>
      </w:r>
      <w:r>
        <w:rPr>
          <w:lang w:val="en-US"/>
        </w:rPr>
        <w:t xml:space="preserve">. </w:t>
      </w:r>
    </w:p>
  </w:footnote>
  <w:footnote w:id="95">
    <w:p w14:paraId="1224A5EA" w14:textId="77777777" w:rsidR="009847E8" w:rsidRPr="00FD6FC4"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6. </w:t>
      </w:r>
    </w:p>
  </w:footnote>
  <w:footnote w:id="96">
    <w:p w14:paraId="22FDB350" w14:textId="77777777" w:rsidR="009847E8" w:rsidRPr="0059148E"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24. </w:t>
      </w:r>
    </w:p>
  </w:footnote>
  <w:footnote w:id="97">
    <w:p w14:paraId="79D4CB77" w14:textId="77777777" w:rsidR="009847E8" w:rsidRPr="0059148E"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25. </w:t>
      </w:r>
    </w:p>
  </w:footnote>
  <w:footnote w:id="98">
    <w:p w14:paraId="738E9867"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 </w:t>
      </w:r>
      <w:r w:rsidRPr="00620FB6">
        <w:rPr>
          <w:i/>
          <w:iCs/>
          <w:lang w:val="en-US"/>
        </w:rPr>
        <w:t>Race and the Education of Desire</w:t>
      </w:r>
      <w:r w:rsidRPr="00620FB6">
        <w:rPr>
          <w:lang w:val="en-US"/>
        </w:rPr>
        <w:t xml:space="preserve">, 44. </w:t>
      </w:r>
    </w:p>
  </w:footnote>
  <w:footnote w:id="99">
    <w:p w14:paraId="40799124" w14:textId="77777777" w:rsidR="009847E8" w:rsidRPr="00B93618" w:rsidRDefault="009847E8" w:rsidP="002D6DB8">
      <w:pPr>
        <w:pStyle w:val="FootnoteText"/>
        <w:rPr>
          <w:lang w:val="en-US"/>
        </w:rPr>
      </w:pPr>
      <w:r>
        <w:rPr>
          <w:rStyle w:val="FootnoteReference"/>
        </w:rPr>
        <w:footnoteRef/>
      </w:r>
      <w:r w:rsidRPr="002F66D9">
        <w:rPr>
          <w:lang w:val="en-US"/>
        </w:rPr>
        <w:t xml:space="preserve"> </w:t>
      </w:r>
      <w:r w:rsidRPr="00620FB6">
        <w:rPr>
          <w:lang w:val="en-US"/>
        </w:rPr>
        <w:t>Stoler</w:t>
      </w:r>
      <w:r w:rsidRPr="00620FB6">
        <w:rPr>
          <w:i/>
          <w:iCs/>
          <w:lang w:val="en-US"/>
        </w:rPr>
        <w:t>, Carnal Knowledge and Imperial Power</w:t>
      </w:r>
      <w:r w:rsidRPr="00620FB6">
        <w:rPr>
          <w:lang w:val="en-US"/>
        </w:rPr>
        <w:t>,</w:t>
      </w:r>
      <w:r>
        <w:rPr>
          <w:lang w:val="en-US"/>
        </w:rPr>
        <w:t xml:space="preserve"> 33. </w:t>
      </w:r>
    </w:p>
  </w:footnote>
  <w:footnote w:id="100">
    <w:p w14:paraId="12C1F74F" w14:textId="77777777" w:rsidR="009847E8" w:rsidRPr="00620FB6" w:rsidRDefault="009847E8" w:rsidP="002D6DB8">
      <w:pPr>
        <w:pStyle w:val="FootnoteText"/>
        <w:rPr>
          <w:lang w:val="en-US"/>
        </w:rPr>
      </w:pPr>
      <w:r w:rsidRPr="00620FB6">
        <w:rPr>
          <w:rStyle w:val="FootnoteReference"/>
          <w:lang w:val="en-US"/>
        </w:rPr>
        <w:footnoteRef/>
      </w:r>
      <w:r w:rsidRPr="00620FB6">
        <w:rPr>
          <w:lang w:val="en-US"/>
        </w:rPr>
        <w:t xml:space="preserve"> Stoler</w:t>
      </w:r>
      <w:r w:rsidRPr="00620FB6">
        <w:rPr>
          <w:i/>
          <w:iCs/>
          <w:lang w:val="en-US"/>
        </w:rPr>
        <w:t>, Carnal Knowledge and Imperial Power</w:t>
      </w:r>
      <w:r w:rsidRPr="00620FB6">
        <w:rPr>
          <w:lang w:val="en-US"/>
        </w:rPr>
        <w:t xml:space="preserve">, 42. </w:t>
      </w:r>
    </w:p>
  </w:footnote>
  <w:footnote w:id="101">
    <w:p w14:paraId="36395463"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Ulbe Bosma, Remco Raben, and Wim Willems. </w:t>
      </w:r>
      <w:r w:rsidRPr="009847E8">
        <w:rPr>
          <w:rFonts w:cs="Calibri"/>
          <w:i/>
          <w:iCs/>
          <w:lang w:val="nl-NL"/>
        </w:rPr>
        <w:t xml:space="preserve">De Geschiedenis van Indische Nederlanders. </w:t>
      </w:r>
      <w:r w:rsidRPr="00CB7A6A">
        <w:rPr>
          <w:rFonts w:cs="Calibri"/>
        </w:rPr>
        <w:t>(Bert Bakker Amsterdam, 2006)</w:t>
      </w:r>
      <w:r w:rsidRPr="00CB7A6A">
        <w:rPr>
          <w:rFonts w:cs="Calibri"/>
          <w:i/>
          <w:iCs/>
        </w:rPr>
        <w:t>,</w:t>
      </w:r>
      <w:r w:rsidRPr="00CB7A6A">
        <w:rPr>
          <w:rFonts w:cs="Calibri"/>
        </w:rPr>
        <w:t xml:space="preserve"> 25.</w:t>
      </w:r>
    </w:p>
  </w:footnote>
  <w:footnote w:id="102">
    <w:p w14:paraId="506726C4" w14:textId="77777777" w:rsidR="009847E8" w:rsidRPr="009847E8" w:rsidRDefault="009847E8" w:rsidP="001D6CB4">
      <w:pPr>
        <w:pStyle w:val="FootnoteText"/>
        <w:rPr>
          <w:rFonts w:cs="Calibri"/>
          <w:lang w:val="nl-NL"/>
        </w:rPr>
      </w:pPr>
      <w:r w:rsidRPr="00CB7A6A">
        <w:rPr>
          <w:rStyle w:val="FootnoteReference"/>
          <w:rFonts w:cs="Calibri"/>
        </w:rPr>
        <w:footnoteRef/>
      </w:r>
      <w:r w:rsidRPr="00CB7A6A">
        <w:rPr>
          <w:rFonts w:cs="Calibri"/>
        </w:rPr>
        <w:t xml:space="preserve"> Femme Simon Gaastra. </w:t>
      </w:r>
      <w:r>
        <w:rPr>
          <w:rFonts w:cs="Calibri"/>
        </w:rPr>
        <w:t>“</w:t>
      </w:r>
      <w:r w:rsidRPr="00CB7A6A">
        <w:rPr>
          <w:rFonts w:cs="Calibri"/>
        </w:rPr>
        <w:t>The Organization of the VOC</w:t>
      </w:r>
      <w:r>
        <w:rPr>
          <w:rFonts w:cs="Calibri"/>
        </w:rPr>
        <w:t>,</w:t>
      </w:r>
      <w:r>
        <w:rPr>
          <w:rFonts w:cs="Calibri"/>
        </w:rPr>
        <w:t>”</w:t>
      </w:r>
      <w:r w:rsidRPr="00CB7A6A">
        <w:rPr>
          <w:rFonts w:cs="Calibri"/>
        </w:rPr>
        <w:t xml:space="preserve"> </w:t>
      </w:r>
      <w:r>
        <w:rPr>
          <w:rFonts w:cs="Calibri"/>
        </w:rPr>
        <w:t>i</w:t>
      </w:r>
      <w:r w:rsidRPr="00CB7A6A">
        <w:rPr>
          <w:rFonts w:cs="Calibri"/>
        </w:rPr>
        <w:t>n</w:t>
      </w:r>
      <w:r>
        <w:rPr>
          <w:rFonts w:cs="Calibri"/>
          <w:lang w:val="en-US"/>
        </w:rPr>
        <w:t xml:space="preserve"> </w:t>
      </w:r>
      <w:r w:rsidRPr="00CB7A6A">
        <w:rPr>
          <w:rFonts w:cs="Calibri"/>
          <w:i/>
          <w:iCs/>
        </w:rPr>
        <w:t>The Archives of the Dutch East India Company (1602-1795</w:t>
      </w:r>
      <w:r>
        <w:rPr>
          <w:rFonts w:cs="Calibri"/>
          <w:i/>
          <w:iCs/>
        </w:rPr>
        <w:t xml:space="preserve">), </w:t>
      </w:r>
      <w:r>
        <w:rPr>
          <w:rFonts w:cs="Calibri"/>
        </w:rPr>
        <w:t xml:space="preserve">ed. </w:t>
      </w:r>
      <w:r w:rsidRPr="009847E8">
        <w:rPr>
          <w:rFonts w:cs="Calibri"/>
          <w:lang w:val="nl-NL"/>
        </w:rPr>
        <w:t xml:space="preserve">Louisa Balk and Frans van Dijk (Brill, 2007), 14. </w:t>
      </w:r>
    </w:p>
  </w:footnote>
  <w:footnote w:id="103">
    <w:p w14:paraId="20470E03"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Bosma, Raben and Willems, </w:t>
      </w:r>
      <w:r w:rsidRPr="009847E8">
        <w:rPr>
          <w:rFonts w:cs="Calibri"/>
          <w:i/>
          <w:iCs/>
          <w:lang w:val="nl-NL"/>
        </w:rPr>
        <w:t>Geschiedenis van Indische Nederlanders,</w:t>
      </w:r>
      <w:r w:rsidRPr="009847E8">
        <w:rPr>
          <w:rFonts w:cs="Calibri"/>
          <w:lang w:val="nl-NL"/>
        </w:rPr>
        <w:t xml:space="preserve"> 25.</w:t>
      </w:r>
    </w:p>
  </w:footnote>
  <w:footnote w:id="104">
    <w:p w14:paraId="60F156A4" w14:textId="77777777" w:rsidR="009847E8" w:rsidRPr="00A26FD7" w:rsidRDefault="009847E8" w:rsidP="001D6CB4">
      <w:pPr>
        <w:pStyle w:val="FootnoteText"/>
        <w:rPr>
          <w:rFonts w:cs="Calibri"/>
        </w:rPr>
      </w:pPr>
      <w:r w:rsidRPr="00CB7A6A">
        <w:rPr>
          <w:rStyle w:val="FootnoteReference"/>
          <w:rFonts w:cs="Calibri"/>
        </w:rPr>
        <w:footnoteRef/>
      </w:r>
      <w:r w:rsidRPr="009847E8">
        <w:rPr>
          <w:rFonts w:cs="Calibri"/>
          <w:lang w:val="nl-NL"/>
        </w:rPr>
        <w:t xml:space="preserve"> David van Reybrouck, </w:t>
      </w:r>
      <w:r w:rsidRPr="009847E8">
        <w:rPr>
          <w:rFonts w:cs="Calibri"/>
          <w:i/>
          <w:iCs/>
          <w:lang w:val="nl-NL"/>
        </w:rPr>
        <w:t>Revolusi</w:t>
      </w:r>
      <w:r w:rsidRPr="009847E8">
        <w:rPr>
          <w:rFonts w:cs="Calibri"/>
          <w:lang w:val="nl-NL"/>
        </w:rPr>
        <w:t xml:space="preserve">: </w:t>
      </w:r>
      <w:r w:rsidRPr="009847E8">
        <w:rPr>
          <w:rFonts w:cs="Calibri"/>
          <w:i/>
          <w:iCs/>
          <w:lang w:val="nl-NL"/>
        </w:rPr>
        <w:t>Indonesi</w:t>
      </w:r>
      <w:r w:rsidRPr="009847E8">
        <w:rPr>
          <w:rFonts w:cs="Calibri"/>
          <w:i/>
          <w:iCs/>
          <w:lang w:val="nl-NL"/>
        </w:rPr>
        <w:t>ë</w:t>
      </w:r>
      <w:r w:rsidRPr="009847E8">
        <w:rPr>
          <w:rFonts w:cs="Calibri"/>
          <w:i/>
          <w:iCs/>
          <w:lang w:val="nl-NL"/>
        </w:rPr>
        <w:t xml:space="preserve"> en Het Ontstaan van de Moderne Wereld</w:t>
      </w:r>
      <w:r w:rsidRPr="009847E8">
        <w:rPr>
          <w:rFonts w:cs="Calibri"/>
          <w:lang w:val="nl-NL"/>
        </w:rPr>
        <w:t xml:space="preserve"> (De Bezige Bij, 2020), 44; Nancy Jouwe, </w:t>
      </w:r>
      <w:r w:rsidRPr="009847E8">
        <w:rPr>
          <w:lang w:val="nl-NL"/>
        </w:rPr>
        <w:t>‘</w:t>
      </w:r>
      <w:r w:rsidRPr="009847E8">
        <w:rPr>
          <w:lang w:val="nl-NL"/>
        </w:rPr>
        <w:t>Slavery, the Concubine, and the Nyai</w:t>
      </w:r>
      <w:r w:rsidRPr="009847E8">
        <w:rPr>
          <w:lang w:val="nl-NL"/>
        </w:rPr>
        <w:t>’</w:t>
      </w:r>
      <w:r w:rsidRPr="009847E8">
        <w:rPr>
          <w:lang w:val="nl-NL"/>
        </w:rPr>
        <w:t xml:space="preserve">, in: </w:t>
      </w:r>
      <w:r w:rsidRPr="009847E8">
        <w:rPr>
          <w:i/>
          <w:iCs/>
          <w:lang w:val="nl-NL"/>
        </w:rPr>
        <w:t>Doing Gender in Media, Art, and Culture</w:t>
      </w:r>
      <w:r w:rsidRPr="009847E8">
        <w:rPr>
          <w:lang w:val="nl-NL"/>
        </w:rPr>
        <w:t xml:space="preserve">, ed. </w:t>
      </w:r>
      <w:r w:rsidRPr="00B63546">
        <w:rPr>
          <w:rFonts w:cs="Calibri"/>
        </w:rPr>
        <w:t>Rosemarie Buikema, Liedeke Plate, Katrina Thiele</w:t>
      </w:r>
      <w:r>
        <w:rPr>
          <w:lang w:val="en-US"/>
        </w:rPr>
        <w:t xml:space="preserve"> (</w:t>
      </w:r>
      <w:r w:rsidRPr="00BA7A4A">
        <w:rPr>
          <w:lang w:val="en-US"/>
        </w:rPr>
        <w:t>Routledge</w:t>
      </w:r>
      <w:r>
        <w:rPr>
          <w:lang w:val="en-US"/>
        </w:rPr>
        <w:t xml:space="preserve">, </w:t>
      </w:r>
      <w:r w:rsidRPr="00BA7A4A">
        <w:rPr>
          <w:lang w:val="en-US"/>
        </w:rPr>
        <w:t>2026), 22</w:t>
      </w:r>
      <w:r>
        <w:rPr>
          <w:lang w:val="en-US"/>
        </w:rPr>
        <w:t xml:space="preserve">5. </w:t>
      </w:r>
    </w:p>
  </w:footnote>
  <w:footnote w:id="105">
    <w:p w14:paraId="2595AB58" w14:textId="77777777" w:rsidR="009847E8" w:rsidRPr="009847E8" w:rsidRDefault="009847E8" w:rsidP="001D6CB4">
      <w:pPr>
        <w:pStyle w:val="FootnoteText"/>
        <w:rPr>
          <w:rFonts w:cs="Calibri"/>
          <w:lang w:val="nl-NL"/>
        </w:rPr>
      </w:pPr>
      <w:r w:rsidRPr="00CB7A6A">
        <w:rPr>
          <w:rStyle w:val="FootnoteReference"/>
          <w:rFonts w:cs="Calibri"/>
        </w:rPr>
        <w:footnoteRef/>
      </w:r>
      <w:r w:rsidRPr="00A26FD7">
        <w:rPr>
          <w:rFonts w:cs="Calibri"/>
        </w:rPr>
        <w:t xml:space="preserve"> Ulbe Bosma, Remco Raben. </w:t>
      </w:r>
      <w:r w:rsidRPr="009847E8">
        <w:rPr>
          <w:rFonts w:cs="Calibri"/>
          <w:i/>
          <w:iCs/>
          <w:lang w:val="nl-NL"/>
        </w:rPr>
        <w:t>De oude Indische wereld 1500</w:t>
      </w:r>
      <w:r w:rsidRPr="009847E8">
        <w:rPr>
          <w:rFonts w:cs="Calibri"/>
          <w:i/>
          <w:iCs/>
          <w:lang w:val="nl-NL"/>
        </w:rPr>
        <w:t>–</w:t>
      </w:r>
      <w:r w:rsidRPr="009847E8">
        <w:rPr>
          <w:rFonts w:cs="Calibri"/>
          <w:i/>
          <w:iCs/>
          <w:lang w:val="nl-NL"/>
        </w:rPr>
        <w:t>1920.</w:t>
      </w:r>
      <w:r w:rsidRPr="009847E8">
        <w:rPr>
          <w:rFonts w:cs="Calibri"/>
          <w:lang w:val="nl-NL"/>
        </w:rPr>
        <w:t xml:space="preserve"> (Bert Bakker Amsterdam, 2003), 22.</w:t>
      </w:r>
    </w:p>
  </w:footnote>
  <w:footnote w:id="106">
    <w:p w14:paraId="79DB19AB"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Bosma, Raben and Willems, </w:t>
      </w:r>
      <w:r w:rsidRPr="009847E8">
        <w:rPr>
          <w:rFonts w:cs="Calibri"/>
          <w:i/>
          <w:iCs/>
          <w:lang w:val="nl-NL"/>
        </w:rPr>
        <w:t>Geschiedenis van Indische Nederlanders,</w:t>
      </w:r>
      <w:r w:rsidRPr="009847E8">
        <w:rPr>
          <w:rFonts w:cs="Calibri"/>
          <w:lang w:val="nl-NL"/>
        </w:rPr>
        <w:t xml:space="preserve"> 26.</w:t>
      </w:r>
    </w:p>
  </w:footnote>
  <w:footnote w:id="107">
    <w:p w14:paraId="6574B8FE"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Philip Post, </w:t>
      </w:r>
      <w:r>
        <w:rPr>
          <w:rFonts w:cs="Calibri"/>
        </w:rPr>
        <w:t>“</w:t>
      </w:r>
      <w:r w:rsidRPr="00CB7A6A">
        <w:rPr>
          <w:rFonts w:cs="Calibri"/>
        </w:rPr>
        <w:t xml:space="preserve">Living </w:t>
      </w:r>
      <w:r w:rsidRPr="00BA7A4A">
        <w:rPr>
          <w:rFonts w:cs="Calibri"/>
          <w:lang w:val="en-US"/>
        </w:rPr>
        <w:t>in the shadow of the Company: Settler colonialism in the Dutch East Indies in the</w:t>
      </w:r>
      <w:r w:rsidRPr="00CB7A6A">
        <w:rPr>
          <w:rFonts w:cs="Calibri"/>
        </w:rPr>
        <w:t xml:space="preserve"> 1850s</w:t>
      </w:r>
      <w:r>
        <w:rPr>
          <w:rFonts w:cs="Calibri"/>
        </w:rPr>
        <w:t>,</w:t>
      </w:r>
      <w:r>
        <w:rPr>
          <w:rFonts w:cs="Calibri"/>
        </w:rPr>
        <w:t>”</w:t>
      </w:r>
      <w:r>
        <w:rPr>
          <w:rFonts w:cs="Calibri"/>
        </w:rPr>
        <w:t xml:space="preserve"> </w:t>
      </w:r>
      <w:r w:rsidRPr="00CB7A6A">
        <w:rPr>
          <w:rFonts w:cs="Calibri"/>
          <w:i/>
          <w:iCs/>
        </w:rPr>
        <w:t>Internationale Neerlandistiek</w:t>
      </w:r>
      <w:r w:rsidRPr="00CB7A6A">
        <w:rPr>
          <w:rFonts w:cs="Calibri"/>
        </w:rPr>
        <w:t xml:space="preserve"> 63</w:t>
      </w:r>
      <w:r>
        <w:rPr>
          <w:rFonts w:cs="Calibri"/>
        </w:rPr>
        <w:t>, no. 3 (2025),</w:t>
      </w:r>
      <w:r w:rsidRPr="00CB7A6A">
        <w:rPr>
          <w:rFonts w:cs="Calibri"/>
        </w:rPr>
        <w:t xml:space="preserve"> 257</w:t>
      </w:r>
      <w:r>
        <w:rPr>
          <w:rFonts w:cs="Calibri"/>
        </w:rPr>
        <w:t xml:space="preserve">. </w:t>
      </w:r>
    </w:p>
  </w:footnote>
  <w:footnote w:id="108">
    <w:p w14:paraId="49E9DC7D" w14:textId="77777777" w:rsidR="009847E8" w:rsidRPr="009847E8" w:rsidRDefault="009847E8" w:rsidP="001D6CB4">
      <w:pPr>
        <w:pStyle w:val="FootnoteText"/>
        <w:rPr>
          <w:rFonts w:cs="Calibri"/>
          <w:lang w:val="nl-NL"/>
        </w:rPr>
      </w:pPr>
      <w:r w:rsidRPr="00CB7A6A">
        <w:rPr>
          <w:rStyle w:val="FootnoteReference"/>
          <w:rFonts w:cs="Calibri"/>
        </w:rPr>
        <w:footnoteRef/>
      </w:r>
      <w:r w:rsidRPr="00CB7A6A">
        <w:rPr>
          <w:rFonts w:cs="Calibri"/>
        </w:rPr>
        <w:t xml:space="preserve"> Post, </w:t>
      </w:r>
      <w:r>
        <w:rPr>
          <w:rFonts w:cs="Calibri"/>
        </w:rPr>
        <w:t>“</w:t>
      </w:r>
      <w:r w:rsidRPr="00CB7A6A">
        <w:rPr>
          <w:rFonts w:cs="Calibri"/>
        </w:rPr>
        <w:t>Living in the shadow of the Company</w:t>
      </w:r>
      <w:r>
        <w:rPr>
          <w:rFonts w:cs="Calibri"/>
        </w:rPr>
        <w:t>,</w:t>
      </w:r>
      <w:r>
        <w:rPr>
          <w:rFonts w:cs="Calibri"/>
        </w:rPr>
        <w:t>”</w:t>
      </w:r>
      <w:r w:rsidRPr="00CB7A6A">
        <w:rPr>
          <w:rFonts w:cs="Calibri"/>
        </w:rPr>
        <w:t xml:space="preserve"> 263. </w:t>
      </w:r>
      <w:r>
        <w:rPr>
          <w:rFonts w:cs="Calibri"/>
          <w:lang w:val="en-US"/>
        </w:rPr>
        <w:t>Nonetheless, the establishment of the VOC should not be understood merely as an economic endeavor, as C</w:t>
      </w:r>
      <w:r>
        <w:rPr>
          <w:rFonts w:cs="Calibri"/>
          <w:lang w:val="en-US"/>
        </w:rPr>
        <w:t>á</w:t>
      </w:r>
      <w:r>
        <w:rPr>
          <w:rFonts w:cs="Calibri"/>
          <w:lang w:val="en-US"/>
        </w:rPr>
        <w:t xml:space="preserve">tia Antunes contends. She concludes from an in-depth reading of the VOC-charter that the Dutch Sates General intended to build a Dutch colonial empire, through the establishment of jurisdiction and regulations, see: </w:t>
      </w:r>
      <w:r>
        <w:rPr>
          <w:rFonts w:cs="Calibri"/>
          <w:lang w:val="en-US"/>
        </w:rPr>
        <w:t>“</w:t>
      </w:r>
      <w:r>
        <w:rPr>
          <w:rFonts w:cs="Calibri"/>
          <w:lang w:val="en-US"/>
        </w:rPr>
        <w:t>Birthing Empire: The States General and the Chartering of the VOC and the WIC,</w:t>
      </w:r>
      <w:r>
        <w:rPr>
          <w:rFonts w:cs="Calibri"/>
          <w:lang w:val="en-US"/>
        </w:rPr>
        <w:t>”</w:t>
      </w:r>
      <w:r>
        <w:rPr>
          <w:rFonts w:cs="Calibri"/>
          <w:lang w:val="en-US"/>
        </w:rPr>
        <w:t xml:space="preserve"> in </w:t>
      </w:r>
      <w:r w:rsidRPr="009B381A">
        <w:rPr>
          <w:rFonts w:cs="Calibri"/>
          <w:i/>
          <w:iCs/>
          <w:lang w:val="en-US"/>
        </w:rPr>
        <w:t>The Dutch Empire between Ideas and Practice, 1600</w:t>
      </w:r>
      <w:r w:rsidRPr="009B381A">
        <w:rPr>
          <w:rFonts w:cs="Calibri"/>
          <w:i/>
          <w:iCs/>
          <w:lang w:val="en-US"/>
        </w:rPr>
        <w:t>–</w:t>
      </w:r>
      <w:r w:rsidRPr="009B381A">
        <w:rPr>
          <w:rFonts w:cs="Calibri"/>
          <w:i/>
          <w:iCs/>
          <w:lang w:val="en-US"/>
        </w:rPr>
        <w:t>2000</w:t>
      </w:r>
      <w:r>
        <w:rPr>
          <w:rFonts w:cs="Calibri"/>
          <w:lang w:val="en-US"/>
        </w:rPr>
        <w:t xml:space="preserve">, ed. </w:t>
      </w:r>
      <w:r w:rsidRPr="009847E8">
        <w:rPr>
          <w:rFonts w:cs="Calibri"/>
          <w:lang w:val="nl-NL"/>
        </w:rPr>
        <w:t>Ren</w:t>
      </w:r>
      <w:r w:rsidRPr="009847E8">
        <w:rPr>
          <w:rFonts w:cs="Calibri"/>
          <w:lang w:val="nl-NL"/>
        </w:rPr>
        <w:t>é</w:t>
      </w:r>
      <w:r w:rsidRPr="009847E8">
        <w:rPr>
          <w:rFonts w:cs="Calibri"/>
          <w:lang w:val="nl-NL"/>
        </w:rPr>
        <w:t xml:space="preserve"> Koekkoek, Anne-Isabelle Richard, Arthur Weststeijn (Palgrave Macmillan Cham, 2020), 27. </w:t>
      </w:r>
    </w:p>
  </w:footnote>
  <w:footnote w:id="109">
    <w:p w14:paraId="2BBC76B0"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15; Bosma, Raben, </w:t>
      </w:r>
      <w:r w:rsidRPr="009847E8">
        <w:rPr>
          <w:rFonts w:cs="Calibri"/>
          <w:i/>
          <w:iCs/>
          <w:lang w:val="nl-NL"/>
        </w:rPr>
        <w:t>De oude Indische wereld</w:t>
      </w:r>
      <w:r w:rsidRPr="009847E8">
        <w:rPr>
          <w:rFonts w:cs="Calibri"/>
          <w:lang w:val="nl-NL"/>
        </w:rPr>
        <w:t xml:space="preserve">, 23. </w:t>
      </w:r>
    </w:p>
  </w:footnote>
  <w:footnote w:id="110">
    <w:p w14:paraId="7821F827" w14:textId="77777777" w:rsidR="009847E8" w:rsidRPr="00BA7A4A" w:rsidRDefault="009847E8">
      <w:pPr>
        <w:pStyle w:val="FootnoteText"/>
        <w:rPr>
          <w:lang w:val="en-US"/>
        </w:rPr>
      </w:pPr>
      <w:r w:rsidRPr="00BA7A4A">
        <w:rPr>
          <w:rStyle w:val="FootnoteReference"/>
          <w:lang w:val="en-US"/>
        </w:rPr>
        <w:footnoteRef/>
      </w:r>
      <w:r w:rsidRPr="00BA7A4A">
        <w:rPr>
          <w:lang w:val="en-US"/>
        </w:rPr>
        <w:t xml:space="preserve"> Stoler, </w:t>
      </w:r>
      <w:r w:rsidRPr="00BA7A4A">
        <w:rPr>
          <w:lang w:val="en-US"/>
        </w:rPr>
        <w:t>‘</w:t>
      </w:r>
      <w:r w:rsidRPr="00BA7A4A">
        <w:rPr>
          <w:lang w:val="en-US"/>
        </w:rPr>
        <w:t>Making Empire Respectable</w:t>
      </w:r>
      <w:r w:rsidRPr="00BA7A4A">
        <w:rPr>
          <w:lang w:val="en-US"/>
        </w:rPr>
        <w:t>’</w:t>
      </w:r>
      <w:r w:rsidRPr="00BA7A4A">
        <w:rPr>
          <w:lang w:val="en-US"/>
        </w:rPr>
        <w:t xml:space="preserve">, 637; Nancy Jouwe, </w:t>
      </w:r>
      <w:r>
        <w:rPr>
          <w:lang w:val="en-US"/>
        </w:rPr>
        <w:t>“</w:t>
      </w:r>
      <w:r w:rsidRPr="00BA7A4A">
        <w:rPr>
          <w:lang w:val="en-US"/>
        </w:rPr>
        <w:t>Slavery, the Concubine, and the Nyai</w:t>
      </w:r>
      <w:r>
        <w:rPr>
          <w:lang w:val="en-US"/>
        </w:rPr>
        <w:t>”</w:t>
      </w:r>
      <w:r w:rsidRPr="00BA7A4A">
        <w:rPr>
          <w:lang w:val="en-US"/>
        </w:rPr>
        <w:t>,</w:t>
      </w:r>
      <w:r>
        <w:rPr>
          <w:lang w:val="en-US"/>
        </w:rPr>
        <w:t xml:space="preserve"> </w:t>
      </w:r>
      <w:r w:rsidRPr="00BA7A4A">
        <w:rPr>
          <w:lang w:val="en-US"/>
        </w:rPr>
        <w:t>221</w:t>
      </w:r>
      <w:r>
        <w:t xml:space="preserve">. </w:t>
      </w:r>
    </w:p>
  </w:footnote>
  <w:footnote w:id="111">
    <w:p w14:paraId="4A39F58A"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Stoler, </w:t>
      </w:r>
      <w:r w:rsidRPr="00CB7A6A">
        <w:rPr>
          <w:rFonts w:cs="Calibri"/>
          <w:i/>
          <w:iCs/>
        </w:rPr>
        <w:t>Carnal Knowledge</w:t>
      </w:r>
      <w:r>
        <w:rPr>
          <w:rFonts w:cs="Calibri"/>
          <w:i/>
          <w:iCs/>
        </w:rPr>
        <w:t xml:space="preserve">, </w:t>
      </w:r>
      <w:r w:rsidRPr="00CB7A6A">
        <w:rPr>
          <w:rFonts w:cs="Calibri"/>
        </w:rPr>
        <w:t xml:space="preserve">49. </w:t>
      </w:r>
    </w:p>
  </w:footnote>
  <w:footnote w:id="112">
    <w:p w14:paraId="2C8D9543" w14:textId="77777777" w:rsidR="009847E8" w:rsidRPr="00BA7A4A" w:rsidRDefault="009847E8">
      <w:pPr>
        <w:pStyle w:val="FootnoteText"/>
        <w:rPr>
          <w:lang w:val="en-US"/>
        </w:rPr>
      </w:pPr>
      <w:r>
        <w:rPr>
          <w:rStyle w:val="FootnoteReference"/>
        </w:rPr>
        <w:footnoteRef/>
      </w:r>
      <w:r>
        <w:t xml:space="preserve"> </w:t>
      </w:r>
      <w:r>
        <w:rPr>
          <w:lang w:val="en-US"/>
        </w:rPr>
        <w:t xml:space="preserve">Stoler, </w:t>
      </w:r>
      <w:r w:rsidRPr="00CB7A6A">
        <w:rPr>
          <w:rFonts w:cs="Calibri"/>
          <w:i/>
          <w:iCs/>
        </w:rPr>
        <w:t>Carnal Knowledge</w:t>
      </w:r>
      <w:r>
        <w:rPr>
          <w:rFonts w:cs="Calibri"/>
        </w:rPr>
        <w:t xml:space="preserve">, 2. </w:t>
      </w:r>
    </w:p>
  </w:footnote>
  <w:footnote w:id="113">
    <w:p w14:paraId="4EA3F4EB" w14:textId="77777777" w:rsidR="009847E8" w:rsidRPr="00A26FD7" w:rsidRDefault="009847E8" w:rsidP="001D6CB4">
      <w:pPr>
        <w:pStyle w:val="FootnoteText"/>
        <w:rPr>
          <w:rFonts w:cs="Calibri"/>
        </w:rPr>
      </w:pPr>
      <w:r w:rsidRPr="00CB7A6A">
        <w:rPr>
          <w:rStyle w:val="FootnoteReference"/>
          <w:rFonts w:cs="Calibri"/>
        </w:rPr>
        <w:footnoteRef/>
      </w:r>
      <w:r w:rsidRPr="00A26FD7">
        <w:rPr>
          <w:rFonts w:cs="Calibri"/>
        </w:rPr>
        <w:t xml:space="preserve"> Baay, </w:t>
      </w:r>
      <w:r w:rsidRPr="00A26FD7">
        <w:rPr>
          <w:rFonts w:cs="Calibri"/>
          <w:i/>
          <w:iCs/>
        </w:rPr>
        <w:t>De Njai</w:t>
      </w:r>
      <w:r w:rsidRPr="00A26FD7">
        <w:rPr>
          <w:rFonts w:cs="Calibri"/>
        </w:rPr>
        <w:t xml:space="preserve">, 16. </w:t>
      </w:r>
      <w:r w:rsidRPr="00EF0954">
        <w:rPr>
          <w:rFonts w:cs="Calibri"/>
          <w:lang w:val="en-US"/>
        </w:rPr>
        <w:t xml:space="preserve">According to Nancy Jouwe, the term </w:t>
      </w:r>
      <w:r w:rsidRPr="00EF0954">
        <w:rPr>
          <w:rFonts w:cs="Calibri"/>
          <w:lang w:val="en-US"/>
        </w:rPr>
        <w:t>‘</w:t>
      </w:r>
      <w:r w:rsidRPr="00EF0954">
        <w:rPr>
          <w:rFonts w:cs="Calibri"/>
          <w:lang w:val="en-US"/>
        </w:rPr>
        <w:t>nyai</w:t>
      </w:r>
      <w:r w:rsidRPr="00EF0954">
        <w:rPr>
          <w:rFonts w:cs="Calibri"/>
          <w:lang w:val="en-US"/>
        </w:rPr>
        <w:t>’</w:t>
      </w:r>
      <w:r w:rsidRPr="00EF0954">
        <w:rPr>
          <w:rFonts w:cs="Calibri"/>
          <w:lang w:val="en-US"/>
        </w:rPr>
        <w:t xml:space="preserve"> or </w:t>
      </w:r>
      <w:r w:rsidRPr="00EF0954">
        <w:rPr>
          <w:rFonts w:cs="Calibri"/>
          <w:lang w:val="en-US"/>
        </w:rPr>
        <w:t>‘</w:t>
      </w:r>
      <w:r w:rsidRPr="00EF0954">
        <w:rPr>
          <w:rFonts w:cs="Calibri"/>
          <w:lang w:val="en-US"/>
        </w:rPr>
        <w:t>njai</w:t>
      </w:r>
      <w:r w:rsidRPr="00EF0954">
        <w:rPr>
          <w:rFonts w:cs="Calibri"/>
          <w:lang w:val="en-US"/>
        </w:rPr>
        <w:t>’</w:t>
      </w:r>
      <w:r w:rsidRPr="00EF0954">
        <w:rPr>
          <w:rFonts w:cs="Calibri"/>
          <w:lang w:val="en-US"/>
        </w:rPr>
        <w:t xml:space="preserve"> </w:t>
      </w:r>
      <w:r>
        <w:rPr>
          <w:rFonts w:cs="Calibri"/>
          <w:lang w:val="en-US"/>
        </w:rPr>
        <w:t xml:space="preserve">had different meanings in different parts of the Indonesian archipelago. In Bali, it meant sister, but in Java, it meant an elderly woman. Among colonials however, it referred to indigenous women who were part of a household of a Dutch colonial. She would provide household services, sexual services, and often be the mother to his children. See: </w:t>
      </w:r>
      <w:r>
        <w:rPr>
          <w:rFonts w:cs="Calibri"/>
          <w:lang w:val="en-US"/>
        </w:rPr>
        <w:t>“</w:t>
      </w:r>
      <w:r>
        <w:rPr>
          <w:lang w:val="en-US"/>
        </w:rPr>
        <w:t>Slavery, the Concubine, and the Nyai</w:t>
      </w:r>
      <w:r>
        <w:rPr>
          <w:lang w:val="en-US"/>
        </w:rPr>
        <w:t>”</w:t>
      </w:r>
      <w:r>
        <w:rPr>
          <w:lang w:val="en-US"/>
        </w:rPr>
        <w:t>, 227.</w:t>
      </w:r>
    </w:p>
  </w:footnote>
  <w:footnote w:id="114">
    <w:p w14:paraId="02F7C373" w14:textId="77777777" w:rsidR="009847E8" w:rsidRPr="00A26FD7" w:rsidRDefault="009847E8" w:rsidP="001D6CB4">
      <w:pPr>
        <w:pStyle w:val="FootnoteText"/>
        <w:rPr>
          <w:rFonts w:cs="Calibri"/>
        </w:rPr>
      </w:pPr>
      <w:r w:rsidRPr="00CB7A6A">
        <w:rPr>
          <w:rStyle w:val="FootnoteReference"/>
          <w:rFonts w:cs="Calibri"/>
        </w:rPr>
        <w:footnoteRef/>
      </w:r>
      <w:r w:rsidRPr="00A26FD7">
        <w:rPr>
          <w:rFonts w:cs="Calibri"/>
        </w:rPr>
        <w:t xml:space="preserve"> Baay, </w:t>
      </w:r>
      <w:r w:rsidRPr="00A26FD7">
        <w:rPr>
          <w:rFonts w:cs="Calibri"/>
          <w:i/>
          <w:iCs/>
        </w:rPr>
        <w:t>De Njai</w:t>
      </w:r>
      <w:r w:rsidRPr="00A26FD7">
        <w:rPr>
          <w:rFonts w:cs="Calibri"/>
        </w:rPr>
        <w:t>, 16.</w:t>
      </w:r>
      <w:r>
        <w:rPr>
          <w:rFonts w:cs="Calibri"/>
        </w:rPr>
        <w:t xml:space="preserve"> </w:t>
      </w:r>
    </w:p>
  </w:footnote>
  <w:footnote w:id="115">
    <w:p w14:paraId="7611D1B7" w14:textId="77777777" w:rsidR="009847E8" w:rsidRPr="00EE559B" w:rsidRDefault="009847E8">
      <w:pPr>
        <w:pStyle w:val="FootnoteText"/>
        <w:rPr>
          <w:lang w:val="en-US"/>
        </w:rPr>
      </w:pPr>
      <w:r>
        <w:rPr>
          <w:rStyle w:val="FootnoteReference"/>
        </w:rPr>
        <w:footnoteRef/>
      </w:r>
      <w:r w:rsidRPr="009847E8">
        <w:rPr>
          <w:lang w:val="nl-NL"/>
        </w:rPr>
        <w:t xml:space="preserve"> Leendert van der Valk, </w:t>
      </w:r>
      <w:r w:rsidRPr="009847E8">
        <w:rPr>
          <w:lang w:val="nl-NL"/>
        </w:rPr>
        <w:t>“</w:t>
      </w:r>
      <w:r w:rsidRPr="009847E8">
        <w:rPr>
          <w:lang w:val="nl-NL"/>
        </w:rPr>
        <w:t>Christenslavin onder de slaaffjens,</w:t>
      </w:r>
      <w:r w:rsidRPr="009847E8">
        <w:rPr>
          <w:lang w:val="nl-NL"/>
        </w:rPr>
        <w:t>”</w:t>
      </w:r>
      <w:r w:rsidRPr="009847E8">
        <w:rPr>
          <w:lang w:val="nl-NL"/>
        </w:rPr>
        <w:t xml:space="preserve"> </w:t>
      </w:r>
      <w:r w:rsidRPr="009847E8">
        <w:rPr>
          <w:i/>
          <w:iCs/>
          <w:lang w:val="nl-NL"/>
        </w:rPr>
        <w:t>De Groene Amsterdammer</w:t>
      </w:r>
      <w:r w:rsidRPr="009847E8">
        <w:rPr>
          <w:lang w:val="nl-NL"/>
        </w:rPr>
        <w:t xml:space="preserve"> 19 (2026). </w:t>
      </w:r>
      <w:r w:rsidRPr="00EE559B">
        <w:rPr>
          <w:lang w:val="en-US"/>
        </w:rPr>
        <w:t>Some men married their Njai, making them into free wives. However, this only occurred in a small number of relations. For the most part, njai</w:t>
      </w:r>
      <w:r w:rsidRPr="00EE559B">
        <w:rPr>
          <w:lang w:val="en-US"/>
        </w:rPr>
        <w:t>’</w:t>
      </w:r>
      <w:r w:rsidRPr="00EE559B">
        <w:rPr>
          <w:lang w:val="en-US"/>
        </w:rPr>
        <w:t xml:space="preserve">s never really became free, but remained under chattel enslavement. In 1860, slavery was abolished in the Dutch East Indies. Reggie Baay notes that njai women nevertheless often remained in coercive concubinary arrangements, </w:t>
      </w:r>
      <w:r>
        <w:rPr>
          <w:lang w:val="en-US"/>
        </w:rPr>
        <w:t xml:space="preserve">as women were financially not able to leave the man for whom they worked as a concubine. Their position before and after the abolition remained virtually the same. </w:t>
      </w:r>
    </w:p>
  </w:footnote>
  <w:footnote w:id="116">
    <w:p w14:paraId="24A74981"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Bosma, Raben, </w:t>
      </w:r>
      <w:r w:rsidRPr="009847E8">
        <w:rPr>
          <w:rFonts w:cs="Calibri"/>
          <w:i/>
          <w:iCs/>
          <w:lang w:val="nl-NL"/>
        </w:rPr>
        <w:t>De oude Indische wereld</w:t>
      </w:r>
      <w:r w:rsidRPr="009847E8">
        <w:rPr>
          <w:rFonts w:cs="Calibri"/>
          <w:lang w:val="nl-NL"/>
        </w:rPr>
        <w:t>, 23.</w:t>
      </w:r>
    </w:p>
  </w:footnote>
  <w:footnote w:id="117">
    <w:p w14:paraId="40BB932F"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Bosma, Raben, </w:t>
      </w:r>
      <w:r w:rsidRPr="009847E8">
        <w:rPr>
          <w:rFonts w:cs="Calibri"/>
          <w:i/>
          <w:iCs/>
          <w:lang w:val="nl-NL"/>
        </w:rPr>
        <w:t>De oude Indische wereld</w:t>
      </w:r>
      <w:r w:rsidRPr="009847E8">
        <w:rPr>
          <w:rFonts w:cs="Calibri"/>
          <w:lang w:val="nl-NL"/>
        </w:rPr>
        <w:t xml:space="preserve">, 25. </w:t>
      </w:r>
    </w:p>
  </w:footnote>
  <w:footnote w:id="118">
    <w:p w14:paraId="770A4A30" w14:textId="77777777" w:rsidR="009847E8" w:rsidRPr="00C10C66" w:rsidRDefault="009847E8">
      <w:pPr>
        <w:pStyle w:val="FootnoteText"/>
        <w:rPr>
          <w:lang w:val="en-US"/>
        </w:rPr>
      </w:pPr>
      <w:r>
        <w:rPr>
          <w:rStyle w:val="FootnoteReference"/>
        </w:rPr>
        <w:footnoteRef/>
      </w:r>
      <w:r w:rsidRPr="009847E8">
        <w:rPr>
          <w:lang w:val="nl-NL"/>
        </w:rPr>
        <w:t xml:space="preserve"> As quoted in Alexander van der Meer, </w:t>
      </w:r>
      <w:r w:rsidRPr="009847E8">
        <w:rPr>
          <w:lang w:val="nl-NL"/>
        </w:rPr>
        <w:t>“</w:t>
      </w:r>
      <w:r w:rsidRPr="009847E8">
        <w:rPr>
          <w:lang w:val="nl-NL"/>
        </w:rPr>
        <w:t>Uit Europeesch Bloed Afkomstig,</w:t>
      </w:r>
      <w:r w:rsidRPr="009847E8">
        <w:rPr>
          <w:lang w:val="nl-NL"/>
        </w:rPr>
        <w:t>”</w:t>
      </w:r>
      <w:r w:rsidRPr="009847E8">
        <w:rPr>
          <w:lang w:val="nl-NL"/>
        </w:rPr>
        <w:t xml:space="preserve"> </w:t>
      </w:r>
      <w:r w:rsidRPr="009847E8">
        <w:rPr>
          <w:i/>
          <w:iCs/>
          <w:lang w:val="nl-NL"/>
        </w:rPr>
        <w:t>Jaarboek de Achttiende Eeuw</w:t>
      </w:r>
      <w:r w:rsidRPr="009847E8">
        <w:rPr>
          <w:lang w:val="nl-NL"/>
        </w:rPr>
        <w:t xml:space="preserve"> 57 (2025), 110. </w:t>
      </w:r>
      <w:r w:rsidRPr="00E30012">
        <w:rPr>
          <w:lang w:val="en-US"/>
        </w:rPr>
        <w:t>E</w:t>
      </w:r>
      <w:r>
        <w:rPr>
          <w:lang w:val="en-US"/>
        </w:rPr>
        <w:t xml:space="preserve">specially interesting in this quote is the expressly concern for daughters. Van der Meer argues that the orphanage likely served, in part, to provide a </w:t>
      </w:r>
      <w:r>
        <w:rPr>
          <w:lang w:val="en-US"/>
        </w:rPr>
        <w:t>‘</w:t>
      </w:r>
      <w:r>
        <w:rPr>
          <w:lang w:val="en-US"/>
        </w:rPr>
        <w:t>marriage pool</w:t>
      </w:r>
      <w:r>
        <w:rPr>
          <w:lang w:val="en-US"/>
        </w:rPr>
        <w:t>’</w:t>
      </w:r>
      <w:r>
        <w:rPr>
          <w:lang w:val="en-US"/>
        </w:rPr>
        <w:t xml:space="preserve"> for the abundance of unmarried European men in the colony. As the </w:t>
      </w:r>
      <w:r>
        <w:rPr>
          <w:lang w:val="en-US"/>
        </w:rPr>
        <w:t>‘</w:t>
      </w:r>
      <w:r>
        <w:rPr>
          <w:lang w:val="en-US"/>
        </w:rPr>
        <w:t>orphan</w:t>
      </w:r>
      <w:r>
        <w:rPr>
          <w:lang w:val="en-US"/>
        </w:rPr>
        <w:t>’</w:t>
      </w:r>
      <w:r>
        <w:rPr>
          <w:lang w:val="en-US"/>
        </w:rPr>
        <w:t xml:space="preserve"> daughters in the orphanage were raised as a reformed Christian with European habits, European men could find a Christian marriage partner instead of ending up in an extramarital cohabitation arrangement with a njai. </w:t>
      </w:r>
    </w:p>
  </w:footnote>
  <w:footnote w:id="119">
    <w:p w14:paraId="60CD04A7"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16.</w:t>
      </w:r>
    </w:p>
  </w:footnote>
  <w:footnote w:id="120">
    <w:p w14:paraId="34386631"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18-19. </w:t>
      </w:r>
    </w:p>
  </w:footnote>
  <w:footnote w:id="121">
    <w:p w14:paraId="72B53260"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19. </w:t>
      </w:r>
    </w:p>
  </w:footnote>
  <w:footnote w:id="122">
    <w:p w14:paraId="2C5A7F24" w14:textId="77777777" w:rsidR="009847E8" w:rsidRPr="009847E8" w:rsidRDefault="009847E8" w:rsidP="001D6CB4">
      <w:pPr>
        <w:pStyle w:val="FootnoteText"/>
        <w:rPr>
          <w:rFonts w:cs="Calibri"/>
          <w:lang w:val="nl-NL"/>
        </w:rPr>
      </w:pPr>
      <w:r w:rsidRPr="00577A21">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19. </w:t>
      </w:r>
    </w:p>
  </w:footnote>
  <w:footnote w:id="123">
    <w:p w14:paraId="26CC6212"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Bosma, Raben and Willems, </w:t>
      </w:r>
      <w:r w:rsidRPr="00CB7A6A">
        <w:rPr>
          <w:rFonts w:cs="Calibri"/>
          <w:i/>
          <w:iCs/>
        </w:rPr>
        <w:t>Geschiedenis van Indische Nederlanders,</w:t>
      </w:r>
      <w:r w:rsidRPr="00CB7A6A">
        <w:rPr>
          <w:rFonts w:cs="Calibri"/>
        </w:rPr>
        <w:t xml:space="preserve"> 32; Gaastra, </w:t>
      </w:r>
      <w:r>
        <w:rPr>
          <w:rFonts w:cs="Calibri"/>
        </w:rPr>
        <w:t>“</w:t>
      </w:r>
      <w:r w:rsidRPr="00CB7A6A">
        <w:rPr>
          <w:rFonts w:cs="Calibri"/>
        </w:rPr>
        <w:t>Organization of the VOC</w:t>
      </w:r>
      <w:r>
        <w:rPr>
          <w:rFonts w:cs="Calibri"/>
        </w:rPr>
        <w:t>,</w:t>
      </w:r>
      <w:r>
        <w:rPr>
          <w:rFonts w:cs="Calibri"/>
        </w:rPr>
        <w:t>”</w:t>
      </w:r>
      <w:r>
        <w:rPr>
          <w:rFonts w:cs="Calibri"/>
        </w:rPr>
        <w:t xml:space="preserve"> </w:t>
      </w:r>
      <w:r w:rsidRPr="00CB7A6A">
        <w:rPr>
          <w:rFonts w:cs="Calibri"/>
        </w:rPr>
        <w:t xml:space="preserve">26. </w:t>
      </w:r>
    </w:p>
  </w:footnote>
  <w:footnote w:id="124">
    <w:p w14:paraId="09DB05CA"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Baay, </w:t>
      </w:r>
      <w:r w:rsidRPr="00CB7A6A">
        <w:rPr>
          <w:rFonts w:cs="Calibri"/>
          <w:i/>
          <w:iCs/>
        </w:rPr>
        <w:t>De Njai</w:t>
      </w:r>
      <w:r w:rsidRPr="00CB7A6A">
        <w:rPr>
          <w:rFonts w:cs="Calibri"/>
        </w:rPr>
        <w:t xml:space="preserve">, 30. </w:t>
      </w:r>
    </w:p>
  </w:footnote>
  <w:footnote w:id="125">
    <w:p w14:paraId="3279C12B"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w:t>
      </w:r>
      <w:r w:rsidRPr="00577A21">
        <w:rPr>
          <w:rFonts w:cs="Calibri"/>
        </w:rPr>
        <w:t xml:space="preserve">Jean Gelman Taylor, </w:t>
      </w:r>
      <w:r w:rsidRPr="00577A21">
        <w:rPr>
          <w:rFonts w:cs="Calibri"/>
          <w:i/>
          <w:iCs/>
        </w:rPr>
        <w:t>The Social World of Batavia: Europeans and Eurasians in Colonial Indonesia</w:t>
      </w:r>
      <w:r>
        <w:rPr>
          <w:rFonts w:cs="Calibri"/>
        </w:rPr>
        <w:t xml:space="preserve"> (University of Wisconsin Press, 1983), 116; </w:t>
      </w:r>
      <w:r w:rsidRPr="00CB7A6A">
        <w:rPr>
          <w:rFonts w:cs="Calibri"/>
        </w:rPr>
        <w:t xml:space="preserve">Baay, </w:t>
      </w:r>
      <w:r w:rsidRPr="00CB7A6A">
        <w:rPr>
          <w:rFonts w:cs="Calibri"/>
          <w:i/>
          <w:iCs/>
        </w:rPr>
        <w:t>De Njai</w:t>
      </w:r>
      <w:r w:rsidRPr="00CB7A6A">
        <w:rPr>
          <w:rFonts w:cs="Calibri"/>
        </w:rPr>
        <w:t xml:space="preserve">, 30. </w:t>
      </w:r>
    </w:p>
  </w:footnote>
  <w:footnote w:id="126">
    <w:p w14:paraId="03F45D99"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Baay, </w:t>
      </w:r>
      <w:r w:rsidRPr="00CB7A6A">
        <w:rPr>
          <w:rFonts w:cs="Calibri"/>
          <w:i/>
          <w:iCs/>
        </w:rPr>
        <w:t>De Njai</w:t>
      </w:r>
      <w:r w:rsidRPr="00CB7A6A">
        <w:rPr>
          <w:rFonts w:cs="Calibri"/>
        </w:rPr>
        <w:t xml:space="preserve">, 31. </w:t>
      </w:r>
    </w:p>
  </w:footnote>
  <w:footnote w:id="127">
    <w:p w14:paraId="50B77B4A" w14:textId="77777777" w:rsidR="009847E8" w:rsidRPr="009847E8" w:rsidRDefault="009847E8" w:rsidP="001D6CB4">
      <w:pPr>
        <w:pStyle w:val="FootnoteText"/>
        <w:rPr>
          <w:rFonts w:cs="Calibri"/>
          <w:lang w:val="nl-NL"/>
        </w:rPr>
      </w:pPr>
      <w:r w:rsidRPr="0024560C">
        <w:rPr>
          <w:rStyle w:val="FootnoteReference"/>
          <w:rFonts w:cs="Calibri"/>
        </w:rPr>
        <w:footnoteRef/>
      </w:r>
      <w:r w:rsidRPr="0024560C">
        <w:rPr>
          <w:rFonts w:cs="Calibri"/>
        </w:rPr>
        <w:t xml:space="preserve"> Kees van Dijk, </w:t>
      </w:r>
      <w:r>
        <w:rPr>
          <w:rFonts w:cs="Calibri"/>
        </w:rPr>
        <w:t>“</w:t>
      </w:r>
      <w:r w:rsidRPr="0024560C">
        <w:rPr>
          <w:rFonts w:cs="Calibri"/>
        </w:rPr>
        <w:t>Soap is the onset of civilization,</w:t>
      </w:r>
      <w:r>
        <w:rPr>
          <w:rFonts w:cs="Calibri"/>
        </w:rPr>
        <w:t>”</w:t>
      </w:r>
      <w:r w:rsidRPr="0024560C">
        <w:rPr>
          <w:rFonts w:cs="Calibri"/>
        </w:rPr>
        <w:t xml:space="preserve"> in </w:t>
      </w:r>
      <w:r w:rsidRPr="0024560C">
        <w:rPr>
          <w:rFonts w:cs="Calibri"/>
          <w:i/>
          <w:iCs/>
        </w:rPr>
        <w:t>Cleanliness and Culture</w:t>
      </w:r>
      <w:r w:rsidRPr="0024560C">
        <w:rPr>
          <w:rFonts w:cs="Calibri"/>
        </w:rPr>
        <w:t>,</w:t>
      </w:r>
      <w:r>
        <w:rPr>
          <w:rFonts w:cs="Calibri"/>
        </w:rPr>
        <w:t xml:space="preserve"> ed. </w:t>
      </w:r>
      <w:r w:rsidRPr="009847E8">
        <w:rPr>
          <w:rFonts w:cs="Calibri"/>
          <w:lang w:val="nl-NL"/>
        </w:rPr>
        <w:t xml:space="preserve">Kees van Dijk and Jean Gelman Taylor (Brill, 2011), 16. </w:t>
      </w:r>
    </w:p>
  </w:footnote>
  <w:footnote w:id="128">
    <w:p w14:paraId="2A01B561" w14:textId="77777777" w:rsidR="009847E8" w:rsidRPr="009847E8" w:rsidRDefault="009847E8" w:rsidP="001D6CB4">
      <w:pPr>
        <w:pStyle w:val="FootnoteText"/>
        <w:rPr>
          <w:rFonts w:cs="Calibri"/>
          <w:lang w:val="nl-NL"/>
        </w:rPr>
      </w:pPr>
      <w:r w:rsidRPr="00CB7A6A">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33. </w:t>
      </w:r>
    </w:p>
  </w:footnote>
  <w:footnote w:id="129">
    <w:p w14:paraId="1E980882" w14:textId="77777777" w:rsidR="009847E8" w:rsidRPr="00582E56" w:rsidRDefault="009847E8" w:rsidP="001D6CB4">
      <w:pPr>
        <w:pStyle w:val="FootnoteText"/>
        <w:rPr>
          <w:rFonts w:cs="Calibri"/>
        </w:rPr>
      </w:pPr>
      <w:r w:rsidRPr="00CB7A6A">
        <w:rPr>
          <w:rStyle w:val="FootnoteReference"/>
          <w:rFonts w:cs="Calibri"/>
        </w:rPr>
        <w:footnoteRef/>
      </w:r>
      <w:r w:rsidRPr="00CB7A6A">
        <w:rPr>
          <w:rFonts w:cs="Calibri"/>
        </w:rPr>
        <w:t xml:space="preserve"> </w:t>
      </w:r>
      <w:r w:rsidRPr="00577A21">
        <w:rPr>
          <w:rFonts w:cs="Calibri"/>
        </w:rPr>
        <w:t xml:space="preserve">Taylor, </w:t>
      </w:r>
      <w:r w:rsidRPr="00577A21">
        <w:rPr>
          <w:rFonts w:cs="Calibri"/>
          <w:i/>
          <w:iCs/>
        </w:rPr>
        <w:t>Social World of Batavia</w:t>
      </w:r>
      <w:r>
        <w:rPr>
          <w:rFonts w:cs="Calibri"/>
        </w:rPr>
        <w:t xml:space="preserve">, 115; </w:t>
      </w:r>
      <w:r w:rsidRPr="00CB7A6A">
        <w:rPr>
          <w:rFonts w:cs="Calibri"/>
        </w:rPr>
        <w:t xml:space="preserve">Baay, </w:t>
      </w:r>
      <w:r w:rsidRPr="00CB7A6A">
        <w:rPr>
          <w:rFonts w:cs="Calibri"/>
          <w:i/>
          <w:iCs/>
        </w:rPr>
        <w:t>De Njai</w:t>
      </w:r>
      <w:r w:rsidRPr="00CB7A6A">
        <w:rPr>
          <w:rFonts w:cs="Calibri"/>
        </w:rPr>
        <w:t>, 32.</w:t>
      </w:r>
    </w:p>
  </w:footnote>
  <w:footnote w:id="130">
    <w:p w14:paraId="498B1487" w14:textId="77777777" w:rsidR="009847E8" w:rsidRDefault="009847E8" w:rsidP="00910696">
      <w:pPr>
        <w:pStyle w:val="FootnoteText"/>
      </w:pPr>
      <w:r>
        <w:rPr>
          <w:rStyle w:val="FootnoteReference"/>
        </w:rPr>
        <w:footnoteRef/>
      </w:r>
      <w:r>
        <w:t xml:space="preserve"> </w:t>
      </w:r>
      <w:r w:rsidRPr="00577A21">
        <w:rPr>
          <w:rFonts w:cs="Calibri"/>
        </w:rPr>
        <w:t xml:space="preserve">Taylor, </w:t>
      </w:r>
      <w:r w:rsidRPr="00577A21">
        <w:rPr>
          <w:rFonts w:cs="Calibri"/>
          <w:i/>
          <w:iCs/>
        </w:rPr>
        <w:t>Social World of Batavia</w:t>
      </w:r>
      <w:r>
        <w:rPr>
          <w:rFonts w:cs="Calibri"/>
          <w:i/>
          <w:iCs/>
        </w:rPr>
        <w:t xml:space="preserve">, </w:t>
      </w:r>
      <w:r w:rsidRPr="00577A21">
        <w:rPr>
          <w:rFonts w:cs="Calibri"/>
        </w:rPr>
        <w:t>116</w:t>
      </w:r>
      <w:r>
        <w:rPr>
          <w:rFonts w:cs="Calibri"/>
          <w:i/>
          <w:iCs/>
        </w:rPr>
        <w:t xml:space="preserve">. </w:t>
      </w:r>
    </w:p>
  </w:footnote>
  <w:footnote w:id="131">
    <w:p w14:paraId="779F6CCF"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w:t>
      </w:r>
      <w:r w:rsidRPr="00577A21">
        <w:rPr>
          <w:rFonts w:cs="Calibri"/>
        </w:rPr>
        <w:t xml:space="preserve">Taylor, </w:t>
      </w:r>
      <w:r w:rsidRPr="00577A21">
        <w:rPr>
          <w:rFonts w:cs="Calibri"/>
          <w:i/>
          <w:iCs/>
        </w:rPr>
        <w:t>Social World of Batavia</w:t>
      </w:r>
      <w:r>
        <w:rPr>
          <w:rFonts w:cs="Calibri"/>
        </w:rPr>
        <w:t>, 147.</w:t>
      </w:r>
    </w:p>
  </w:footnote>
  <w:footnote w:id="132">
    <w:p w14:paraId="3A1E4560" w14:textId="77777777" w:rsidR="009847E8" w:rsidRPr="00CB7A6A" w:rsidRDefault="009847E8" w:rsidP="001D6CB4">
      <w:pPr>
        <w:pStyle w:val="FootnoteText"/>
        <w:rPr>
          <w:rFonts w:cs="Calibri"/>
        </w:rPr>
      </w:pPr>
      <w:r w:rsidRPr="00CB7A6A">
        <w:rPr>
          <w:rStyle w:val="FootnoteReference"/>
          <w:rFonts w:cs="Calibri"/>
        </w:rPr>
        <w:footnoteRef/>
      </w:r>
      <w:r w:rsidRPr="00CB7A6A">
        <w:rPr>
          <w:rFonts w:cs="Calibri"/>
        </w:rPr>
        <w:t xml:space="preserve"> Baay, </w:t>
      </w:r>
      <w:r w:rsidRPr="00CB7A6A">
        <w:rPr>
          <w:rFonts w:cs="Calibri"/>
          <w:i/>
          <w:iCs/>
        </w:rPr>
        <w:t>De Njai</w:t>
      </w:r>
      <w:r w:rsidRPr="00CB7A6A">
        <w:rPr>
          <w:rFonts w:cs="Calibri"/>
        </w:rPr>
        <w:t>, 34</w:t>
      </w:r>
      <w:r w:rsidRPr="00E0664E">
        <w:rPr>
          <w:rFonts w:cs="Calibri"/>
          <w:lang w:val="en-US"/>
        </w:rPr>
        <w:t xml:space="preserve">. Such marriages required special permission of the governor, as marriage prohibitions were not lifted until 1848, see Betty de Hart, </w:t>
      </w:r>
      <w:r w:rsidRPr="00E0664E">
        <w:rPr>
          <w:rFonts w:cs="Calibri"/>
          <w:i/>
          <w:iCs/>
          <w:lang w:val="en-US"/>
        </w:rPr>
        <w:t>Unlikely Couples: Regulating Mixed Sex and Marriage from the Dutch Colonies to European Migration Law</w:t>
      </w:r>
      <w:r w:rsidRPr="00E0664E">
        <w:rPr>
          <w:rFonts w:cs="Calibri"/>
          <w:lang w:val="en-US"/>
        </w:rPr>
        <w:t xml:space="preserve"> (Wolf Legal Publishers, 2</w:t>
      </w:r>
      <w:r w:rsidRPr="00E0664E">
        <w:rPr>
          <w:rFonts w:cs="Calibri"/>
        </w:rPr>
        <w:t>014), 15.</w:t>
      </w:r>
      <w:r w:rsidRPr="00CB7A6A">
        <w:rPr>
          <w:rFonts w:cs="Calibri"/>
        </w:rPr>
        <w:t xml:space="preserve"> </w:t>
      </w:r>
    </w:p>
  </w:footnote>
  <w:footnote w:id="133">
    <w:p w14:paraId="3658373D" w14:textId="77777777" w:rsidR="009847E8" w:rsidRPr="009847E8" w:rsidRDefault="009847E8" w:rsidP="001D6CB4">
      <w:pPr>
        <w:pStyle w:val="FootnoteText"/>
        <w:rPr>
          <w:rFonts w:cs="Calibri"/>
          <w:lang w:val="nl-NL"/>
        </w:rPr>
      </w:pPr>
      <w:r w:rsidRPr="00DC1374">
        <w:rPr>
          <w:rStyle w:val="FootnoteReference"/>
          <w:rFonts w:cs="Calibri"/>
        </w:rPr>
        <w:footnoteRef/>
      </w:r>
      <w:r w:rsidRPr="009847E8">
        <w:rPr>
          <w:rFonts w:cs="Calibri"/>
          <w:lang w:val="nl-NL"/>
        </w:rPr>
        <w:t xml:space="preserve"> Guno Jones, </w:t>
      </w:r>
      <w:r w:rsidRPr="009847E8">
        <w:rPr>
          <w:rFonts w:cs="Calibri"/>
          <w:i/>
          <w:iCs/>
          <w:lang w:val="nl-NL"/>
        </w:rPr>
        <w:t>Tussen onderdanen, rijksgenoten en Nederlands: Nederlandse politici over burgers uit oost en west en Nederland, 1945-2005</w:t>
      </w:r>
      <w:r w:rsidRPr="009847E8">
        <w:rPr>
          <w:rFonts w:cs="Calibri"/>
          <w:lang w:val="nl-NL"/>
        </w:rPr>
        <w:t xml:space="preserve"> (Rozenberg, 2007).</w:t>
      </w:r>
    </w:p>
  </w:footnote>
  <w:footnote w:id="134">
    <w:p w14:paraId="714BDDF3" w14:textId="77777777" w:rsidR="009847E8" w:rsidRPr="00CF3827" w:rsidRDefault="009847E8">
      <w:pPr>
        <w:pStyle w:val="FootnoteText"/>
        <w:rPr>
          <w:lang w:val="en-US"/>
        </w:rPr>
      </w:pPr>
      <w:r>
        <w:rPr>
          <w:rStyle w:val="FootnoteReference"/>
        </w:rPr>
        <w:footnoteRef/>
      </w:r>
      <w:r w:rsidRPr="00CF3827">
        <w:rPr>
          <w:rFonts w:cs="Calibri"/>
          <w:lang w:val="en-US"/>
        </w:rPr>
        <w:t xml:space="preserve"> Taylor, </w:t>
      </w:r>
      <w:r w:rsidRPr="00CF3827">
        <w:rPr>
          <w:rFonts w:cs="Calibri"/>
          <w:i/>
          <w:iCs/>
          <w:lang w:val="en-US"/>
        </w:rPr>
        <w:t>Social World of Batavia</w:t>
      </w:r>
      <w:r w:rsidRPr="00CF3827">
        <w:rPr>
          <w:rFonts w:cs="Calibri"/>
          <w:lang w:val="en-US"/>
        </w:rPr>
        <w:t>, 147.</w:t>
      </w:r>
      <w:r>
        <w:rPr>
          <w:rFonts w:cs="Calibri"/>
          <w:sz w:val="22"/>
          <w:szCs w:val="22"/>
          <w:lang w:val="en-US"/>
        </w:rPr>
        <w:t xml:space="preserve"> </w:t>
      </w:r>
    </w:p>
  </w:footnote>
  <w:footnote w:id="135">
    <w:p w14:paraId="068E955D" w14:textId="77777777" w:rsidR="009847E8" w:rsidRPr="009847E8" w:rsidRDefault="009847E8" w:rsidP="001D6CB4">
      <w:pPr>
        <w:pStyle w:val="FootnoteText"/>
        <w:rPr>
          <w:lang w:val="nl-NL"/>
        </w:rPr>
      </w:pPr>
      <w:r>
        <w:rPr>
          <w:rStyle w:val="FootnoteReference"/>
        </w:rPr>
        <w:footnoteRef/>
      </w:r>
      <w:r w:rsidRPr="009847E8">
        <w:rPr>
          <w:lang w:val="nl-NL"/>
        </w:rPr>
        <w:t xml:space="preserve"> </w:t>
      </w:r>
      <w:r w:rsidRPr="009847E8">
        <w:rPr>
          <w:rFonts w:cs="Calibri"/>
          <w:lang w:val="nl-NL"/>
        </w:rPr>
        <w:t xml:space="preserve">Petra Groen, </w:t>
      </w:r>
      <w:r w:rsidRPr="009847E8">
        <w:rPr>
          <w:rFonts w:cs="Calibri"/>
          <w:lang w:val="nl-NL"/>
        </w:rPr>
        <w:t>“</w:t>
      </w:r>
      <w:r w:rsidRPr="009847E8">
        <w:rPr>
          <w:rFonts w:cs="Calibri"/>
          <w:lang w:val="nl-NL"/>
        </w:rPr>
        <w:t>Aan de rand van de tangsi: Het Kazerneconcubinaat in het KNIL,</w:t>
      </w:r>
      <w:r w:rsidRPr="009847E8">
        <w:rPr>
          <w:rFonts w:cs="Calibri"/>
          <w:lang w:val="nl-NL"/>
        </w:rPr>
        <w:t>”</w:t>
      </w:r>
      <w:r w:rsidRPr="009847E8">
        <w:rPr>
          <w:rFonts w:cs="Calibri"/>
          <w:lang w:val="nl-NL"/>
        </w:rPr>
        <w:t xml:space="preserve"> </w:t>
      </w:r>
      <w:r w:rsidRPr="009847E8">
        <w:rPr>
          <w:rFonts w:cs="Calibri"/>
          <w:i/>
          <w:iCs/>
          <w:lang w:val="nl-NL"/>
        </w:rPr>
        <w:t>Militaire Spectator</w:t>
      </w:r>
      <w:r w:rsidRPr="009847E8">
        <w:rPr>
          <w:rFonts w:cs="Calibri"/>
          <w:lang w:val="nl-NL"/>
        </w:rPr>
        <w:t xml:space="preserve"> 178, no. 3 (2009): 124.</w:t>
      </w:r>
    </w:p>
  </w:footnote>
  <w:footnote w:id="136">
    <w:p w14:paraId="2704BB6C" w14:textId="77777777" w:rsidR="009847E8" w:rsidRPr="00DC1374" w:rsidRDefault="009847E8" w:rsidP="001D6CB4">
      <w:pPr>
        <w:pStyle w:val="FootnoteText"/>
        <w:rPr>
          <w:rFonts w:cs="Calibri"/>
        </w:rPr>
      </w:pPr>
      <w:r w:rsidRPr="00DC1374">
        <w:rPr>
          <w:rStyle w:val="FootnoteReference"/>
          <w:rFonts w:cs="Calibri"/>
        </w:rPr>
        <w:footnoteRef/>
      </w:r>
      <w:r w:rsidRPr="00DC1374">
        <w:rPr>
          <w:rFonts w:cs="Calibri"/>
        </w:rPr>
        <w:t xml:space="preserve"> Ming,</w:t>
      </w:r>
      <w:r>
        <w:rPr>
          <w:rFonts w:cs="Calibri"/>
        </w:rPr>
        <w:t xml:space="preserve"> </w:t>
      </w:r>
      <w:r>
        <w:rPr>
          <w:rFonts w:cs="Calibri"/>
        </w:rPr>
        <w:t>“</w:t>
      </w:r>
      <w:r w:rsidRPr="00DC1374">
        <w:rPr>
          <w:rFonts w:cs="Calibri"/>
        </w:rPr>
        <w:t>Barrack Concubinage in the Indies,</w:t>
      </w:r>
      <w:r>
        <w:rPr>
          <w:rFonts w:cs="Calibri"/>
        </w:rPr>
        <w:t>”</w:t>
      </w:r>
      <w:r w:rsidRPr="00DC1374">
        <w:rPr>
          <w:rFonts w:cs="Calibri"/>
        </w:rPr>
        <w:t xml:space="preserve"> 65. </w:t>
      </w:r>
    </w:p>
  </w:footnote>
  <w:footnote w:id="137">
    <w:p w14:paraId="7B96DF45" w14:textId="77777777" w:rsidR="009847E8" w:rsidRPr="00DC1374" w:rsidRDefault="009847E8" w:rsidP="001D6CB4">
      <w:pPr>
        <w:pStyle w:val="FootnoteText"/>
        <w:rPr>
          <w:rFonts w:cs="Calibri"/>
        </w:rPr>
      </w:pPr>
      <w:r w:rsidRPr="00DC1374">
        <w:rPr>
          <w:rStyle w:val="FootnoteReference"/>
          <w:rFonts w:cs="Calibri"/>
        </w:rPr>
        <w:footnoteRef/>
      </w:r>
      <w:r w:rsidRPr="00DC1374">
        <w:rPr>
          <w:rFonts w:cs="Calibri"/>
        </w:rPr>
        <w:t xml:space="preserve"> Baay, </w:t>
      </w:r>
      <w:r w:rsidRPr="00DC1374">
        <w:rPr>
          <w:rFonts w:cs="Calibri"/>
          <w:i/>
          <w:iCs/>
        </w:rPr>
        <w:t>De Njai</w:t>
      </w:r>
      <w:r w:rsidRPr="00DC1374">
        <w:rPr>
          <w:rFonts w:cs="Calibri"/>
        </w:rPr>
        <w:t>, 127.</w:t>
      </w:r>
    </w:p>
  </w:footnote>
  <w:footnote w:id="138">
    <w:p w14:paraId="66004D61" w14:textId="77777777" w:rsidR="009847E8" w:rsidRPr="00DC1374" w:rsidRDefault="009847E8" w:rsidP="001D6CB4">
      <w:pPr>
        <w:pStyle w:val="FootnoteText"/>
        <w:rPr>
          <w:rFonts w:cs="Calibri"/>
        </w:rPr>
      </w:pPr>
      <w:r w:rsidRPr="00DC1374">
        <w:rPr>
          <w:rStyle w:val="FootnoteReference"/>
          <w:rFonts w:cs="Calibri"/>
        </w:rPr>
        <w:footnoteRef/>
      </w:r>
      <w:r w:rsidRPr="00DC1374">
        <w:rPr>
          <w:rFonts w:cs="Calibri"/>
        </w:rPr>
        <w:t xml:space="preserve"> Hanneke Ming, </w:t>
      </w:r>
      <w:r>
        <w:rPr>
          <w:rFonts w:cs="Calibri"/>
        </w:rPr>
        <w:t>“</w:t>
      </w:r>
      <w:r w:rsidRPr="00DC1374">
        <w:rPr>
          <w:rFonts w:cs="Calibri"/>
        </w:rPr>
        <w:t>Barracks-Concubinage in the Indies, 1887-1920,</w:t>
      </w:r>
      <w:r>
        <w:rPr>
          <w:rFonts w:cs="Calibri"/>
        </w:rPr>
        <w:t>”</w:t>
      </w:r>
      <w:r w:rsidRPr="00DC1374">
        <w:rPr>
          <w:rFonts w:cs="Calibri"/>
        </w:rPr>
        <w:t xml:space="preserve"> </w:t>
      </w:r>
      <w:r w:rsidRPr="00A26FD7">
        <w:rPr>
          <w:rFonts w:cs="Calibri"/>
          <w:i/>
          <w:iCs/>
        </w:rPr>
        <w:t>Indonesia</w:t>
      </w:r>
      <w:r w:rsidRPr="00A26FD7">
        <w:rPr>
          <w:rFonts w:cs="Calibri"/>
        </w:rPr>
        <w:t xml:space="preserve">, no. 35 (1983): </w:t>
      </w:r>
      <w:r w:rsidRPr="00DC1374">
        <w:rPr>
          <w:rFonts w:cs="Calibri"/>
        </w:rPr>
        <w:t>86.</w:t>
      </w:r>
    </w:p>
  </w:footnote>
  <w:footnote w:id="139">
    <w:p w14:paraId="34A5710F" w14:textId="77777777" w:rsidR="009847E8" w:rsidRPr="009847E8" w:rsidRDefault="009847E8" w:rsidP="001D6CB4">
      <w:pPr>
        <w:pStyle w:val="FootnoteText"/>
        <w:rPr>
          <w:lang w:val="nl-NL"/>
        </w:rPr>
      </w:pPr>
      <w:r>
        <w:rPr>
          <w:rStyle w:val="FootnoteReference"/>
        </w:rPr>
        <w:footnoteRef/>
      </w:r>
      <w:r w:rsidRPr="009847E8">
        <w:rPr>
          <w:lang w:val="nl-NL"/>
        </w:rPr>
        <w:t xml:space="preserve"> </w:t>
      </w:r>
      <w:r w:rsidRPr="009847E8">
        <w:rPr>
          <w:rFonts w:cs="Calibri"/>
          <w:lang w:val="nl-NL"/>
        </w:rPr>
        <w:t xml:space="preserve">Groen, </w:t>
      </w:r>
      <w:r w:rsidRPr="009847E8">
        <w:rPr>
          <w:rFonts w:cs="Calibri"/>
          <w:lang w:val="nl-NL"/>
        </w:rPr>
        <w:t>“</w:t>
      </w:r>
      <w:r w:rsidRPr="009847E8">
        <w:rPr>
          <w:rFonts w:cs="Calibri"/>
          <w:lang w:val="nl-NL"/>
        </w:rPr>
        <w:t>Aan de rand van de tangsi,</w:t>
      </w:r>
      <w:r w:rsidRPr="009847E8">
        <w:rPr>
          <w:rFonts w:cs="Calibri"/>
          <w:lang w:val="nl-NL"/>
        </w:rPr>
        <w:t>”</w:t>
      </w:r>
      <w:r w:rsidRPr="009847E8">
        <w:rPr>
          <w:rFonts w:cs="Calibri"/>
          <w:lang w:val="nl-NL"/>
        </w:rPr>
        <w:t xml:space="preserve"> 126. </w:t>
      </w:r>
    </w:p>
  </w:footnote>
  <w:footnote w:id="140">
    <w:p w14:paraId="49EF18BA" w14:textId="77777777" w:rsidR="009847E8" w:rsidRPr="009847E8" w:rsidRDefault="009847E8" w:rsidP="001D6CB4">
      <w:pPr>
        <w:pStyle w:val="FootnoteText"/>
        <w:rPr>
          <w:rFonts w:cs="Calibri"/>
          <w:lang w:val="nl-NL"/>
        </w:rPr>
      </w:pPr>
      <w:r w:rsidRPr="00DC1374">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128. </w:t>
      </w:r>
    </w:p>
  </w:footnote>
  <w:footnote w:id="141">
    <w:p w14:paraId="74946DF6" w14:textId="77777777" w:rsidR="009847E8" w:rsidRPr="009847E8" w:rsidRDefault="009847E8" w:rsidP="001D6CB4">
      <w:pPr>
        <w:pStyle w:val="FootnoteText"/>
        <w:rPr>
          <w:rFonts w:cs="Calibri"/>
          <w:lang w:val="nl-NL"/>
        </w:rPr>
      </w:pPr>
      <w:r w:rsidRPr="00DC1374">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129; Groen, </w:t>
      </w:r>
      <w:r w:rsidRPr="009847E8">
        <w:rPr>
          <w:rFonts w:cs="Calibri"/>
          <w:lang w:val="nl-NL"/>
        </w:rPr>
        <w:t>“</w:t>
      </w:r>
      <w:r w:rsidRPr="009847E8">
        <w:rPr>
          <w:rFonts w:cs="Calibri"/>
          <w:lang w:val="nl-NL"/>
        </w:rPr>
        <w:t>Aan de rand van de tangsi.</w:t>
      </w:r>
      <w:r w:rsidRPr="009847E8">
        <w:rPr>
          <w:rFonts w:cs="Calibri"/>
          <w:lang w:val="nl-NL"/>
        </w:rPr>
        <w:t>”</w:t>
      </w:r>
      <w:r w:rsidRPr="009847E8">
        <w:rPr>
          <w:rFonts w:cs="Calibri"/>
          <w:lang w:val="nl-NL"/>
        </w:rPr>
        <w:t xml:space="preserve"> 125. </w:t>
      </w:r>
    </w:p>
  </w:footnote>
  <w:footnote w:id="142">
    <w:p w14:paraId="7D4B60C3" w14:textId="77777777" w:rsidR="009847E8" w:rsidRPr="009847E8" w:rsidRDefault="009847E8" w:rsidP="001D6CB4">
      <w:pPr>
        <w:pStyle w:val="FootnoteText"/>
        <w:rPr>
          <w:rFonts w:cs="Calibri"/>
          <w:lang w:val="nl-NL"/>
        </w:rPr>
      </w:pPr>
      <w:r w:rsidRPr="00DC1374">
        <w:rPr>
          <w:rStyle w:val="FootnoteReference"/>
          <w:rFonts w:cs="Calibri"/>
        </w:rPr>
        <w:footnoteRef/>
      </w:r>
      <w:r w:rsidRPr="009847E8">
        <w:rPr>
          <w:rFonts w:cs="Calibri"/>
          <w:lang w:val="nl-NL"/>
        </w:rPr>
        <w:t xml:space="preserve"> Martin Bossenboek, </w:t>
      </w:r>
      <w:r w:rsidRPr="009847E8">
        <w:rPr>
          <w:rFonts w:cs="Calibri"/>
          <w:i/>
          <w:iCs/>
          <w:lang w:val="nl-NL"/>
        </w:rPr>
        <w:t>Volk voor Indi</w:t>
      </w:r>
      <w:r w:rsidRPr="009847E8">
        <w:rPr>
          <w:rFonts w:cs="Calibri"/>
          <w:i/>
          <w:iCs/>
          <w:lang w:val="nl-NL"/>
        </w:rPr>
        <w:t>ë</w:t>
      </w:r>
      <w:r w:rsidRPr="009847E8">
        <w:rPr>
          <w:rFonts w:cs="Calibri"/>
          <w:i/>
          <w:iCs/>
          <w:lang w:val="nl-NL"/>
        </w:rPr>
        <w:t xml:space="preserve"> </w:t>
      </w:r>
      <w:r w:rsidRPr="009847E8">
        <w:rPr>
          <w:rFonts w:cs="Calibri"/>
          <w:lang w:val="nl-NL"/>
        </w:rPr>
        <w:t xml:space="preserve">(Uitgeverij de Bataafsche Leeuw, 1992), 210. </w:t>
      </w:r>
    </w:p>
  </w:footnote>
  <w:footnote w:id="143">
    <w:p w14:paraId="4FCC1658" w14:textId="77777777" w:rsidR="009847E8" w:rsidRPr="009847E8" w:rsidRDefault="009847E8" w:rsidP="001D6CB4">
      <w:pPr>
        <w:pStyle w:val="FootnoteText"/>
        <w:rPr>
          <w:rFonts w:cs="Calibri"/>
          <w:lang w:val="nl-NL"/>
        </w:rPr>
      </w:pPr>
      <w:r w:rsidRPr="00DC1374">
        <w:rPr>
          <w:rStyle w:val="FootnoteReference"/>
          <w:rFonts w:cs="Calibri"/>
        </w:rPr>
        <w:footnoteRef/>
      </w:r>
      <w:r w:rsidRPr="009847E8">
        <w:rPr>
          <w:rFonts w:cs="Calibri"/>
          <w:lang w:val="nl-NL"/>
        </w:rPr>
        <w:t xml:space="preserve"> Lin Scholte, Vilan van de Loo, </w:t>
      </w:r>
      <w:r w:rsidRPr="009847E8">
        <w:rPr>
          <w:rFonts w:cs="Calibri"/>
          <w:i/>
          <w:iCs/>
          <w:lang w:val="nl-NL"/>
        </w:rPr>
        <w:t>Verzamelde romans en verhalen van Lin Scholte</w:t>
      </w:r>
      <w:r w:rsidRPr="009847E8">
        <w:rPr>
          <w:rFonts w:cs="Calibri"/>
          <w:lang w:val="nl-NL"/>
        </w:rPr>
        <w:t xml:space="preserve"> (Stichting Tong Tong, 2007). </w:t>
      </w:r>
    </w:p>
  </w:footnote>
  <w:footnote w:id="144">
    <w:p w14:paraId="63821166" w14:textId="77777777" w:rsidR="009847E8" w:rsidRPr="009847E8" w:rsidRDefault="009847E8" w:rsidP="00FE2222">
      <w:pPr>
        <w:pStyle w:val="FootnoteText"/>
        <w:rPr>
          <w:lang w:val="nl-NL"/>
        </w:rPr>
      </w:pPr>
      <w:r>
        <w:rPr>
          <w:rStyle w:val="FootnoteReference"/>
        </w:rPr>
        <w:footnoteRef/>
      </w:r>
      <w:r w:rsidRPr="009847E8">
        <w:rPr>
          <w:rFonts w:cs="Calibri"/>
          <w:lang w:val="nl-NL"/>
        </w:rPr>
        <w:t xml:space="preserve"> Groen, </w:t>
      </w:r>
      <w:r w:rsidRPr="009847E8">
        <w:rPr>
          <w:rFonts w:cs="Calibri"/>
          <w:lang w:val="nl-NL"/>
        </w:rPr>
        <w:t>“</w:t>
      </w:r>
      <w:r w:rsidRPr="009847E8">
        <w:rPr>
          <w:rFonts w:cs="Calibri"/>
          <w:lang w:val="nl-NL"/>
        </w:rPr>
        <w:t>Aan de rand van de tangsi,</w:t>
      </w:r>
      <w:r w:rsidRPr="009847E8">
        <w:rPr>
          <w:rFonts w:cs="Calibri"/>
          <w:lang w:val="nl-NL"/>
        </w:rPr>
        <w:t>”</w:t>
      </w:r>
      <w:r w:rsidRPr="009847E8">
        <w:rPr>
          <w:rFonts w:cs="Calibri"/>
          <w:lang w:val="nl-NL"/>
        </w:rPr>
        <w:t xml:space="preserve"> 133. </w:t>
      </w:r>
    </w:p>
  </w:footnote>
  <w:footnote w:id="145">
    <w:p w14:paraId="0FE25152" w14:textId="77777777" w:rsidR="009847E8" w:rsidRPr="00E81550" w:rsidRDefault="009847E8" w:rsidP="00E81550">
      <w:pPr>
        <w:pStyle w:val="FootnoteText"/>
        <w:rPr>
          <w:lang w:val="en-US"/>
        </w:rPr>
      </w:pPr>
      <w:r>
        <w:rPr>
          <w:rStyle w:val="FootnoteReference"/>
        </w:rPr>
        <w:footnoteRef/>
      </w:r>
      <w:r>
        <w:t xml:space="preserve"> </w:t>
      </w:r>
      <w:r w:rsidRPr="00F16727">
        <w:rPr>
          <w:lang w:val="en-US"/>
        </w:rPr>
        <w:t>Following Hartman</w:t>
      </w:r>
      <w:r w:rsidRPr="00F16727">
        <w:rPr>
          <w:lang w:val="en-US"/>
        </w:rPr>
        <w:t>’</w:t>
      </w:r>
      <w:r w:rsidRPr="00F16727">
        <w:rPr>
          <w:lang w:val="en-US"/>
        </w:rPr>
        <w:t>s essay on the portrayal of enslaved women based on colonial archives, this question may be impossible to answer</w:t>
      </w:r>
      <w:r>
        <w:rPr>
          <w:lang w:val="en-US"/>
        </w:rPr>
        <w:t xml:space="preserve">: </w:t>
      </w:r>
      <w:r>
        <w:rPr>
          <w:lang w:val="en-US"/>
        </w:rPr>
        <w:t>‘</w:t>
      </w:r>
      <w:r w:rsidRPr="00E81550">
        <w:rPr>
          <w:lang w:val="en-US"/>
        </w:rPr>
        <w:t>There are hundreds of thousands of other girls who share her circumstances and these</w:t>
      </w:r>
      <w:r>
        <w:rPr>
          <w:lang w:val="en-US"/>
        </w:rPr>
        <w:t xml:space="preserve"> </w:t>
      </w:r>
      <w:r w:rsidRPr="00E81550">
        <w:rPr>
          <w:lang w:val="en-US"/>
        </w:rPr>
        <w:t>circumstances have generated few stories. And the stories that exist are not about them, but</w:t>
      </w:r>
      <w:r>
        <w:rPr>
          <w:lang w:val="en-US"/>
        </w:rPr>
        <w:t xml:space="preserve"> </w:t>
      </w:r>
      <w:r w:rsidRPr="00E81550">
        <w:rPr>
          <w:lang w:val="en-US"/>
        </w:rPr>
        <w:t>rather about the violence, excess, mendacity, and reason that seized hold of their lives, transformed them into commodities and corpses, and identified them with names tossed off as</w:t>
      </w:r>
      <w:r>
        <w:rPr>
          <w:lang w:val="en-US"/>
        </w:rPr>
        <w:t xml:space="preserve"> </w:t>
      </w:r>
      <w:r w:rsidRPr="00E81550">
        <w:rPr>
          <w:lang w:val="en-US"/>
        </w:rPr>
        <w:t>insults and crass jokes. The archive is, in this case, a death sentence, a tomb, a display of the</w:t>
      </w:r>
      <w:r>
        <w:rPr>
          <w:lang w:val="en-US"/>
        </w:rPr>
        <w:t xml:space="preserve"> </w:t>
      </w:r>
      <w:r w:rsidRPr="00E81550">
        <w:rPr>
          <w:lang w:val="en-US"/>
        </w:rPr>
        <w:t>violated body, an inventory of property, a medical treatise on gonorrhea, a few lines about a</w:t>
      </w:r>
      <w:r>
        <w:rPr>
          <w:lang w:val="en-US"/>
        </w:rPr>
        <w:t xml:space="preserve"> </w:t>
      </w:r>
      <w:r w:rsidRPr="00E81550">
        <w:rPr>
          <w:lang w:val="en-US"/>
        </w:rPr>
        <w:t>whore</w:t>
      </w:r>
      <w:r w:rsidRPr="00E81550">
        <w:rPr>
          <w:lang w:val="en-US"/>
        </w:rPr>
        <w:t>’</w:t>
      </w:r>
      <w:r w:rsidRPr="00E81550">
        <w:rPr>
          <w:lang w:val="en-US"/>
        </w:rPr>
        <w:t>s life, an asterisk in the grand narrative of history.</w:t>
      </w:r>
      <w:r>
        <w:rPr>
          <w:lang w:val="en-US"/>
        </w:rPr>
        <w:t>’</w:t>
      </w:r>
      <w:r>
        <w:rPr>
          <w:lang w:val="en-US"/>
        </w:rPr>
        <w:t xml:space="preserve"> See Saidiya Hartman, </w:t>
      </w:r>
      <w:r>
        <w:rPr>
          <w:lang w:val="en-US"/>
        </w:rPr>
        <w:t>“</w:t>
      </w:r>
      <w:r>
        <w:rPr>
          <w:lang w:val="en-US"/>
        </w:rPr>
        <w:t>Venus in Two Acts,</w:t>
      </w:r>
      <w:r>
        <w:rPr>
          <w:lang w:val="en-US"/>
        </w:rPr>
        <w:t>”</w:t>
      </w:r>
      <w:r w:rsidRPr="00705C3B">
        <w:rPr>
          <w:i/>
          <w:iCs/>
        </w:rPr>
        <w:t xml:space="preserve"> </w:t>
      </w:r>
      <w:r w:rsidRPr="003A0AF3">
        <w:rPr>
          <w:i/>
          <w:iCs/>
        </w:rPr>
        <w:t>Small Acts</w:t>
      </w:r>
      <w:r>
        <w:t xml:space="preserve"> 12, no. 2 (2008):</w:t>
      </w:r>
      <w:r>
        <w:rPr>
          <w:lang w:val="en-US"/>
        </w:rPr>
        <w:t xml:space="preserve"> 2. Nevertheless, this section aims to outline her social and legal position within the colonial society in the nineteenth and twentieth century. </w:t>
      </w:r>
    </w:p>
  </w:footnote>
  <w:footnote w:id="146">
    <w:p w14:paraId="78567367" w14:textId="77777777" w:rsidR="009847E8" w:rsidRPr="00871C24" w:rsidRDefault="009847E8" w:rsidP="001D6CB4">
      <w:pPr>
        <w:pStyle w:val="FootnoteText"/>
        <w:rPr>
          <w:rFonts w:cs="Calibri"/>
        </w:rPr>
      </w:pPr>
      <w:r w:rsidRPr="00871C24">
        <w:rPr>
          <w:rStyle w:val="FootnoteReference"/>
          <w:rFonts w:cs="Calibri"/>
        </w:rPr>
        <w:footnoteRef/>
      </w:r>
      <w:r w:rsidRPr="00871C24">
        <w:rPr>
          <w:rFonts w:cs="Calibri"/>
        </w:rPr>
        <w:t xml:space="preserve"> </w:t>
      </w:r>
      <w:r>
        <w:rPr>
          <w:rFonts w:cs="Calibri"/>
        </w:rPr>
        <w:t xml:space="preserve">Guno </w:t>
      </w:r>
      <w:r w:rsidRPr="00E30012">
        <w:rPr>
          <w:rFonts w:cs="Calibri"/>
          <w:lang w:val="en-US"/>
        </w:rPr>
        <w:t xml:space="preserve">Jones, </w:t>
      </w:r>
      <w:r>
        <w:rPr>
          <w:rFonts w:cs="Calibri"/>
          <w:lang w:val="en-US"/>
        </w:rPr>
        <w:t>“</w:t>
      </w:r>
      <w:r w:rsidRPr="00E30012">
        <w:rPr>
          <w:rFonts w:cs="Calibri"/>
          <w:lang w:val="en-US"/>
        </w:rPr>
        <w:t>Dutch Politics of Intimacy in Colony and Metropole and Their Afterlives: Reflections on a Shifting Political Economy of Intimacy,</w:t>
      </w:r>
      <w:r>
        <w:rPr>
          <w:rFonts w:cs="Calibri"/>
          <w:lang w:val="en-US"/>
        </w:rPr>
        <w:t>”</w:t>
      </w:r>
      <w:r w:rsidRPr="00E30012">
        <w:rPr>
          <w:rFonts w:cs="Calibri"/>
          <w:lang w:val="en-US"/>
        </w:rPr>
        <w:t xml:space="preserve"> in </w:t>
      </w:r>
      <w:r w:rsidRPr="00E30012">
        <w:rPr>
          <w:rFonts w:cs="Calibri"/>
          <w:i/>
          <w:iCs/>
          <w:lang w:val="en-US"/>
        </w:rPr>
        <w:t>Regulating Interracialized Intimacies</w:t>
      </w:r>
      <w:r w:rsidRPr="00E30012">
        <w:rPr>
          <w:rFonts w:cs="Calibri"/>
          <w:lang w:val="en-US"/>
        </w:rPr>
        <w:t>, ed. Elena Zambeli and Betty de Hart (Routledge, 2025), 62.</w:t>
      </w:r>
      <w:r w:rsidRPr="00871C24">
        <w:rPr>
          <w:rFonts w:cs="Calibri"/>
        </w:rPr>
        <w:t xml:space="preserve"> </w:t>
      </w:r>
    </w:p>
  </w:footnote>
  <w:footnote w:id="147">
    <w:p w14:paraId="27963499"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Jones, </w:t>
      </w:r>
      <w:r>
        <w:rPr>
          <w:rFonts w:cs="Calibri"/>
        </w:rPr>
        <w:t>“</w:t>
      </w:r>
      <w:r w:rsidRPr="00842DB0">
        <w:rPr>
          <w:rFonts w:cs="Calibri"/>
        </w:rPr>
        <w:t>Dutch Politics of Intimacy</w:t>
      </w:r>
      <w:r>
        <w:rPr>
          <w:rFonts w:cs="Calibri"/>
        </w:rPr>
        <w:t>,</w:t>
      </w:r>
      <w:r>
        <w:rPr>
          <w:rFonts w:cs="Calibri"/>
        </w:rPr>
        <w:t>”</w:t>
      </w:r>
      <w:r>
        <w:rPr>
          <w:rFonts w:cs="Calibri"/>
        </w:rPr>
        <w:t xml:space="preserve"> </w:t>
      </w:r>
      <w:r w:rsidRPr="00842DB0">
        <w:rPr>
          <w:rFonts w:cs="Calibri"/>
        </w:rPr>
        <w:t>62.</w:t>
      </w:r>
    </w:p>
  </w:footnote>
  <w:footnote w:id="148">
    <w:p w14:paraId="486CA6ED"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Jones, </w:t>
      </w:r>
      <w:r>
        <w:rPr>
          <w:rFonts w:cs="Calibri"/>
        </w:rPr>
        <w:t>“</w:t>
      </w:r>
      <w:r w:rsidRPr="00842DB0">
        <w:rPr>
          <w:rFonts w:cs="Calibri"/>
        </w:rPr>
        <w:t>Dutch Politics of Intimacy,</w:t>
      </w:r>
      <w:r>
        <w:rPr>
          <w:rFonts w:cs="Calibri"/>
        </w:rPr>
        <w:t>”</w:t>
      </w:r>
      <w:r w:rsidRPr="00842DB0">
        <w:rPr>
          <w:rFonts w:cs="Calibri"/>
        </w:rPr>
        <w:t xml:space="preserve"> 63. </w:t>
      </w:r>
    </w:p>
  </w:footnote>
  <w:footnote w:id="149">
    <w:p w14:paraId="0B4CA7AB"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Jones, </w:t>
      </w:r>
      <w:r>
        <w:rPr>
          <w:rFonts w:cs="Calibri"/>
        </w:rPr>
        <w:t>“</w:t>
      </w:r>
      <w:r w:rsidRPr="00842DB0">
        <w:rPr>
          <w:rFonts w:cs="Calibri"/>
        </w:rPr>
        <w:t>Dutch Politics of Intimacy</w:t>
      </w:r>
      <w:r>
        <w:rPr>
          <w:rFonts w:cs="Calibri"/>
        </w:rPr>
        <w:t>,</w:t>
      </w:r>
      <w:r>
        <w:rPr>
          <w:rFonts w:cs="Calibri"/>
        </w:rPr>
        <w:t>”</w:t>
      </w:r>
      <w:r w:rsidRPr="00842DB0">
        <w:rPr>
          <w:rFonts w:cs="Calibri"/>
        </w:rPr>
        <w:t xml:space="preserve"> 65; Taylor, </w:t>
      </w:r>
      <w:r w:rsidRPr="00842DB0">
        <w:rPr>
          <w:rFonts w:cs="Calibri"/>
          <w:i/>
          <w:iCs/>
        </w:rPr>
        <w:t xml:space="preserve">The Social World of Batavia, </w:t>
      </w:r>
      <w:r w:rsidRPr="00842DB0">
        <w:rPr>
          <w:rFonts w:cs="Calibri"/>
        </w:rPr>
        <w:t>148.</w:t>
      </w:r>
    </w:p>
  </w:footnote>
  <w:footnote w:id="150">
    <w:p w14:paraId="16C90F3C" w14:textId="77777777" w:rsidR="009847E8" w:rsidRPr="009847E8" w:rsidRDefault="009847E8">
      <w:pPr>
        <w:pStyle w:val="FootnoteText"/>
        <w:rPr>
          <w:u w:val="single"/>
          <w:lang w:val="nl-NL"/>
        </w:rPr>
      </w:pPr>
      <w:r>
        <w:rPr>
          <w:rStyle w:val="FootnoteReference"/>
        </w:rPr>
        <w:footnoteRef/>
      </w:r>
      <w:r w:rsidRPr="009847E8">
        <w:rPr>
          <w:lang w:val="nl-NL"/>
        </w:rPr>
        <w:t xml:space="preserve"> Hans Meijer, </w:t>
      </w:r>
      <w:r w:rsidRPr="009847E8">
        <w:rPr>
          <w:i/>
          <w:iCs/>
          <w:lang w:val="nl-NL"/>
        </w:rPr>
        <w:t>In Indi</w:t>
      </w:r>
      <w:r w:rsidRPr="009847E8">
        <w:rPr>
          <w:i/>
          <w:iCs/>
          <w:lang w:val="nl-NL"/>
        </w:rPr>
        <w:t>ë</w:t>
      </w:r>
      <w:r w:rsidRPr="009847E8">
        <w:rPr>
          <w:i/>
          <w:iCs/>
          <w:lang w:val="nl-NL"/>
        </w:rPr>
        <w:t xml:space="preserve"> Geworteld</w:t>
      </w:r>
      <w:r w:rsidRPr="009847E8">
        <w:rPr>
          <w:lang w:val="nl-NL"/>
        </w:rPr>
        <w:t>, (Bert Bakker, 2004), 33.</w:t>
      </w:r>
      <w:r w:rsidRPr="009847E8">
        <w:rPr>
          <w:u w:val="single"/>
          <w:lang w:val="nl-NL"/>
        </w:rPr>
        <w:t xml:space="preserve"> </w:t>
      </w:r>
    </w:p>
  </w:footnote>
  <w:footnote w:id="151">
    <w:p w14:paraId="3A5A288B" w14:textId="77777777" w:rsidR="009847E8" w:rsidRPr="009847E8" w:rsidRDefault="009847E8" w:rsidP="001D6CB4">
      <w:pPr>
        <w:pStyle w:val="FootnoteText"/>
        <w:rPr>
          <w:rFonts w:cs="Calibri"/>
          <w:lang w:val="nl-NL"/>
        </w:rPr>
      </w:pPr>
      <w:r w:rsidRPr="00842DB0">
        <w:rPr>
          <w:rStyle w:val="FootnoteReference"/>
          <w:rFonts w:cs="Calibri"/>
        </w:rPr>
        <w:footnoteRef/>
      </w:r>
      <w:r w:rsidRPr="009847E8">
        <w:rPr>
          <w:rFonts w:cs="Calibri"/>
          <w:lang w:val="nl-NL"/>
        </w:rPr>
        <w:t xml:space="preserve"> W.L. Ritter, </w:t>
      </w:r>
      <w:r w:rsidRPr="009847E8">
        <w:rPr>
          <w:rFonts w:cs="Calibri"/>
          <w:i/>
          <w:iCs/>
          <w:lang w:val="nl-NL"/>
        </w:rPr>
        <w:t>De Europeaan in Nederlandsch-Indi</w:t>
      </w:r>
      <w:r w:rsidRPr="009847E8">
        <w:rPr>
          <w:rFonts w:cs="Calibri"/>
          <w:i/>
          <w:iCs/>
          <w:lang w:val="nl-NL"/>
        </w:rPr>
        <w:t>ë</w:t>
      </w:r>
      <w:r w:rsidRPr="009847E8">
        <w:rPr>
          <w:rFonts w:cs="Calibri"/>
          <w:lang w:val="nl-NL"/>
        </w:rPr>
        <w:t xml:space="preserve">, (Sijthoff, 1856), 19. </w:t>
      </w:r>
    </w:p>
  </w:footnote>
  <w:footnote w:id="152">
    <w:p w14:paraId="2FD23BBB" w14:textId="77777777" w:rsidR="009847E8" w:rsidRPr="009847E8" w:rsidRDefault="009847E8" w:rsidP="001D6CB4">
      <w:pPr>
        <w:pStyle w:val="FootnoteText"/>
        <w:rPr>
          <w:rFonts w:cs="Calibri"/>
          <w:lang w:val="nl-NL"/>
        </w:rPr>
      </w:pPr>
      <w:r w:rsidRPr="00842DB0">
        <w:rPr>
          <w:rStyle w:val="FootnoteReference"/>
          <w:rFonts w:cs="Calibri"/>
        </w:rPr>
        <w:footnoteRef/>
      </w:r>
      <w:r w:rsidRPr="009847E8">
        <w:rPr>
          <w:rFonts w:cs="Calibri"/>
          <w:lang w:val="nl-NL"/>
        </w:rPr>
        <w:t xml:space="preserve"> Ritter, </w:t>
      </w:r>
      <w:r w:rsidRPr="009847E8">
        <w:rPr>
          <w:rFonts w:cs="Calibri"/>
          <w:i/>
          <w:iCs/>
          <w:lang w:val="nl-NL"/>
        </w:rPr>
        <w:t>De Europeaan in Nederlandsch-Indi</w:t>
      </w:r>
      <w:r w:rsidRPr="009847E8">
        <w:rPr>
          <w:rFonts w:cs="Calibri"/>
          <w:i/>
          <w:iCs/>
          <w:lang w:val="nl-NL"/>
        </w:rPr>
        <w:t>ë</w:t>
      </w:r>
      <w:r w:rsidRPr="009847E8">
        <w:rPr>
          <w:rFonts w:cs="Calibri"/>
          <w:lang w:val="nl-NL"/>
        </w:rPr>
        <w:t>, 21.</w:t>
      </w:r>
    </w:p>
  </w:footnote>
  <w:footnote w:id="153">
    <w:p w14:paraId="2F4A499B"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Baay, </w:t>
      </w:r>
      <w:r w:rsidRPr="00842DB0">
        <w:rPr>
          <w:rFonts w:cs="Calibri"/>
          <w:i/>
          <w:iCs/>
        </w:rPr>
        <w:t>De Njai</w:t>
      </w:r>
      <w:r w:rsidRPr="00842DB0">
        <w:rPr>
          <w:rFonts w:cs="Calibri"/>
        </w:rPr>
        <w:t xml:space="preserve">, 74; Ming, </w:t>
      </w:r>
      <w:r>
        <w:rPr>
          <w:rFonts w:cs="Calibri"/>
        </w:rPr>
        <w:t>“</w:t>
      </w:r>
      <w:r w:rsidRPr="00842DB0">
        <w:rPr>
          <w:rFonts w:cs="Calibri"/>
        </w:rPr>
        <w:t>Barrack-Concubinage in the Indies,</w:t>
      </w:r>
      <w:r>
        <w:rPr>
          <w:rFonts w:cs="Calibri"/>
        </w:rPr>
        <w:t>”</w:t>
      </w:r>
      <w:r w:rsidRPr="00842DB0">
        <w:rPr>
          <w:rFonts w:cs="Calibri"/>
        </w:rPr>
        <w:t xml:space="preserve"> 73. </w:t>
      </w:r>
    </w:p>
  </w:footnote>
  <w:footnote w:id="154">
    <w:p w14:paraId="4FF67C86" w14:textId="77777777" w:rsidR="009847E8" w:rsidRPr="009847E8" w:rsidRDefault="009847E8" w:rsidP="001D6CB4">
      <w:pPr>
        <w:pStyle w:val="FootnoteText"/>
        <w:rPr>
          <w:rFonts w:cs="Calibri"/>
          <w:lang w:val="nl-NL"/>
        </w:rPr>
      </w:pPr>
      <w:r w:rsidRPr="00842DB0">
        <w:rPr>
          <w:rStyle w:val="FootnoteReference"/>
          <w:rFonts w:cs="Calibri"/>
        </w:rPr>
        <w:footnoteRef/>
      </w:r>
      <w:r w:rsidRPr="009847E8">
        <w:rPr>
          <w:rFonts w:cs="Calibri"/>
          <w:lang w:val="nl-NL"/>
        </w:rPr>
        <w:t xml:space="preserve"> Baay, </w:t>
      </w:r>
      <w:r w:rsidRPr="009847E8">
        <w:rPr>
          <w:rFonts w:cs="Calibri"/>
          <w:i/>
          <w:iCs/>
          <w:lang w:val="nl-NL"/>
        </w:rPr>
        <w:t>De Njai</w:t>
      </w:r>
      <w:r w:rsidRPr="009847E8">
        <w:rPr>
          <w:rFonts w:cs="Calibri"/>
          <w:lang w:val="nl-NL"/>
        </w:rPr>
        <w:t xml:space="preserve">, 73; Groen, </w:t>
      </w:r>
      <w:r w:rsidRPr="009847E8">
        <w:rPr>
          <w:rFonts w:cs="Calibri"/>
          <w:lang w:val="nl-NL"/>
        </w:rPr>
        <w:t>“</w:t>
      </w:r>
      <w:r w:rsidRPr="009847E8">
        <w:rPr>
          <w:rFonts w:cs="Calibri"/>
          <w:lang w:val="nl-NL"/>
        </w:rPr>
        <w:t>Aan de rand van de Tangsi,</w:t>
      </w:r>
      <w:r w:rsidRPr="009847E8">
        <w:rPr>
          <w:rFonts w:cs="Calibri"/>
          <w:lang w:val="nl-NL"/>
        </w:rPr>
        <w:t>”</w:t>
      </w:r>
      <w:r w:rsidRPr="009847E8">
        <w:rPr>
          <w:rFonts w:cs="Calibri"/>
          <w:lang w:val="nl-NL"/>
        </w:rPr>
        <w:t xml:space="preserve"> 131. </w:t>
      </w:r>
    </w:p>
  </w:footnote>
  <w:footnote w:id="155">
    <w:p w14:paraId="3E1409E1"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Taylor, </w:t>
      </w:r>
      <w:r w:rsidRPr="00842DB0">
        <w:rPr>
          <w:rFonts w:cs="Calibri"/>
          <w:i/>
          <w:iCs/>
        </w:rPr>
        <w:t>Social World of Batavia</w:t>
      </w:r>
      <w:r w:rsidRPr="00842DB0">
        <w:rPr>
          <w:rFonts w:cs="Calibri"/>
        </w:rPr>
        <w:t xml:space="preserve">, 148. </w:t>
      </w:r>
    </w:p>
  </w:footnote>
  <w:footnote w:id="156">
    <w:p w14:paraId="21CBD77B" w14:textId="77777777" w:rsidR="009847E8" w:rsidRPr="00842DB0" w:rsidRDefault="009847E8" w:rsidP="001D6CB4">
      <w:pPr>
        <w:pStyle w:val="FootnoteText"/>
        <w:rPr>
          <w:rFonts w:cs="Calibri"/>
        </w:rPr>
      </w:pPr>
      <w:r w:rsidRPr="00842DB0">
        <w:rPr>
          <w:rStyle w:val="FootnoteReference"/>
          <w:rFonts w:cs="Calibri"/>
        </w:rPr>
        <w:footnoteRef/>
      </w:r>
      <w:r w:rsidRPr="00842DB0">
        <w:rPr>
          <w:rFonts w:cs="Calibri"/>
        </w:rPr>
        <w:t xml:space="preserve"> Taylor, </w:t>
      </w:r>
      <w:r w:rsidRPr="00842DB0">
        <w:rPr>
          <w:rFonts w:cs="Calibri"/>
          <w:i/>
          <w:iCs/>
        </w:rPr>
        <w:t>Social World of Batavia</w:t>
      </w:r>
      <w:r w:rsidRPr="00842DB0">
        <w:rPr>
          <w:rFonts w:cs="Calibri"/>
        </w:rPr>
        <w:t>, 148.</w:t>
      </w:r>
    </w:p>
  </w:footnote>
  <w:footnote w:id="157">
    <w:p w14:paraId="24163BE3" w14:textId="77777777" w:rsidR="009847E8" w:rsidRPr="00295DF4" w:rsidRDefault="009847E8" w:rsidP="001D6CB4">
      <w:pPr>
        <w:pStyle w:val="FootnoteText"/>
        <w:rPr>
          <w:rFonts w:cs="Calibri"/>
        </w:rPr>
      </w:pPr>
      <w:r w:rsidRPr="00295DF4">
        <w:rPr>
          <w:rStyle w:val="FootnoteReference"/>
          <w:rFonts w:cs="Calibri"/>
        </w:rPr>
        <w:footnoteRef/>
      </w:r>
      <w:r w:rsidRPr="00295DF4">
        <w:rPr>
          <w:rFonts w:cs="Calibri"/>
        </w:rPr>
        <w:t xml:space="preserve"> Gerlov van Engelenhoven, </w:t>
      </w:r>
      <w:r>
        <w:rPr>
          <w:rFonts w:cs="Calibri"/>
        </w:rPr>
        <w:t>“</w:t>
      </w:r>
      <w:r w:rsidRPr="00295DF4">
        <w:rPr>
          <w:rFonts w:cs="Calibri"/>
        </w:rPr>
        <w:t>Convict Labour and Concubinage in the Dutch East Indies</w:t>
      </w:r>
      <w:r>
        <w:rPr>
          <w:rFonts w:cs="Calibri"/>
        </w:rPr>
        <w:t>,</w:t>
      </w:r>
      <w:r>
        <w:rPr>
          <w:rFonts w:cs="Calibri"/>
        </w:rPr>
        <w:t>”</w:t>
      </w:r>
      <w:r w:rsidRPr="00295DF4">
        <w:rPr>
          <w:rFonts w:cs="Calibri"/>
        </w:rPr>
        <w:t xml:space="preserve"> In: </w:t>
      </w:r>
      <w:r w:rsidRPr="00295DF4">
        <w:rPr>
          <w:rFonts w:cs="Calibri"/>
          <w:i/>
          <w:iCs/>
        </w:rPr>
        <w:t>Slavery in the Cultural Imagination</w:t>
      </w:r>
      <w:r>
        <w:rPr>
          <w:rFonts w:cs="Calibri"/>
          <w:i/>
          <w:iCs/>
        </w:rPr>
        <w:t xml:space="preserve">, </w:t>
      </w:r>
      <w:r w:rsidRPr="00925797">
        <w:rPr>
          <w:rFonts w:cs="Calibri"/>
        </w:rPr>
        <w:t>e</w:t>
      </w:r>
      <w:r>
        <w:rPr>
          <w:rFonts w:cs="Calibri"/>
        </w:rPr>
        <w:t>d. Marrigje Paijmans and Karwan Fatah-Black</w:t>
      </w:r>
      <w:r w:rsidRPr="00295DF4">
        <w:rPr>
          <w:rFonts w:cs="Calibri"/>
          <w:i/>
          <w:iCs/>
        </w:rPr>
        <w:t xml:space="preserve"> </w:t>
      </w:r>
      <w:r w:rsidRPr="00295DF4">
        <w:rPr>
          <w:rFonts w:cs="Calibri"/>
        </w:rPr>
        <w:t>(</w:t>
      </w:r>
      <w:r>
        <w:rPr>
          <w:rFonts w:cs="Calibri"/>
        </w:rPr>
        <w:t xml:space="preserve">Routledge, </w:t>
      </w:r>
      <w:r w:rsidRPr="00295DF4">
        <w:rPr>
          <w:rFonts w:cs="Calibri"/>
        </w:rPr>
        <w:t xml:space="preserve">2025), 87. </w:t>
      </w:r>
    </w:p>
  </w:footnote>
  <w:footnote w:id="158">
    <w:p w14:paraId="040441C5" w14:textId="77777777" w:rsidR="009847E8" w:rsidRDefault="009847E8" w:rsidP="001D6CB4">
      <w:pPr>
        <w:pStyle w:val="FootnoteText"/>
      </w:pPr>
      <w:r>
        <w:rPr>
          <w:rStyle w:val="FootnoteReference"/>
        </w:rPr>
        <w:footnoteRef/>
      </w:r>
      <w:r>
        <w:t xml:space="preserve"> </w:t>
      </w:r>
      <w:r w:rsidRPr="00871C24">
        <w:rPr>
          <w:rFonts w:cs="Calibri"/>
        </w:rPr>
        <w:t xml:space="preserve">Taylor, </w:t>
      </w:r>
      <w:r w:rsidRPr="00871C24">
        <w:rPr>
          <w:rFonts w:cs="Calibri"/>
          <w:i/>
          <w:iCs/>
        </w:rPr>
        <w:t>Social World of Batavia</w:t>
      </w:r>
      <w:r w:rsidRPr="00871C24">
        <w:rPr>
          <w:rFonts w:cs="Calibri"/>
        </w:rPr>
        <w:t>, 14</w:t>
      </w:r>
      <w:r>
        <w:rPr>
          <w:rFonts w:cs="Calibri"/>
        </w:rPr>
        <w:t xml:space="preserve">9. </w:t>
      </w:r>
    </w:p>
  </w:footnote>
  <w:footnote w:id="159">
    <w:p w14:paraId="325BCEED" w14:textId="77777777" w:rsidR="009847E8" w:rsidRPr="00E30012" w:rsidRDefault="009847E8">
      <w:pPr>
        <w:pStyle w:val="FootnoteText"/>
        <w:rPr>
          <w:lang w:val="en-US"/>
        </w:rPr>
      </w:pPr>
      <w:r>
        <w:rPr>
          <w:rStyle w:val="FootnoteReference"/>
        </w:rPr>
        <w:footnoteRef/>
      </w:r>
      <w:r>
        <w:t xml:space="preserve"> </w:t>
      </w:r>
      <w:r w:rsidRPr="003142D2">
        <w:rPr>
          <w:rFonts w:cs="Calibri"/>
        </w:rPr>
        <w:t xml:space="preserve">Stoler, </w:t>
      </w:r>
      <w:r w:rsidRPr="003142D2">
        <w:rPr>
          <w:rFonts w:cs="Calibri"/>
          <w:i/>
          <w:iCs/>
        </w:rPr>
        <w:t>Race and The Education of Desire</w:t>
      </w:r>
      <w:r w:rsidRPr="003142D2">
        <w:rPr>
          <w:rFonts w:cs="Calibri"/>
        </w:rPr>
        <w:t>, 1</w:t>
      </w:r>
      <w:r>
        <w:rPr>
          <w:rFonts w:cs="Calibri"/>
        </w:rPr>
        <w:t>74.</w:t>
      </w:r>
    </w:p>
  </w:footnote>
  <w:footnote w:id="160">
    <w:p w14:paraId="071E21F5" w14:textId="77777777" w:rsidR="009847E8" w:rsidRPr="00E30012" w:rsidRDefault="009847E8">
      <w:pPr>
        <w:pStyle w:val="FootnoteText"/>
        <w:rPr>
          <w:lang w:val="en-US"/>
        </w:rPr>
      </w:pPr>
      <w:r>
        <w:rPr>
          <w:rStyle w:val="FootnoteReference"/>
        </w:rPr>
        <w:footnoteRef/>
      </w:r>
      <w:r>
        <w:t xml:space="preserve"> </w:t>
      </w:r>
      <w:r w:rsidRPr="003142D2">
        <w:rPr>
          <w:rFonts w:cs="Calibri"/>
        </w:rPr>
        <w:t xml:space="preserve">Stoler, </w:t>
      </w:r>
      <w:r w:rsidRPr="003142D2">
        <w:rPr>
          <w:rFonts w:cs="Calibri"/>
          <w:i/>
          <w:iCs/>
        </w:rPr>
        <w:t>Race and The Education of Desire</w:t>
      </w:r>
      <w:r w:rsidRPr="003142D2">
        <w:rPr>
          <w:rFonts w:cs="Calibri"/>
        </w:rPr>
        <w:t>, 1</w:t>
      </w:r>
      <w:r>
        <w:rPr>
          <w:rFonts w:cs="Calibri"/>
        </w:rPr>
        <w:t>77.</w:t>
      </w:r>
    </w:p>
  </w:footnote>
  <w:footnote w:id="161">
    <w:p w14:paraId="2A096EE6" w14:textId="77777777" w:rsidR="009847E8" w:rsidRPr="003142D2" w:rsidRDefault="009847E8" w:rsidP="001D6CB4">
      <w:pPr>
        <w:pStyle w:val="FootnoteText"/>
        <w:rPr>
          <w:rFonts w:cs="Calibri"/>
        </w:rPr>
      </w:pPr>
      <w:r w:rsidRPr="003142D2">
        <w:rPr>
          <w:rStyle w:val="FootnoteReference"/>
          <w:rFonts w:cs="Calibri"/>
        </w:rPr>
        <w:footnoteRef/>
      </w:r>
      <w:r w:rsidRPr="003142D2">
        <w:rPr>
          <w:rFonts w:cs="Calibri"/>
        </w:rPr>
        <w:t xml:space="preserve"> Stoler, </w:t>
      </w:r>
      <w:r w:rsidRPr="003142D2">
        <w:rPr>
          <w:rFonts w:cs="Calibri"/>
          <w:i/>
          <w:iCs/>
        </w:rPr>
        <w:t>Race and The Education of Desire</w:t>
      </w:r>
      <w:r w:rsidRPr="003142D2">
        <w:rPr>
          <w:rFonts w:cs="Calibri"/>
        </w:rPr>
        <w:t xml:space="preserve">, 104. </w:t>
      </w:r>
    </w:p>
  </w:footnote>
  <w:footnote w:id="162">
    <w:p w14:paraId="46F03E8D" w14:textId="77777777" w:rsidR="009847E8" w:rsidRPr="009847E8" w:rsidRDefault="009847E8" w:rsidP="001D6CB4">
      <w:pPr>
        <w:pStyle w:val="FootnoteText"/>
        <w:rPr>
          <w:rFonts w:cs="Calibri"/>
          <w:i/>
          <w:iCs/>
          <w:lang w:val="nl-NL"/>
        </w:rPr>
      </w:pPr>
      <w:r w:rsidRPr="003142D2">
        <w:rPr>
          <w:rStyle w:val="FootnoteReference"/>
          <w:rFonts w:cs="Calibri"/>
        </w:rPr>
        <w:footnoteRef/>
      </w:r>
      <w:r w:rsidRPr="009847E8">
        <w:rPr>
          <w:rFonts w:cs="Calibri"/>
          <w:lang w:val="nl-NL"/>
        </w:rPr>
        <w:t xml:space="preserve"> Ritter, </w:t>
      </w:r>
      <w:r w:rsidRPr="009847E8">
        <w:rPr>
          <w:rFonts w:cs="Calibri"/>
          <w:i/>
          <w:iCs/>
          <w:lang w:val="nl-NL"/>
        </w:rPr>
        <w:t>Europeaan in Nederlandsch Indi</w:t>
      </w:r>
      <w:r w:rsidRPr="009847E8">
        <w:rPr>
          <w:rFonts w:cs="Calibri"/>
          <w:i/>
          <w:iCs/>
          <w:lang w:val="nl-NL"/>
        </w:rPr>
        <w:t>ë</w:t>
      </w:r>
      <w:r w:rsidRPr="009847E8">
        <w:rPr>
          <w:rFonts w:cs="Calibri"/>
          <w:lang w:val="nl-NL"/>
        </w:rPr>
        <w:t xml:space="preserve">, 5-6. </w:t>
      </w:r>
    </w:p>
  </w:footnote>
  <w:footnote w:id="163">
    <w:p w14:paraId="099C8EA1" w14:textId="77777777" w:rsidR="009847E8" w:rsidRPr="009847E8" w:rsidRDefault="009847E8" w:rsidP="001D6CB4">
      <w:pPr>
        <w:pStyle w:val="FootnoteText"/>
        <w:rPr>
          <w:rFonts w:cs="Calibri"/>
          <w:lang w:val="nl-NL"/>
        </w:rPr>
      </w:pPr>
      <w:r w:rsidRPr="003142D2">
        <w:rPr>
          <w:rStyle w:val="FootnoteReference"/>
          <w:rFonts w:cs="Calibri"/>
        </w:rPr>
        <w:footnoteRef/>
      </w:r>
      <w:r w:rsidRPr="009847E8">
        <w:rPr>
          <w:rFonts w:cs="Calibri"/>
          <w:lang w:val="nl-NL"/>
        </w:rPr>
        <w:t xml:space="preserve"> Bosma, Raben and Willems, </w:t>
      </w:r>
      <w:r w:rsidRPr="009847E8">
        <w:rPr>
          <w:rFonts w:cs="Calibri"/>
          <w:i/>
          <w:iCs/>
          <w:lang w:val="nl-NL"/>
        </w:rPr>
        <w:t>Geschiedenis van Indische Nederlanders,</w:t>
      </w:r>
      <w:r w:rsidRPr="009847E8">
        <w:rPr>
          <w:rFonts w:cs="Calibri"/>
          <w:lang w:val="nl-NL"/>
        </w:rPr>
        <w:t xml:space="preserve"> 147. </w:t>
      </w:r>
    </w:p>
  </w:footnote>
  <w:footnote w:id="164">
    <w:p w14:paraId="56185D13" w14:textId="77777777" w:rsidR="009847E8" w:rsidRPr="00884BC9" w:rsidRDefault="009847E8">
      <w:pPr>
        <w:pStyle w:val="FootnoteText"/>
        <w:rPr>
          <w:lang w:val="en-US"/>
        </w:rPr>
      </w:pPr>
      <w:r>
        <w:rPr>
          <w:rStyle w:val="FootnoteReference"/>
        </w:rPr>
        <w:footnoteRef/>
      </w:r>
      <w:r>
        <w:t xml:space="preserve"> </w:t>
      </w:r>
      <w:r w:rsidRPr="003142D2">
        <w:rPr>
          <w:rFonts w:cs="Calibri"/>
        </w:rPr>
        <w:t xml:space="preserve">Stoler, </w:t>
      </w:r>
      <w:r w:rsidRPr="003142D2">
        <w:rPr>
          <w:rFonts w:cs="Calibri"/>
          <w:i/>
          <w:iCs/>
        </w:rPr>
        <w:t>Race and The Education of Desire</w:t>
      </w:r>
      <w:r w:rsidRPr="003142D2">
        <w:rPr>
          <w:rFonts w:cs="Calibri"/>
        </w:rPr>
        <w:t>,</w:t>
      </w:r>
      <w:r>
        <w:rPr>
          <w:rFonts w:cs="Calibri"/>
        </w:rPr>
        <w:t xml:space="preserve"> 64</w:t>
      </w:r>
      <w:r w:rsidRPr="0001459B">
        <w:rPr>
          <w:rFonts w:cs="Calibri"/>
        </w:rPr>
        <w:t xml:space="preserve">; Foucault, </w:t>
      </w:r>
      <w:r w:rsidRPr="0001459B">
        <w:rPr>
          <w:rFonts w:cs="Calibri"/>
          <w:i/>
          <w:iCs/>
        </w:rPr>
        <w:t>Society Must Be Defended,</w:t>
      </w:r>
      <w:r>
        <w:rPr>
          <w:rFonts w:cs="Calibri"/>
          <w:i/>
          <w:iCs/>
        </w:rPr>
        <w:t xml:space="preserve"> </w:t>
      </w:r>
      <w:r w:rsidRPr="0001459B">
        <w:rPr>
          <w:rFonts w:cs="Calibri"/>
        </w:rPr>
        <w:t>45-46</w:t>
      </w:r>
      <w:r>
        <w:rPr>
          <w:rFonts w:cs="Calibri"/>
          <w:i/>
          <w:iCs/>
        </w:rPr>
        <w:t xml:space="preserve">. </w:t>
      </w:r>
    </w:p>
  </w:footnote>
  <w:footnote w:id="165">
    <w:p w14:paraId="7FB790A5" w14:textId="77777777" w:rsidR="009847E8" w:rsidRPr="00E30012" w:rsidRDefault="009847E8" w:rsidP="001D6CB4">
      <w:pPr>
        <w:pStyle w:val="FootnoteText"/>
        <w:rPr>
          <w:rFonts w:cs="Calibri"/>
          <w:lang w:val="en-US"/>
        </w:rPr>
      </w:pPr>
      <w:r w:rsidRPr="00280C3A">
        <w:rPr>
          <w:rStyle w:val="FootnoteReference"/>
          <w:rFonts w:cs="Calibri"/>
        </w:rPr>
        <w:footnoteRef/>
      </w:r>
      <w:r w:rsidRPr="00280C3A">
        <w:rPr>
          <w:rFonts w:cs="Calibri"/>
        </w:rPr>
        <w:t xml:space="preserve"> Betty de Hart, </w:t>
      </w:r>
      <w:r w:rsidRPr="00E30012">
        <w:rPr>
          <w:rFonts w:cs="Calibri"/>
          <w:lang w:val="en-US"/>
        </w:rPr>
        <w:t xml:space="preserve">Guno Jones, </w:t>
      </w:r>
      <w:r>
        <w:rPr>
          <w:rFonts w:cs="Calibri"/>
          <w:lang w:val="en-US"/>
        </w:rPr>
        <w:t>“</w:t>
      </w:r>
      <w:r>
        <w:rPr>
          <w:rFonts w:cs="Calibri"/>
          <w:lang w:val="en-US"/>
        </w:rPr>
        <w:t>(</w:t>
      </w:r>
      <w:r w:rsidRPr="00E30012">
        <w:rPr>
          <w:rFonts w:cs="Calibri"/>
          <w:lang w:val="en-US"/>
        </w:rPr>
        <w:t>Not) Measuring Mixedness in the Netherlands</w:t>
      </w:r>
      <w:r>
        <w:rPr>
          <w:rFonts w:cs="Calibri"/>
          <w:lang w:val="en-US"/>
        </w:rPr>
        <w:t>,</w:t>
      </w:r>
      <w:r>
        <w:rPr>
          <w:rFonts w:cs="Calibri"/>
          <w:lang w:val="en-US"/>
        </w:rPr>
        <w:t>”</w:t>
      </w:r>
      <w:r w:rsidRPr="00E30012">
        <w:rPr>
          <w:rFonts w:cs="Calibri"/>
          <w:lang w:val="en-US"/>
        </w:rPr>
        <w:t xml:space="preserve"> in </w:t>
      </w:r>
      <w:r w:rsidRPr="00E30012">
        <w:rPr>
          <w:rFonts w:cs="Calibri"/>
          <w:i/>
          <w:iCs/>
          <w:lang w:val="en-US"/>
        </w:rPr>
        <w:t>The Palgrave International Handbook of Mixed Racial and Ethnic</w:t>
      </w:r>
      <w:r w:rsidRPr="00E30012">
        <w:rPr>
          <w:rFonts w:cs="Calibri"/>
          <w:lang w:val="en-US"/>
        </w:rPr>
        <w:t xml:space="preserve"> Classification (Palgrave MacMillan, 2020), 373.</w:t>
      </w:r>
    </w:p>
  </w:footnote>
  <w:footnote w:id="166">
    <w:p w14:paraId="4034F59D" w14:textId="77777777" w:rsidR="009847E8" w:rsidRPr="00E30012" w:rsidRDefault="009847E8" w:rsidP="00E81550">
      <w:pPr>
        <w:pStyle w:val="FootnoteText"/>
        <w:rPr>
          <w:lang w:val="en-US"/>
        </w:rPr>
      </w:pPr>
      <w:r w:rsidRPr="00E30012">
        <w:rPr>
          <w:rStyle w:val="FootnoteReference"/>
          <w:rFonts w:cs="Calibri"/>
          <w:lang w:val="en-US"/>
        </w:rPr>
        <w:footnoteRef/>
      </w:r>
      <w:r w:rsidRPr="00E30012">
        <w:rPr>
          <w:rFonts w:cs="Calibri"/>
          <w:lang w:val="en-US"/>
        </w:rPr>
        <w:t xml:space="preserve"> Hart, Jones, </w:t>
      </w:r>
      <w:r>
        <w:rPr>
          <w:rFonts w:cs="Calibri"/>
          <w:lang w:val="en-US"/>
        </w:rPr>
        <w:t>“</w:t>
      </w:r>
      <w:r w:rsidRPr="00E30012">
        <w:rPr>
          <w:rFonts w:cs="Calibri"/>
          <w:lang w:val="en-US"/>
        </w:rPr>
        <w:t>(Not) Measuring Mixedness</w:t>
      </w:r>
      <w:r>
        <w:rPr>
          <w:rFonts w:cs="Calibri"/>
          <w:lang w:val="en-US"/>
        </w:rPr>
        <w:t>,</w:t>
      </w:r>
      <w:r>
        <w:rPr>
          <w:rFonts w:cs="Calibri"/>
          <w:lang w:val="en-US"/>
        </w:rPr>
        <w:t>”</w:t>
      </w:r>
      <w:r w:rsidRPr="00E30012">
        <w:rPr>
          <w:rFonts w:cs="Calibri"/>
          <w:lang w:val="en-US"/>
        </w:rPr>
        <w:t xml:space="preserve"> 373. </w:t>
      </w:r>
    </w:p>
  </w:footnote>
  <w:footnote w:id="167">
    <w:p w14:paraId="4ABF62A0" w14:textId="77777777" w:rsidR="009847E8" w:rsidRPr="0024560C" w:rsidRDefault="009847E8" w:rsidP="00E81550">
      <w:pPr>
        <w:pStyle w:val="FootnoteText"/>
        <w:rPr>
          <w:rFonts w:cs="Calibri"/>
        </w:rPr>
      </w:pPr>
      <w:r w:rsidRPr="00E30012">
        <w:rPr>
          <w:rStyle w:val="FootnoteReference"/>
          <w:rFonts w:cs="Calibri"/>
          <w:lang w:val="en-US"/>
        </w:rPr>
        <w:footnoteRef/>
      </w:r>
      <w:r w:rsidRPr="00E30012">
        <w:rPr>
          <w:rFonts w:cs="Calibri"/>
          <w:lang w:val="en-US"/>
        </w:rPr>
        <w:t xml:space="preserve"> Vanderbosch, </w:t>
      </w:r>
      <w:r>
        <w:rPr>
          <w:rFonts w:cs="Calibri"/>
          <w:lang w:val="en-US"/>
        </w:rPr>
        <w:t>“</w:t>
      </w:r>
      <w:r w:rsidRPr="00E30012">
        <w:rPr>
          <w:rFonts w:cs="Calibri"/>
          <w:lang w:val="en-US"/>
        </w:rPr>
        <w:t>Customary Law in the Dutch East</w:t>
      </w:r>
      <w:r w:rsidRPr="0024560C">
        <w:rPr>
          <w:rFonts w:cs="Calibri"/>
        </w:rPr>
        <w:t xml:space="preserve"> Indies</w:t>
      </w:r>
      <w:r>
        <w:rPr>
          <w:rFonts w:cs="Calibri"/>
        </w:rPr>
        <w:t>,</w:t>
      </w:r>
      <w:r>
        <w:rPr>
          <w:rFonts w:cs="Calibri"/>
        </w:rPr>
        <w:t>”</w:t>
      </w:r>
      <w:r w:rsidRPr="0024560C">
        <w:rPr>
          <w:rFonts w:cs="Calibri"/>
        </w:rPr>
        <w:t xml:space="preserve"> 41. </w:t>
      </w:r>
    </w:p>
  </w:footnote>
  <w:footnote w:id="168">
    <w:p w14:paraId="2B375EC1" w14:textId="77777777" w:rsidR="009847E8" w:rsidRPr="00E81550" w:rsidRDefault="009847E8">
      <w:pPr>
        <w:pStyle w:val="FootnoteText"/>
        <w:rPr>
          <w:lang w:val="en-US"/>
        </w:rPr>
      </w:pPr>
      <w:r>
        <w:rPr>
          <w:rStyle w:val="FootnoteReference"/>
        </w:rPr>
        <w:footnoteRef/>
      </w:r>
      <w:r>
        <w:t xml:space="preserve"> </w:t>
      </w:r>
      <w:r w:rsidRPr="00280C3A">
        <w:rPr>
          <w:rFonts w:cs="Calibri"/>
        </w:rPr>
        <w:t xml:space="preserve">Hart, Jones, </w:t>
      </w:r>
      <w:r>
        <w:rPr>
          <w:rFonts w:cs="Calibri"/>
        </w:rPr>
        <w:t>“</w:t>
      </w:r>
      <w:r w:rsidRPr="00280C3A">
        <w:rPr>
          <w:rFonts w:cs="Calibri"/>
        </w:rPr>
        <w:t xml:space="preserve">(Not) </w:t>
      </w:r>
      <w:r w:rsidRPr="008C73DF">
        <w:rPr>
          <w:rFonts w:cs="Calibri"/>
          <w:lang w:val="en-US"/>
        </w:rPr>
        <w:t>Measuring Mixedness</w:t>
      </w:r>
      <w:r w:rsidRPr="00280C3A">
        <w:rPr>
          <w:rFonts w:cs="Calibri"/>
        </w:rPr>
        <w:t>,</w:t>
      </w:r>
      <w:r>
        <w:rPr>
          <w:rFonts w:cs="Calibri"/>
        </w:rPr>
        <w:t>”</w:t>
      </w:r>
      <w:r w:rsidRPr="00280C3A">
        <w:rPr>
          <w:rFonts w:cs="Calibri"/>
        </w:rPr>
        <w:t xml:space="preserve"> 37</w:t>
      </w:r>
      <w:r>
        <w:rPr>
          <w:rFonts w:cs="Calibri"/>
        </w:rPr>
        <w:t>4.</w:t>
      </w:r>
    </w:p>
  </w:footnote>
  <w:footnote w:id="169">
    <w:p w14:paraId="063AE8A9" w14:textId="77777777" w:rsidR="009847E8" w:rsidRPr="00280C3A" w:rsidRDefault="009847E8" w:rsidP="009458E2">
      <w:pPr>
        <w:pStyle w:val="FootnoteText"/>
        <w:rPr>
          <w:rFonts w:cs="Calibri"/>
        </w:rPr>
      </w:pPr>
      <w:r w:rsidRPr="00280C3A">
        <w:rPr>
          <w:rStyle w:val="FootnoteReference"/>
          <w:rFonts w:cs="Calibri"/>
        </w:rPr>
        <w:footnoteRef/>
      </w:r>
      <w:r w:rsidRPr="00280C3A">
        <w:rPr>
          <w:rFonts w:cs="Calibri"/>
        </w:rPr>
        <w:t xml:space="preserve"> </w:t>
      </w:r>
      <w:r w:rsidRPr="00E30012">
        <w:rPr>
          <w:lang w:val="en-US"/>
        </w:rPr>
        <w:t xml:space="preserve">Hart, </w:t>
      </w:r>
      <w:r w:rsidRPr="00E30012">
        <w:rPr>
          <w:i/>
          <w:iCs/>
          <w:lang w:val="en-US"/>
        </w:rPr>
        <w:t>Some cursory remarks on race, mixture, and law by three Dutch jurists</w:t>
      </w:r>
      <w:r w:rsidRPr="00E30012">
        <w:rPr>
          <w:lang w:val="en-US"/>
        </w:rPr>
        <w:t xml:space="preserve"> (</w:t>
      </w:r>
      <w:r w:rsidRPr="00E30012">
        <w:rPr>
          <w:rFonts w:cs="Calibri"/>
          <w:lang w:val="en-US"/>
        </w:rPr>
        <w:t xml:space="preserve">Wolf Legal Publishers, 2019), </w:t>
      </w:r>
      <w:r w:rsidRPr="00E30012">
        <w:rPr>
          <w:lang w:val="en-US"/>
        </w:rPr>
        <w:t>10</w:t>
      </w:r>
      <w:r>
        <w:rPr>
          <w:rFonts w:cs="Calibri"/>
        </w:rPr>
        <w:t xml:space="preserve">; C. Fasseur, </w:t>
      </w:r>
      <w:r>
        <w:rPr>
          <w:rFonts w:cs="Calibri"/>
        </w:rPr>
        <w:t>“</w:t>
      </w:r>
      <w:r>
        <w:rPr>
          <w:rFonts w:cs="Calibri"/>
        </w:rPr>
        <w:t>Colonial dilemma,</w:t>
      </w:r>
      <w:r>
        <w:rPr>
          <w:rFonts w:cs="Calibri"/>
        </w:rPr>
        <w:t>”</w:t>
      </w:r>
      <w:r>
        <w:rPr>
          <w:rFonts w:cs="Calibri"/>
        </w:rPr>
        <w:t xml:space="preserve"> 50. </w:t>
      </w:r>
      <w:r>
        <w:rPr>
          <w:rFonts w:cs="Calibri"/>
          <w:lang w:val="en-US"/>
        </w:rPr>
        <w:t>Adat translates to tradition. The Indonesian adat law was a centuries old complex legal system of directives, regulations, customary law, and recommendations, that differed per island and region.</w:t>
      </w:r>
    </w:p>
  </w:footnote>
  <w:footnote w:id="170">
    <w:p w14:paraId="1CFC4701" w14:textId="77777777" w:rsidR="009847E8" w:rsidRPr="00C3328E" w:rsidRDefault="009847E8">
      <w:pPr>
        <w:pStyle w:val="FootnoteText"/>
        <w:rPr>
          <w:lang w:val="en-US"/>
        </w:rPr>
      </w:pPr>
      <w:r>
        <w:rPr>
          <w:rStyle w:val="FootnoteReference"/>
        </w:rPr>
        <w:footnoteRef/>
      </w:r>
      <w:r>
        <w:t xml:space="preserve"> </w:t>
      </w:r>
      <w:r>
        <w:rPr>
          <w:rFonts w:cs="Calibri"/>
          <w:lang w:val="en-US"/>
        </w:rPr>
        <w:t>Before 1892</w:t>
      </w:r>
      <w:r w:rsidRPr="001D6CB4">
        <w:rPr>
          <w:rFonts w:cs="Calibri"/>
          <w:lang w:val="en-US"/>
        </w:rPr>
        <w:t xml:space="preserve">, the entire population of </w:t>
      </w:r>
      <w:r>
        <w:rPr>
          <w:rFonts w:cs="Calibri"/>
          <w:lang w:val="en-US"/>
        </w:rPr>
        <w:t xml:space="preserve">the </w:t>
      </w:r>
      <w:r w:rsidRPr="001D6CB4">
        <w:rPr>
          <w:rFonts w:cs="Calibri"/>
          <w:lang w:val="en-US"/>
        </w:rPr>
        <w:t xml:space="preserve">archipelago had </w:t>
      </w:r>
      <w:r>
        <w:rPr>
          <w:rFonts w:cs="Calibri"/>
          <w:lang w:val="en-US"/>
        </w:rPr>
        <w:t>Dutch</w:t>
      </w:r>
      <w:r w:rsidRPr="001D6CB4">
        <w:rPr>
          <w:rFonts w:cs="Calibri"/>
          <w:lang w:val="en-US"/>
        </w:rPr>
        <w:t xml:space="preserve"> </w:t>
      </w:r>
      <w:r>
        <w:rPr>
          <w:rFonts w:cs="Calibri"/>
          <w:lang w:val="en-US"/>
        </w:rPr>
        <w:t>citizenship.</w:t>
      </w:r>
    </w:p>
  </w:footnote>
  <w:footnote w:id="171">
    <w:p w14:paraId="153CC044" w14:textId="77777777" w:rsidR="009847E8" w:rsidRPr="00280C3A" w:rsidRDefault="009847E8" w:rsidP="00C10C66">
      <w:pPr>
        <w:pStyle w:val="FootnoteText"/>
        <w:rPr>
          <w:rFonts w:cs="Calibri"/>
        </w:rPr>
      </w:pPr>
      <w:r w:rsidRPr="00280C3A">
        <w:rPr>
          <w:rStyle w:val="FootnoteReference"/>
          <w:rFonts w:cs="Calibri"/>
        </w:rPr>
        <w:footnoteRef/>
      </w:r>
      <w:r w:rsidRPr="00280C3A">
        <w:rPr>
          <w:rFonts w:cs="Calibri"/>
        </w:rPr>
        <w:t xml:space="preserve"> Jones,</w:t>
      </w:r>
      <w:r w:rsidRPr="00871C24">
        <w:rPr>
          <w:rFonts w:cs="Calibri"/>
        </w:rPr>
        <w:t xml:space="preserve"> </w:t>
      </w:r>
      <w:r>
        <w:rPr>
          <w:rFonts w:cs="Calibri"/>
        </w:rPr>
        <w:t>“</w:t>
      </w:r>
      <w:r w:rsidRPr="00871C24">
        <w:rPr>
          <w:rFonts w:cs="Calibri"/>
        </w:rPr>
        <w:t>Dutch Politics of Intimacy</w:t>
      </w:r>
      <w:r>
        <w:rPr>
          <w:rFonts w:cs="Calibri"/>
        </w:rPr>
        <w:t>,</w:t>
      </w:r>
      <w:r>
        <w:rPr>
          <w:rFonts w:cs="Calibri"/>
        </w:rPr>
        <w:t>”</w:t>
      </w:r>
      <w:r>
        <w:rPr>
          <w:rFonts w:cs="Calibri"/>
        </w:rPr>
        <w:t xml:space="preserve"> </w:t>
      </w:r>
      <w:r w:rsidRPr="00280C3A">
        <w:rPr>
          <w:rFonts w:cs="Calibri"/>
        </w:rPr>
        <w:t>64.</w:t>
      </w:r>
    </w:p>
  </w:footnote>
  <w:footnote w:id="172">
    <w:p w14:paraId="56A8AE71" w14:textId="77777777" w:rsidR="009847E8" w:rsidRDefault="009847E8" w:rsidP="001D6CB4">
      <w:pPr>
        <w:pStyle w:val="FootnoteText"/>
      </w:pPr>
      <w:r>
        <w:rPr>
          <w:rStyle w:val="FootnoteReference"/>
        </w:rPr>
        <w:footnoteRef/>
      </w:r>
      <w:r>
        <w:t xml:space="preserve"> </w:t>
      </w:r>
      <w:r w:rsidRPr="00577A21">
        <w:rPr>
          <w:rFonts w:cs="Calibri"/>
        </w:rPr>
        <w:t xml:space="preserve">Taylor, </w:t>
      </w:r>
      <w:r w:rsidRPr="00577A21">
        <w:rPr>
          <w:rFonts w:cs="Calibri"/>
          <w:i/>
          <w:iCs/>
        </w:rPr>
        <w:t>Social World of Batavia</w:t>
      </w:r>
      <w:r>
        <w:rPr>
          <w:rFonts w:cs="Calibri"/>
          <w:i/>
          <w:iCs/>
        </w:rPr>
        <w:t>,</w:t>
      </w:r>
      <w:r>
        <w:rPr>
          <w:rFonts w:cs="Calibri"/>
        </w:rPr>
        <w:t xml:space="preserve"> 118. </w:t>
      </w:r>
      <w:r w:rsidRPr="001D6CB4">
        <w:rPr>
          <w:rFonts w:cs="Calibri"/>
          <w:lang w:val="en-US"/>
        </w:rPr>
        <w:t xml:space="preserve">The separation of </w:t>
      </w:r>
      <w:r>
        <w:rPr>
          <w:rFonts w:cs="Calibri"/>
          <w:lang w:val="en-US"/>
        </w:rPr>
        <w:t>Indo-Europeans</w:t>
      </w:r>
      <w:r w:rsidRPr="001D6CB4">
        <w:rPr>
          <w:rFonts w:cs="Calibri"/>
          <w:lang w:val="en-US"/>
        </w:rPr>
        <w:t xml:space="preserve"> and </w:t>
      </w:r>
      <w:r>
        <w:rPr>
          <w:rFonts w:cs="Calibri"/>
          <w:lang w:val="en-US"/>
        </w:rPr>
        <w:t>Indonesian</w:t>
      </w:r>
      <w:r w:rsidRPr="001D6CB4">
        <w:rPr>
          <w:rFonts w:cs="Calibri"/>
          <w:lang w:val="en-US"/>
        </w:rPr>
        <w:t xml:space="preserve"> also occurred, as all </w:t>
      </w:r>
      <w:r>
        <w:rPr>
          <w:rFonts w:cs="Calibri"/>
          <w:lang w:val="en-US"/>
        </w:rPr>
        <w:t>Indo-Europeans</w:t>
      </w:r>
      <w:r w:rsidRPr="001D6CB4">
        <w:rPr>
          <w:rFonts w:cs="Calibri"/>
          <w:lang w:val="en-US"/>
        </w:rPr>
        <w:t xml:space="preserve"> were banned from posts that may bring them into contact with the Javanese in 1838</w:t>
      </w:r>
      <w:r>
        <w:rPr>
          <w:rFonts w:cs="Calibri"/>
          <w:lang w:val="en-US"/>
        </w:rPr>
        <w:t xml:space="preserve">, see: </w:t>
      </w:r>
      <w:r w:rsidRPr="00E30012">
        <w:rPr>
          <w:rFonts w:cs="Calibri"/>
          <w:lang w:val="en-US"/>
        </w:rPr>
        <w:t xml:space="preserve">Reinier Salverda, </w:t>
      </w:r>
      <w:r w:rsidRPr="00E30012">
        <w:rPr>
          <w:rFonts w:cs="Calibri"/>
          <w:lang w:val="en-US"/>
        </w:rPr>
        <w:t>“</w:t>
      </w:r>
      <w:r w:rsidRPr="00E30012">
        <w:rPr>
          <w:rFonts w:cs="Calibri"/>
          <w:lang w:val="en-US"/>
        </w:rPr>
        <w:t>Doing Justice in a Plural Society: A Postcolonial Perspective on Dutch Law and Other Legal Traditions in the Indonesian Archipelago, 1600</w:t>
      </w:r>
      <w:r w:rsidRPr="00E30012">
        <w:rPr>
          <w:rFonts w:cs="Calibri"/>
          <w:lang w:val="en-US"/>
        </w:rPr>
        <w:t>–</w:t>
      </w:r>
      <w:r w:rsidRPr="00E30012">
        <w:rPr>
          <w:rFonts w:cs="Calibri"/>
          <w:lang w:val="en-US"/>
        </w:rPr>
        <w:t>Present</w:t>
      </w:r>
      <w:r>
        <w:rPr>
          <w:rFonts w:cs="Calibri"/>
          <w:lang w:val="en-US"/>
        </w:rPr>
        <w:t>,</w:t>
      </w:r>
      <w:r w:rsidRPr="00E30012">
        <w:rPr>
          <w:rFonts w:cs="Calibri"/>
          <w:lang w:val="en-US"/>
        </w:rPr>
        <w:t>”</w:t>
      </w:r>
      <w:r w:rsidRPr="00E30012">
        <w:rPr>
          <w:rFonts w:cs="Calibri"/>
          <w:lang w:val="en-US"/>
        </w:rPr>
        <w:t xml:space="preserve"> </w:t>
      </w:r>
      <w:r w:rsidRPr="00E30012">
        <w:rPr>
          <w:rFonts w:cs="Calibri"/>
          <w:i/>
          <w:iCs/>
          <w:lang w:val="en-US"/>
        </w:rPr>
        <w:t xml:space="preserve">Dutch Crossing </w:t>
      </w:r>
      <w:r w:rsidRPr="00E30012">
        <w:rPr>
          <w:rFonts w:cs="Calibri"/>
          <w:lang w:val="en-US"/>
        </w:rPr>
        <w:t>33, no. 2 (2009): 160-161.</w:t>
      </w:r>
    </w:p>
  </w:footnote>
  <w:footnote w:id="173">
    <w:p w14:paraId="203918AB" w14:textId="77777777" w:rsidR="009847E8" w:rsidRPr="006B3033" w:rsidRDefault="009847E8" w:rsidP="001D6CB4">
      <w:pPr>
        <w:pStyle w:val="FootnoteText"/>
        <w:rPr>
          <w:rFonts w:cs="Calibri"/>
          <w:lang w:val="en-US"/>
        </w:rPr>
      </w:pPr>
      <w:r w:rsidRPr="006B3033">
        <w:rPr>
          <w:rStyle w:val="FootnoteReference"/>
          <w:rFonts w:cs="Calibri"/>
          <w:lang w:val="en-US"/>
        </w:rPr>
        <w:footnoteRef/>
      </w:r>
      <w:r w:rsidRPr="006B3033">
        <w:rPr>
          <w:rFonts w:cs="Calibri"/>
          <w:lang w:val="en-US"/>
        </w:rPr>
        <w:t xml:space="preserve"> Hart, </w:t>
      </w:r>
      <w:r w:rsidRPr="006B3033">
        <w:rPr>
          <w:rFonts w:cs="Calibri"/>
          <w:i/>
          <w:iCs/>
          <w:lang w:val="en-US"/>
        </w:rPr>
        <w:t>Unlikely Couples</w:t>
      </w:r>
      <w:r w:rsidRPr="006B3033">
        <w:rPr>
          <w:rFonts w:cs="Calibri"/>
          <w:lang w:val="en-US"/>
        </w:rPr>
        <w:t>, 15. Adat law (</w:t>
      </w:r>
      <w:r w:rsidRPr="005C3389">
        <w:rPr>
          <w:rFonts w:cs="Calibri"/>
          <w:i/>
          <w:iCs/>
          <w:lang w:val="en-US"/>
        </w:rPr>
        <w:t>adatrecht</w:t>
      </w:r>
      <w:r w:rsidRPr="006B3033">
        <w:rPr>
          <w:rFonts w:cs="Calibri"/>
          <w:lang w:val="en-US"/>
        </w:rPr>
        <w:t xml:space="preserve">), the customary law used among </w:t>
      </w:r>
      <w:r>
        <w:rPr>
          <w:rFonts w:cs="Calibri"/>
          <w:lang w:val="en-US"/>
        </w:rPr>
        <w:t>Indonesians</w:t>
      </w:r>
      <w:r w:rsidRPr="006B3033">
        <w:rPr>
          <w:rFonts w:cs="Calibri"/>
          <w:lang w:val="en-US"/>
        </w:rPr>
        <w:t xml:space="preserve"> was upheld by the Dutch colonial government in the Dutch East Indies, to prevent the </w:t>
      </w:r>
      <w:r w:rsidRPr="006B3033">
        <w:rPr>
          <w:rFonts w:cs="Calibri"/>
          <w:lang w:val="en-US"/>
        </w:rPr>
        <w:t>‘</w:t>
      </w:r>
      <w:r w:rsidRPr="006B3033">
        <w:rPr>
          <w:rFonts w:cs="Calibri"/>
          <w:lang w:val="en-US"/>
        </w:rPr>
        <w:t>disintegration of native society</w:t>
      </w:r>
      <w:r w:rsidRPr="006B3033">
        <w:rPr>
          <w:rFonts w:cs="Calibri"/>
          <w:lang w:val="en-US"/>
        </w:rPr>
        <w:t>’</w:t>
      </w:r>
      <w:r w:rsidRPr="006B3033">
        <w:rPr>
          <w:rFonts w:cs="Calibri"/>
          <w:lang w:val="en-US"/>
        </w:rPr>
        <w:t xml:space="preserve">. See further: Amry Vandenbosch, </w:t>
      </w:r>
      <w:r>
        <w:rPr>
          <w:rFonts w:cs="Calibri"/>
          <w:lang w:val="en-US"/>
        </w:rPr>
        <w:t>“</w:t>
      </w:r>
      <w:r w:rsidRPr="006B3033">
        <w:rPr>
          <w:rFonts w:cs="Calibri"/>
          <w:lang w:val="en-US"/>
        </w:rPr>
        <w:t>Customary Law in the Dutch East Indies</w:t>
      </w:r>
      <w:r>
        <w:rPr>
          <w:rFonts w:cs="Calibri"/>
          <w:lang w:val="en-US"/>
        </w:rPr>
        <w:t>,</w:t>
      </w:r>
      <w:r>
        <w:rPr>
          <w:rFonts w:cs="Calibri"/>
          <w:lang w:val="en-US"/>
        </w:rPr>
        <w:t>”</w:t>
      </w:r>
      <w:r>
        <w:rPr>
          <w:rFonts w:cs="Calibri"/>
          <w:lang w:val="en-US"/>
        </w:rPr>
        <w:t xml:space="preserve"> </w:t>
      </w:r>
      <w:r w:rsidRPr="00E30012">
        <w:rPr>
          <w:rFonts w:cs="Calibri"/>
          <w:i/>
          <w:iCs/>
          <w:lang w:val="en-US"/>
        </w:rPr>
        <w:t>Journal of Comparative Legislation and International Law</w:t>
      </w:r>
      <w:r w:rsidRPr="006B3033">
        <w:rPr>
          <w:rFonts w:cs="Calibri"/>
          <w:lang w:val="en-US"/>
        </w:rPr>
        <w:t xml:space="preserve"> 14</w:t>
      </w:r>
      <w:r>
        <w:rPr>
          <w:rFonts w:cs="Calibri"/>
          <w:lang w:val="en-US"/>
        </w:rPr>
        <w:t xml:space="preserve">, no. </w:t>
      </w:r>
      <w:r w:rsidRPr="006B3033">
        <w:rPr>
          <w:rFonts w:cs="Calibri"/>
          <w:lang w:val="en-US"/>
        </w:rPr>
        <w:t xml:space="preserve">1 (1932), 31; Daniel S. Lev, </w:t>
      </w:r>
      <w:r>
        <w:rPr>
          <w:rFonts w:cs="Calibri"/>
          <w:lang w:val="en-US"/>
        </w:rPr>
        <w:t>“</w:t>
      </w:r>
      <w:r>
        <w:rPr>
          <w:rFonts w:cs="Calibri"/>
          <w:lang w:val="en-US"/>
        </w:rPr>
        <w:t>C</w:t>
      </w:r>
      <w:r w:rsidRPr="006B3033">
        <w:rPr>
          <w:rFonts w:cs="Calibri"/>
          <w:lang w:val="en-US"/>
        </w:rPr>
        <w:t>olonial Law and the Genesis of the Indonesian State</w:t>
      </w:r>
      <w:r>
        <w:rPr>
          <w:rFonts w:cs="Calibri"/>
          <w:lang w:val="en-US"/>
        </w:rPr>
        <w:t>,</w:t>
      </w:r>
      <w:r>
        <w:rPr>
          <w:rFonts w:cs="Calibri"/>
          <w:lang w:val="en-US"/>
        </w:rPr>
        <w:t>”</w:t>
      </w:r>
      <w:r>
        <w:rPr>
          <w:rFonts w:cs="Calibri"/>
          <w:lang w:val="en-US"/>
        </w:rPr>
        <w:t xml:space="preserve"> </w:t>
      </w:r>
      <w:r w:rsidRPr="006B3033">
        <w:rPr>
          <w:rFonts w:cs="Calibri"/>
          <w:i/>
          <w:iCs/>
          <w:lang w:val="en-US"/>
        </w:rPr>
        <w:t>Indonesia</w:t>
      </w:r>
      <w:r w:rsidRPr="006B3033">
        <w:rPr>
          <w:rFonts w:cs="Calibri"/>
          <w:lang w:val="en-US"/>
        </w:rPr>
        <w:t xml:space="preserve"> 40 (1985), 57-74. Therefore, only the European population was subjected to the European law in the Dutch East Indies.  </w:t>
      </w:r>
    </w:p>
  </w:footnote>
  <w:footnote w:id="174">
    <w:p w14:paraId="49741603" w14:textId="77777777" w:rsidR="009847E8" w:rsidRPr="00A26FD7" w:rsidRDefault="009847E8" w:rsidP="00E30012">
      <w:pPr>
        <w:pStyle w:val="FootnoteText"/>
        <w:rPr>
          <w:rFonts w:cs="Calibri"/>
        </w:rPr>
      </w:pPr>
      <w:r w:rsidRPr="00CB7A6A">
        <w:rPr>
          <w:rStyle w:val="FootnoteReference"/>
          <w:rFonts w:cs="Calibri"/>
        </w:rPr>
        <w:footnoteRef/>
      </w:r>
      <w:r w:rsidRPr="00A26FD7">
        <w:rPr>
          <w:rFonts w:cs="Calibri"/>
        </w:rPr>
        <w:t xml:space="preserve"> Reybrouck, </w:t>
      </w:r>
      <w:r w:rsidRPr="00A26FD7">
        <w:rPr>
          <w:rFonts w:cs="Calibri"/>
          <w:i/>
          <w:iCs/>
        </w:rPr>
        <w:t>Revolusi</w:t>
      </w:r>
      <w:r w:rsidRPr="00A26FD7">
        <w:rPr>
          <w:rFonts w:cs="Calibri"/>
        </w:rPr>
        <w:t xml:space="preserve">, 83. </w:t>
      </w:r>
    </w:p>
  </w:footnote>
  <w:footnote w:id="175">
    <w:p w14:paraId="057D4C48" w14:textId="77777777" w:rsidR="009847E8" w:rsidRPr="00A26FD7" w:rsidRDefault="009847E8" w:rsidP="00E30012">
      <w:pPr>
        <w:pStyle w:val="FootnoteText"/>
      </w:pPr>
      <w:r>
        <w:rPr>
          <w:rStyle w:val="FootnoteReference"/>
        </w:rPr>
        <w:footnoteRef/>
      </w:r>
      <w:r w:rsidRPr="00A26FD7">
        <w:t xml:space="preserve"> </w:t>
      </w:r>
      <w:r w:rsidRPr="004D444D">
        <w:rPr>
          <w:i/>
          <w:iCs/>
        </w:rPr>
        <w:t>M</w:t>
      </w:r>
      <w:r w:rsidRPr="004D444D">
        <w:rPr>
          <w:i/>
          <w:iCs/>
        </w:rPr>
        <w:t>é</w:t>
      </w:r>
      <w:r w:rsidRPr="004D444D">
        <w:rPr>
          <w:i/>
          <w:iCs/>
        </w:rPr>
        <w:t>tissage</w:t>
      </w:r>
      <w:r>
        <w:t xml:space="preserve"> means interracialized mixing, </w:t>
      </w:r>
      <w:r w:rsidRPr="004D444D">
        <w:rPr>
          <w:i/>
          <w:iCs/>
        </w:rPr>
        <w:t>m</w:t>
      </w:r>
      <w:r w:rsidRPr="004D444D">
        <w:rPr>
          <w:i/>
          <w:iCs/>
        </w:rPr>
        <w:t>é</w:t>
      </w:r>
      <w:r w:rsidRPr="004D444D">
        <w:rPr>
          <w:i/>
          <w:iCs/>
        </w:rPr>
        <w:t>tis</w:t>
      </w:r>
      <w:r>
        <w:t xml:space="preserve"> are children from multiracialized origin, see Stoler, </w:t>
      </w:r>
      <w:r w:rsidRPr="006B3033">
        <w:rPr>
          <w:i/>
          <w:iCs/>
        </w:rPr>
        <w:t>Race and the Education of Desire</w:t>
      </w:r>
      <w:r>
        <w:t xml:space="preserve">, 46 and 106. </w:t>
      </w:r>
      <w:r w:rsidRPr="00A26FD7">
        <w:t xml:space="preserve"> </w:t>
      </w:r>
    </w:p>
  </w:footnote>
  <w:footnote w:id="176">
    <w:p w14:paraId="32E41BCE" w14:textId="77777777" w:rsidR="009847E8" w:rsidRPr="007D443A" w:rsidRDefault="009847E8" w:rsidP="007D443A">
      <w:pPr>
        <w:pStyle w:val="FootnoteText"/>
        <w:rPr>
          <w:lang w:val="en-US"/>
        </w:rPr>
      </w:pPr>
      <w:r>
        <w:rPr>
          <w:rStyle w:val="FootnoteReference"/>
        </w:rPr>
        <w:footnoteRef/>
      </w:r>
      <w:r>
        <w:t xml:space="preserve"> Stoler, </w:t>
      </w:r>
      <w:r w:rsidRPr="006B3033">
        <w:rPr>
          <w:i/>
          <w:iCs/>
        </w:rPr>
        <w:t>Race and the Education of Desire</w:t>
      </w:r>
      <w:r>
        <w:t>, 112.</w:t>
      </w:r>
    </w:p>
  </w:footnote>
  <w:footnote w:id="177">
    <w:p w14:paraId="740B89C5" w14:textId="77777777" w:rsidR="009847E8" w:rsidRPr="00E30012" w:rsidRDefault="009847E8" w:rsidP="00E30012">
      <w:pPr>
        <w:pStyle w:val="FootnoteText"/>
        <w:rPr>
          <w:rFonts w:cs="Calibri"/>
        </w:rPr>
      </w:pPr>
      <w:r w:rsidRPr="00871C24">
        <w:rPr>
          <w:rStyle w:val="FootnoteReference"/>
          <w:rFonts w:cs="Calibri"/>
        </w:rPr>
        <w:footnoteRef/>
      </w:r>
      <w:r w:rsidRPr="00871C24">
        <w:rPr>
          <w:rFonts w:cs="Calibri"/>
        </w:rPr>
        <w:t xml:space="preserve"> Taylor, </w:t>
      </w:r>
      <w:r w:rsidRPr="00BC3D30">
        <w:rPr>
          <w:rFonts w:cs="Calibri"/>
          <w:i/>
          <w:iCs/>
        </w:rPr>
        <w:t>Indonesia: Peoples and Histories</w:t>
      </w:r>
      <w:r w:rsidRPr="00871C24">
        <w:rPr>
          <w:rFonts w:cs="Calibri"/>
        </w:rPr>
        <w:t>, 284</w:t>
      </w:r>
      <w:r>
        <w:rPr>
          <w:rFonts w:cs="Calibri"/>
        </w:rPr>
        <w:t xml:space="preserve">; </w:t>
      </w:r>
      <w:r>
        <w:rPr>
          <w:lang w:val="en-US"/>
        </w:rPr>
        <w:t>Ming</w:t>
      </w:r>
      <w:r w:rsidRPr="00CB7A6A">
        <w:rPr>
          <w:rFonts w:cs="Calibri"/>
        </w:rPr>
        <w:t xml:space="preserve">, </w:t>
      </w:r>
      <w:r>
        <w:rPr>
          <w:rFonts w:cs="Calibri"/>
        </w:rPr>
        <w:t>“</w:t>
      </w:r>
      <w:r w:rsidRPr="00CB7A6A">
        <w:rPr>
          <w:rFonts w:cs="Calibri"/>
        </w:rPr>
        <w:t>Barrack-Concubinage in the Indies</w:t>
      </w:r>
      <w:r>
        <w:rPr>
          <w:rFonts w:cs="Calibri"/>
        </w:rPr>
        <w:t>,</w:t>
      </w:r>
      <w:r>
        <w:rPr>
          <w:rFonts w:cs="Calibri"/>
        </w:rPr>
        <w:t>”</w:t>
      </w:r>
      <w:r>
        <w:rPr>
          <w:rFonts w:cs="Calibri"/>
        </w:rPr>
        <w:t xml:space="preserve"> 92.</w:t>
      </w:r>
    </w:p>
  </w:footnote>
  <w:footnote w:id="178">
    <w:p w14:paraId="79B145E5" w14:textId="77777777" w:rsidR="009847E8" w:rsidRDefault="009847E8" w:rsidP="00E30012">
      <w:pPr>
        <w:pStyle w:val="FootnoteText"/>
      </w:pPr>
      <w:r>
        <w:rPr>
          <w:rStyle w:val="FootnoteReference"/>
        </w:rPr>
        <w:footnoteRef/>
      </w:r>
      <w:r>
        <w:t xml:space="preserve"> </w:t>
      </w:r>
      <w:r w:rsidRPr="00871C24">
        <w:rPr>
          <w:rFonts w:cs="Calibri"/>
        </w:rPr>
        <w:t xml:space="preserve">Taylor, </w:t>
      </w:r>
      <w:r w:rsidRPr="00871C24">
        <w:rPr>
          <w:rFonts w:cs="Calibri"/>
          <w:i/>
          <w:iCs/>
        </w:rPr>
        <w:t>Indonesia: Peoples and Histories</w:t>
      </w:r>
      <w:r w:rsidRPr="00871C24">
        <w:rPr>
          <w:rFonts w:cs="Calibri"/>
        </w:rPr>
        <w:t>, 28</w:t>
      </w:r>
      <w:r>
        <w:rPr>
          <w:rFonts w:cs="Calibri"/>
        </w:rPr>
        <w:t>5.</w:t>
      </w:r>
    </w:p>
  </w:footnote>
  <w:footnote w:id="179">
    <w:p w14:paraId="20D361CC" w14:textId="77777777" w:rsidR="009847E8" w:rsidRPr="00871C24" w:rsidRDefault="009847E8" w:rsidP="00E30012">
      <w:pPr>
        <w:pStyle w:val="FootnoteText"/>
      </w:pPr>
      <w:r>
        <w:rPr>
          <w:rStyle w:val="FootnoteReference"/>
        </w:rPr>
        <w:footnoteRef/>
      </w:r>
      <w:r>
        <w:t xml:space="preserve"> </w:t>
      </w:r>
      <w:r w:rsidRPr="00577A21">
        <w:rPr>
          <w:rFonts w:cs="Calibri"/>
        </w:rPr>
        <w:t xml:space="preserve">Taylor, </w:t>
      </w:r>
      <w:r w:rsidRPr="00577A21">
        <w:rPr>
          <w:rFonts w:cs="Calibri"/>
          <w:i/>
          <w:iCs/>
        </w:rPr>
        <w:t>Social World of Batavia</w:t>
      </w:r>
      <w:r>
        <w:rPr>
          <w:rFonts w:cs="Calibri"/>
        </w:rPr>
        <w:t xml:space="preserve">, 128. </w:t>
      </w:r>
    </w:p>
  </w:footnote>
  <w:footnote w:id="180">
    <w:p w14:paraId="685B8F78" w14:textId="77777777" w:rsidR="009847E8" w:rsidRPr="00CB7A6A" w:rsidRDefault="009847E8" w:rsidP="00E30012">
      <w:pPr>
        <w:pStyle w:val="FootnoteText"/>
        <w:rPr>
          <w:rFonts w:cs="Calibri"/>
        </w:rPr>
      </w:pPr>
      <w:r w:rsidRPr="00CB7A6A">
        <w:rPr>
          <w:rStyle w:val="FootnoteReference"/>
          <w:rFonts w:cs="Calibri"/>
        </w:rPr>
        <w:footnoteRef/>
      </w:r>
      <w:r w:rsidRPr="00CB7A6A">
        <w:rPr>
          <w:rFonts w:cs="Calibri"/>
        </w:rPr>
        <w:t xml:space="preserve"> Stoler, </w:t>
      </w:r>
      <w:r>
        <w:rPr>
          <w:rFonts w:cs="Calibri"/>
        </w:rPr>
        <w:t>“</w:t>
      </w:r>
      <w:r w:rsidRPr="00CB7A6A">
        <w:rPr>
          <w:rFonts w:cs="Calibri"/>
        </w:rPr>
        <w:t>Making Empire Respectable</w:t>
      </w:r>
      <w:r>
        <w:rPr>
          <w:rFonts w:cs="Calibri"/>
        </w:rPr>
        <w:t>,</w:t>
      </w:r>
      <w:r>
        <w:rPr>
          <w:rFonts w:cs="Calibri"/>
        </w:rPr>
        <w:t>”</w:t>
      </w:r>
      <w:r w:rsidRPr="00CB7A6A">
        <w:rPr>
          <w:rFonts w:cs="Calibri"/>
        </w:rPr>
        <w:t xml:space="preserve"> 644.</w:t>
      </w:r>
    </w:p>
  </w:footnote>
  <w:footnote w:id="181">
    <w:p w14:paraId="1B9BEFEC" w14:textId="77777777" w:rsidR="009847E8" w:rsidRPr="00CB7A6A" w:rsidRDefault="009847E8" w:rsidP="00E30012">
      <w:pPr>
        <w:pStyle w:val="FootnoteText"/>
        <w:rPr>
          <w:rFonts w:cs="Calibri"/>
        </w:rPr>
      </w:pPr>
      <w:r w:rsidRPr="00CB7A6A">
        <w:rPr>
          <w:rStyle w:val="FootnoteReference"/>
          <w:rFonts w:cs="Calibri"/>
        </w:rPr>
        <w:footnoteRef/>
      </w:r>
      <w:r w:rsidRPr="00CB7A6A">
        <w:rPr>
          <w:rFonts w:cs="Calibri"/>
        </w:rPr>
        <w:t xml:space="preserve"> Jones, </w:t>
      </w:r>
      <w:r>
        <w:rPr>
          <w:rFonts w:cs="Calibri"/>
        </w:rPr>
        <w:t>“</w:t>
      </w:r>
      <w:r w:rsidRPr="00871C24">
        <w:rPr>
          <w:rFonts w:cs="Calibri"/>
        </w:rPr>
        <w:t>Dutch Politics of Intimacy</w:t>
      </w:r>
      <w:r>
        <w:rPr>
          <w:rFonts w:cs="Calibri"/>
        </w:rPr>
        <w:t>,</w:t>
      </w:r>
      <w:r>
        <w:rPr>
          <w:rFonts w:cs="Calibri"/>
        </w:rPr>
        <w:t>”</w:t>
      </w:r>
      <w:r w:rsidRPr="00CB7A6A">
        <w:rPr>
          <w:rFonts w:cs="Calibri"/>
        </w:rPr>
        <w:t xml:space="preserve"> 65. </w:t>
      </w:r>
    </w:p>
  </w:footnote>
  <w:footnote w:id="182">
    <w:p w14:paraId="484FF7D7" w14:textId="77777777" w:rsidR="009847E8" w:rsidRPr="00CB7A6A" w:rsidRDefault="009847E8" w:rsidP="00E30012">
      <w:pPr>
        <w:pStyle w:val="FootnoteText"/>
        <w:rPr>
          <w:rFonts w:cs="Calibri"/>
        </w:rPr>
      </w:pPr>
      <w:r w:rsidRPr="00CB7A6A">
        <w:rPr>
          <w:rStyle w:val="FootnoteReference"/>
          <w:rFonts w:cs="Calibri"/>
        </w:rPr>
        <w:footnoteRef/>
      </w:r>
      <w:r w:rsidRPr="00CB7A6A">
        <w:rPr>
          <w:rFonts w:cs="Calibri"/>
        </w:rPr>
        <w:t xml:space="preserve"> Hart, </w:t>
      </w:r>
      <w:r w:rsidRPr="00EA7DE7">
        <w:rPr>
          <w:rFonts w:cs="Calibri"/>
          <w:i/>
          <w:iCs/>
        </w:rPr>
        <w:t>Unlikely Couples</w:t>
      </w:r>
      <w:r w:rsidRPr="00CB7A6A">
        <w:rPr>
          <w:rFonts w:cs="Calibri"/>
        </w:rPr>
        <w:t>,</w:t>
      </w:r>
      <w:r>
        <w:rPr>
          <w:rFonts w:cs="Calibri"/>
        </w:rPr>
        <w:t xml:space="preserve"> 32.</w:t>
      </w:r>
    </w:p>
  </w:footnote>
  <w:footnote w:id="183">
    <w:p w14:paraId="3EE3DB68" w14:textId="77777777" w:rsidR="009847E8" w:rsidRPr="00CB7A6A" w:rsidRDefault="009847E8" w:rsidP="00E30012">
      <w:pPr>
        <w:pStyle w:val="FootnoteText"/>
        <w:rPr>
          <w:rFonts w:cs="Calibri"/>
        </w:rPr>
      </w:pPr>
      <w:r w:rsidRPr="00CB7A6A">
        <w:rPr>
          <w:rStyle w:val="FootnoteReference"/>
          <w:rFonts w:cs="Calibri"/>
        </w:rPr>
        <w:footnoteRef/>
      </w:r>
      <w:r w:rsidRPr="00CB7A6A">
        <w:rPr>
          <w:rFonts w:cs="Calibri"/>
        </w:rPr>
        <w:t xml:space="preserve"> Hart, </w:t>
      </w:r>
      <w:r w:rsidRPr="00EA7DE7">
        <w:rPr>
          <w:rFonts w:cs="Calibri"/>
          <w:i/>
          <w:iCs/>
        </w:rPr>
        <w:t>Unlikely Couples</w:t>
      </w:r>
      <w:r w:rsidRPr="00CB7A6A">
        <w:rPr>
          <w:rFonts w:cs="Calibri"/>
        </w:rPr>
        <w:t xml:space="preserve">, 32. </w:t>
      </w:r>
    </w:p>
  </w:footnote>
  <w:footnote w:id="184">
    <w:p w14:paraId="4664F8A0" w14:textId="77777777" w:rsidR="009847E8" w:rsidRPr="009847E8" w:rsidRDefault="009847E8">
      <w:pPr>
        <w:pStyle w:val="FootnoteText"/>
        <w:rPr>
          <w:lang w:val="nl-NL"/>
        </w:rPr>
      </w:pPr>
      <w:r w:rsidRPr="006B3033">
        <w:rPr>
          <w:rStyle w:val="FootnoteReference"/>
          <w:lang w:val="en-US"/>
        </w:rPr>
        <w:footnoteRef/>
      </w:r>
      <w:r w:rsidRPr="009847E8">
        <w:rPr>
          <w:lang w:val="nl-NL"/>
        </w:rPr>
        <w:t xml:space="preserve"> Olf Praamstra, </w:t>
      </w:r>
      <w:r w:rsidRPr="009847E8">
        <w:rPr>
          <w:lang w:val="nl-NL"/>
        </w:rPr>
        <w:t>“</w:t>
      </w:r>
      <w:r w:rsidRPr="009847E8">
        <w:rPr>
          <w:lang w:val="nl-NL"/>
        </w:rPr>
        <w:t>Vertrapt Door Totoks En Opzij geduwd Door Chinezen En Javanen: Victor Ido,</w:t>
      </w:r>
      <w:r w:rsidRPr="009847E8">
        <w:rPr>
          <w:lang w:val="nl-NL"/>
        </w:rPr>
        <w:t>”</w:t>
      </w:r>
      <w:r w:rsidRPr="009847E8">
        <w:rPr>
          <w:lang w:val="nl-NL"/>
        </w:rPr>
        <w:t xml:space="preserve"> In:</w:t>
      </w:r>
      <w:r w:rsidRPr="009847E8">
        <w:rPr>
          <w:lang w:val="nl-NL"/>
        </w:rPr>
        <w:t> </w:t>
      </w:r>
      <w:r w:rsidRPr="009847E8">
        <w:rPr>
          <w:lang w:val="nl-NL"/>
        </w:rPr>
        <w:t xml:space="preserve">Rick Honings, Coen Van </w:t>
      </w:r>
      <w:r w:rsidRPr="009847E8">
        <w:rPr>
          <w:lang w:val="nl-NL"/>
        </w:rPr>
        <w:t>’</w:t>
      </w:r>
      <w:r w:rsidRPr="009847E8">
        <w:rPr>
          <w:lang w:val="nl-NL"/>
        </w:rPr>
        <w:t xml:space="preserve">t Veer, And Jacqueline Bel (eds.), </w:t>
      </w:r>
      <w:r w:rsidRPr="009847E8">
        <w:rPr>
          <w:i/>
          <w:iCs/>
          <w:lang w:val="nl-NL"/>
        </w:rPr>
        <w:t>De Postkoloniale Spiegel: De Nederlands-Indische Letteren Herlezen</w:t>
      </w:r>
      <w:r w:rsidRPr="009847E8">
        <w:rPr>
          <w:lang w:val="nl-NL"/>
        </w:rPr>
        <w:t xml:space="preserve"> (Leiden University Press, 2021), 198.</w:t>
      </w:r>
    </w:p>
  </w:footnote>
  <w:footnote w:id="185">
    <w:p w14:paraId="2AA2F5C8" w14:textId="77777777" w:rsidR="009847E8" w:rsidRPr="009847E8" w:rsidRDefault="009847E8" w:rsidP="006B3033">
      <w:pPr>
        <w:pStyle w:val="FootnoteText"/>
        <w:rPr>
          <w:rFonts w:cs="Calibri"/>
          <w:lang w:val="nl-NL"/>
        </w:rPr>
      </w:pPr>
      <w:r w:rsidRPr="00280C3A">
        <w:rPr>
          <w:rStyle w:val="FootnoteReference"/>
          <w:rFonts w:cs="Calibri"/>
        </w:rPr>
        <w:footnoteRef/>
      </w:r>
      <w:r w:rsidRPr="009847E8">
        <w:rPr>
          <w:rFonts w:cs="Calibri"/>
          <w:lang w:val="nl-NL"/>
        </w:rPr>
        <w:t xml:space="preserve"> Stoler, </w:t>
      </w:r>
      <w:r w:rsidRPr="009847E8">
        <w:rPr>
          <w:rFonts w:cs="Calibri"/>
          <w:lang w:val="nl-NL"/>
        </w:rPr>
        <w:t>“</w:t>
      </w:r>
      <w:r w:rsidRPr="009847E8">
        <w:rPr>
          <w:rFonts w:cs="Calibri"/>
          <w:lang w:val="nl-NL"/>
        </w:rPr>
        <w:t>Making Empire Respectable,</w:t>
      </w:r>
      <w:r w:rsidRPr="009847E8">
        <w:rPr>
          <w:rFonts w:cs="Calibri"/>
          <w:lang w:val="nl-NL"/>
        </w:rPr>
        <w:t>”</w:t>
      </w:r>
      <w:r w:rsidRPr="009847E8">
        <w:rPr>
          <w:rFonts w:cs="Calibri"/>
          <w:lang w:val="nl-NL"/>
        </w:rPr>
        <w:t xml:space="preserve"> 635.</w:t>
      </w:r>
    </w:p>
  </w:footnote>
  <w:footnote w:id="186">
    <w:p w14:paraId="48BBC376" w14:textId="77777777" w:rsidR="009847E8" w:rsidRPr="009847E8" w:rsidRDefault="009847E8" w:rsidP="006B3033">
      <w:pPr>
        <w:pStyle w:val="FootnoteText"/>
        <w:rPr>
          <w:rFonts w:cs="Calibri"/>
          <w:lang w:val="nl-NL"/>
        </w:rPr>
      </w:pPr>
      <w:r w:rsidRPr="00280C3A">
        <w:rPr>
          <w:rStyle w:val="FootnoteReference"/>
          <w:rFonts w:cs="Calibri"/>
        </w:rPr>
        <w:footnoteRef/>
      </w:r>
      <w:r w:rsidRPr="009847E8">
        <w:rPr>
          <w:rFonts w:cs="Calibri"/>
          <w:lang w:val="nl-NL"/>
        </w:rPr>
        <w:t xml:space="preserve"> Bosma, Raben, </w:t>
      </w:r>
      <w:r w:rsidRPr="009847E8">
        <w:rPr>
          <w:rFonts w:cs="Calibri"/>
          <w:i/>
          <w:iCs/>
          <w:lang w:val="nl-NL"/>
        </w:rPr>
        <w:t>Oude Indische wereld</w:t>
      </w:r>
      <w:r w:rsidRPr="009847E8">
        <w:rPr>
          <w:rFonts w:cs="Calibri"/>
          <w:lang w:val="nl-NL"/>
        </w:rPr>
        <w:t xml:space="preserve">, 35. </w:t>
      </w:r>
    </w:p>
  </w:footnote>
  <w:footnote w:id="187">
    <w:p w14:paraId="66465C7B" w14:textId="77777777" w:rsidR="009847E8" w:rsidRPr="009847E8" w:rsidRDefault="009847E8">
      <w:pPr>
        <w:pStyle w:val="FootnoteText"/>
        <w:rPr>
          <w:lang w:val="nl-NL"/>
        </w:rPr>
      </w:pPr>
      <w:r>
        <w:rPr>
          <w:rStyle w:val="FootnoteReference"/>
        </w:rPr>
        <w:footnoteRef/>
      </w:r>
      <w:r w:rsidRPr="009847E8">
        <w:rPr>
          <w:lang w:val="nl-NL"/>
        </w:rPr>
        <w:t xml:space="preserve"> Praamstra, </w:t>
      </w:r>
      <w:r w:rsidRPr="009847E8">
        <w:rPr>
          <w:lang w:val="nl-NL"/>
        </w:rPr>
        <w:t>“</w:t>
      </w:r>
      <w:r w:rsidRPr="009847E8">
        <w:rPr>
          <w:lang w:val="nl-NL"/>
        </w:rPr>
        <w:t>Vertrapt door totoks,</w:t>
      </w:r>
      <w:r w:rsidRPr="009847E8">
        <w:rPr>
          <w:lang w:val="nl-NL"/>
        </w:rPr>
        <w:t>”</w:t>
      </w:r>
      <w:r w:rsidRPr="009847E8">
        <w:rPr>
          <w:lang w:val="nl-NL"/>
        </w:rPr>
        <w:t xml:space="preserve"> 198. </w:t>
      </w:r>
    </w:p>
  </w:footnote>
  <w:footnote w:id="188">
    <w:p w14:paraId="3456D9FD" w14:textId="77777777" w:rsidR="009847E8" w:rsidRPr="00280C3A" w:rsidRDefault="009847E8" w:rsidP="001D6CB4">
      <w:pPr>
        <w:pStyle w:val="FootnoteText"/>
        <w:rPr>
          <w:rFonts w:cs="Calibri"/>
        </w:rPr>
      </w:pPr>
      <w:r w:rsidRPr="00280C3A">
        <w:rPr>
          <w:rStyle w:val="FootnoteReference"/>
          <w:rFonts w:cs="Calibri"/>
        </w:rPr>
        <w:footnoteRef/>
      </w:r>
      <w:r w:rsidRPr="009847E8">
        <w:rPr>
          <w:rFonts w:cs="Calibri"/>
          <w:lang w:val="nl-NL"/>
        </w:rPr>
        <w:t xml:space="preserve"> Cornelis van Dijk, Jean Gelman Taylor.</w:t>
      </w:r>
      <w:r w:rsidRPr="009847E8">
        <w:rPr>
          <w:rFonts w:cs="Calibri"/>
          <w:lang w:val="nl-NL"/>
        </w:rPr>
        <w:t> </w:t>
      </w:r>
      <w:r w:rsidRPr="00280C3A">
        <w:rPr>
          <w:rFonts w:cs="Calibri"/>
          <w:i/>
          <w:iCs/>
        </w:rPr>
        <w:t>Cleanliness and Culture: Indonesian Histories</w:t>
      </w:r>
      <w:r w:rsidRPr="00280C3A">
        <w:rPr>
          <w:rFonts w:cs="Calibri"/>
        </w:rPr>
        <w:t>. Leiden: KITLV Press, 2011,</w:t>
      </w:r>
      <w:r>
        <w:rPr>
          <w:rFonts w:cs="Calibri"/>
        </w:rPr>
        <w:t xml:space="preserve"> </w:t>
      </w:r>
      <w:r w:rsidRPr="00280C3A">
        <w:rPr>
          <w:rFonts w:cs="Calibri"/>
        </w:rPr>
        <w:t xml:space="preserve">ix. </w:t>
      </w:r>
    </w:p>
  </w:footnote>
  <w:footnote w:id="189">
    <w:p w14:paraId="02F589B1" w14:textId="77777777" w:rsidR="009847E8" w:rsidRPr="00280C3A" w:rsidRDefault="009847E8" w:rsidP="001D6CB4">
      <w:pPr>
        <w:pStyle w:val="FootnoteText"/>
        <w:rPr>
          <w:rFonts w:cs="Calibri"/>
        </w:rPr>
      </w:pPr>
      <w:r w:rsidRPr="00280C3A">
        <w:rPr>
          <w:rStyle w:val="FootnoteReference"/>
          <w:rFonts w:cs="Calibri"/>
        </w:rPr>
        <w:footnoteRef/>
      </w:r>
      <w:r w:rsidRPr="00280C3A">
        <w:rPr>
          <w:rFonts w:cs="Calibri"/>
        </w:rPr>
        <w:t xml:space="preserve"> Kees van Dijk, </w:t>
      </w:r>
      <w:r>
        <w:rPr>
          <w:rFonts w:cs="Calibri"/>
        </w:rPr>
        <w:t>“</w:t>
      </w:r>
      <w:r>
        <w:rPr>
          <w:rFonts w:cs="Calibri"/>
        </w:rPr>
        <w:t>S</w:t>
      </w:r>
      <w:r w:rsidRPr="00280C3A">
        <w:rPr>
          <w:rFonts w:cs="Calibri"/>
        </w:rPr>
        <w:t>oap is the onset of civilization</w:t>
      </w:r>
      <w:r>
        <w:rPr>
          <w:rFonts w:cs="Calibri"/>
        </w:rPr>
        <w:t>,</w:t>
      </w:r>
      <w:r>
        <w:rPr>
          <w:rFonts w:cs="Calibri"/>
        </w:rPr>
        <w:t>”</w:t>
      </w:r>
      <w:r w:rsidRPr="00280C3A">
        <w:rPr>
          <w:rFonts w:cs="Calibri"/>
        </w:rPr>
        <w:t xml:space="preserve"> in: </w:t>
      </w:r>
      <w:r w:rsidRPr="00280C3A">
        <w:rPr>
          <w:rFonts w:cs="Calibri"/>
          <w:i/>
          <w:iCs/>
        </w:rPr>
        <w:t>Cleanliness and Culture</w:t>
      </w:r>
      <w:r w:rsidRPr="00280C3A">
        <w:rPr>
          <w:rFonts w:cs="Calibri"/>
        </w:rPr>
        <w:t xml:space="preserve">, 1. </w:t>
      </w:r>
    </w:p>
  </w:footnote>
  <w:footnote w:id="190">
    <w:p w14:paraId="20B0096B" w14:textId="77777777" w:rsidR="009847E8" w:rsidRPr="00280C3A" w:rsidRDefault="009847E8" w:rsidP="001D6CB4">
      <w:pPr>
        <w:pStyle w:val="FootnoteText"/>
        <w:rPr>
          <w:rFonts w:cs="Calibri"/>
        </w:rPr>
      </w:pPr>
      <w:r w:rsidRPr="00280C3A">
        <w:rPr>
          <w:rStyle w:val="FootnoteReference"/>
          <w:rFonts w:cs="Calibri"/>
        </w:rPr>
        <w:footnoteRef/>
      </w:r>
      <w:r w:rsidRPr="00280C3A">
        <w:rPr>
          <w:rFonts w:cs="Calibri"/>
        </w:rPr>
        <w:t xml:space="preserve"> Dijk, </w:t>
      </w:r>
      <w:r w:rsidRPr="00280C3A">
        <w:rPr>
          <w:rFonts w:cs="Calibri"/>
          <w:i/>
          <w:iCs/>
        </w:rPr>
        <w:t>Cleanliness and Culture</w:t>
      </w:r>
      <w:r w:rsidRPr="00280C3A">
        <w:rPr>
          <w:rFonts w:cs="Calibri"/>
        </w:rPr>
        <w:t>, 3.</w:t>
      </w:r>
    </w:p>
  </w:footnote>
  <w:footnote w:id="191">
    <w:p w14:paraId="1C66179B" w14:textId="77777777" w:rsidR="009847E8" w:rsidRPr="00577A21" w:rsidRDefault="009847E8" w:rsidP="001D6CB4">
      <w:pPr>
        <w:pStyle w:val="FootnoteText"/>
        <w:rPr>
          <w:rFonts w:cs="Calibri"/>
        </w:rPr>
      </w:pPr>
      <w:r w:rsidRPr="00577A21">
        <w:rPr>
          <w:rStyle w:val="FootnoteReference"/>
          <w:rFonts w:cs="Calibri"/>
        </w:rPr>
        <w:footnoteRef/>
      </w:r>
      <w:r w:rsidRPr="00577A21">
        <w:rPr>
          <w:rFonts w:cs="Calibri"/>
        </w:rPr>
        <w:t xml:space="preserve"> Taylor, </w:t>
      </w:r>
      <w:r w:rsidRPr="00577A21">
        <w:rPr>
          <w:rFonts w:cs="Calibri"/>
          <w:i/>
          <w:iCs/>
        </w:rPr>
        <w:t>Social World of Batavia</w:t>
      </w:r>
      <w:r w:rsidRPr="00577A21">
        <w:rPr>
          <w:rFonts w:cs="Calibri"/>
        </w:rPr>
        <w:t xml:space="preserve">, 41. </w:t>
      </w:r>
    </w:p>
  </w:footnote>
  <w:footnote w:id="192">
    <w:p w14:paraId="13A4559A" w14:textId="77777777" w:rsidR="009847E8" w:rsidRPr="00280C3A" w:rsidRDefault="009847E8" w:rsidP="001D6CB4">
      <w:pPr>
        <w:pStyle w:val="FootnoteText"/>
        <w:rPr>
          <w:rFonts w:cs="Calibri"/>
        </w:rPr>
      </w:pPr>
      <w:r w:rsidRPr="00280C3A">
        <w:rPr>
          <w:rStyle w:val="FootnoteReference"/>
          <w:rFonts w:cs="Calibri"/>
        </w:rPr>
        <w:footnoteRef/>
      </w:r>
      <w:r w:rsidRPr="00280C3A">
        <w:rPr>
          <w:rFonts w:cs="Calibri"/>
        </w:rPr>
        <w:t xml:space="preserve"> Dijk, </w:t>
      </w:r>
      <w:r w:rsidRPr="00280C3A">
        <w:rPr>
          <w:rFonts w:cs="Calibri"/>
          <w:i/>
          <w:iCs/>
        </w:rPr>
        <w:t>Cleanliness and Culture</w:t>
      </w:r>
      <w:r w:rsidRPr="00280C3A">
        <w:rPr>
          <w:rFonts w:cs="Calibri"/>
        </w:rPr>
        <w:t xml:space="preserve">, 16. </w:t>
      </w:r>
    </w:p>
  </w:footnote>
  <w:footnote w:id="193">
    <w:p w14:paraId="2274A294" w14:textId="77777777" w:rsidR="009847E8" w:rsidRPr="00280C3A" w:rsidRDefault="009847E8" w:rsidP="001D6CB4">
      <w:pPr>
        <w:pStyle w:val="FootnoteText"/>
        <w:rPr>
          <w:rFonts w:cs="Calibri"/>
        </w:rPr>
      </w:pPr>
      <w:r w:rsidRPr="00280C3A">
        <w:rPr>
          <w:rStyle w:val="FootnoteReference"/>
          <w:rFonts w:cs="Calibri"/>
        </w:rPr>
        <w:footnoteRef/>
      </w:r>
      <w:r w:rsidRPr="00280C3A">
        <w:rPr>
          <w:rFonts w:cs="Calibri"/>
        </w:rPr>
        <w:t xml:space="preserve"> Dijk, </w:t>
      </w:r>
      <w:r w:rsidRPr="00280C3A">
        <w:rPr>
          <w:rFonts w:cs="Calibri"/>
          <w:i/>
          <w:iCs/>
        </w:rPr>
        <w:t>Cleanliness and Culture</w:t>
      </w:r>
      <w:r w:rsidRPr="00280C3A">
        <w:rPr>
          <w:rFonts w:cs="Calibri"/>
        </w:rPr>
        <w:t xml:space="preserve">, 26. </w:t>
      </w:r>
    </w:p>
  </w:footnote>
  <w:footnote w:id="194">
    <w:p w14:paraId="6F8DD2FE" w14:textId="77777777" w:rsidR="009847E8" w:rsidRPr="00280C3A" w:rsidRDefault="009847E8" w:rsidP="001D6CB4">
      <w:pPr>
        <w:pStyle w:val="FootnoteText"/>
        <w:rPr>
          <w:rFonts w:cs="Calibri"/>
        </w:rPr>
      </w:pPr>
      <w:r w:rsidRPr="00280C3A">
        <w:rPr>
          <w:rStyle w:val="FootnoteReference"/>
          <w:rFonts w:cs="Calibri"/>
        </w:rPr>
        <w:footnoteRef/>
      </w:r>
      <w:r w:rsidRPr="00280C3A">
        <w:rPr>
          <w:rFonts w:cs="Calibri"/>
        </w:rPr>
        <w:t xml:space="preserve"> Dijk</w:t>
      </w:r>
      <w:r>
        <w:rPr>
          <w:rFonts w:cs="Calibri"/>
        </w:rPr>
        <w:t>,</w:t>
      </w:r>
      <w:r w:rsidRPr="00280C3A">
        <w:rPr>
          <w:rFonts w:cs="Calibri"/>
          <w:i/>
          <w:iCs/>
        </w:rPr>
        <w:t xml:space="preserve"> Cleanliness and Culture</w:t>
      </w:r>
      <w:r w:rsidRPr="00280C3A">
        <w:rPr>
          <w:rFonts w:cs="Calibri"/>
        </w:rPr>
        <w:t>, 26-27.</w:t>
      </w:r>
    </w:p>
  </w:footnote>
  <w:footnote w:id="195">
    <w:p w14:paraId="2EE44233" w14:textId="77777777" w:rsidR="009847E8" w:rsidRDefault="009847E8" w:rsidP="001D6CB4">
      <w:pPr>
        <w:pStyle w:val="FootnoteText"/>
      </w:pPr>
      <w:r w:rsidRPr="00280C3A">
        <w:rPr>
          <w:rStyle w:val="FootnoteReference"/>
          <w:rFonts w:cs="Calibri"/>
        </w:rPr>
        <w:footnoteRef/>
      </w:r>
      <w:r w:rsidRPr="00280C3A">
        <w:rPr>
          <w:rFonts w:cs="Calibri"/>
        </w:rPr>
        <w:t xml:space="preserve"> Dijk, </w:t>
      </w:r>
      <w:r w:rsidRPr="00280C3A">
        <w:rPr>
          <w:rFonts w:cs="Calibri"/>
          <w:i/>
          <w:iCs/>
        </w:rPr>
        <w:t>Cleanliness and Culture</w:t>
      </w:r>
      <w:r w:rsidRPr="00280C3A">
        <w:rPr>
          <w:rFonts w:cs="Calibri"/>
        </w:rPr>
        <w:t>, 31.</w:t>
      </w:r>
    </w:p>
  </w:footnote>
  <w:footnote w:id="196">
    <w:p w14:paraId="05CC75F9" w14:textId="77777777" w:rsidR="009847E8" w:rsidRDefault="009847E8" w:rsidP="001D6CB4">
      <w:pPr>
        <w:pStyle w:val="FootnoteText"/>
      </w:pPr>
      <w:r>
        <w:rPr>
          <w:rStyle w:val="FootnoteReference"/>
        </w:rPr>
        <w:footnoteRef/>
      </w:r>
      <w:r>
        <w:t xml:space="preserve"> </w:t>
      </w:r>
      <w:r w:rsidRPr="00871C24">
        <w:rPr>
          <w:rFonts w:cs="Calibri"/>
        </w:rPr>
        <w:t xml:space="preserve">Taylor, </w:t>
      </w:r>
      <w:r w:rsidRPr="00BC3D30">
        <w:rPr>
          <w:rFonts w:cs="Calibri"/>
          <w:i/>
          <w:iCs/>
        </w:rPr>
        <w:t>Indonesia: People and Histories</w:t>
      </w:r>
      <w:r w:rsidRPr="00871C24">
        <w:rPr>
          <w:rFonts w:cs="Calibri"/>
        </w:rPr>
        <w:t>,</w:t>
      </w:r>
      <w:r>
        <w:rPr>
          <w:rFonts w:cs="Calibri"/>
        </w:rPr>
        <w:t xml:space="preserve"> 286.</w:t>
      </w:r>
    </w:p>
  </w:footnote>
  <w:footnote w:id="197">
    <w:p w14:paraId="0FD683F6" w14:textId="77777777" w:rsidR="009847E8" w:rsidRPr="006B3033" w:rsidRDefault="009847E8">
      <w:pPr>
        <w:pStyle w:val="FootnoteText"/>
        <w:rPr>
          <w:lang w:val="en-US"/>
        </w:rPr>
      </w:pPr>
      <w:r>
        <w:rPr>
          <w:rStyle w:val="FootnoteReference"/>
        </w:rPr>
        <w:footnoteRef/>
      </w:r>
      <w:r>
        <w:t xml:space="preserve"> </w:t>
      </w:r>
      <w:r>
        <w:rPr>
          <w:lang w:val="en-US"/>
        </w:rPr>
        <w:t xml:space="preserve">Derksen, </w:t>
      </w:r>
      <w:r w:rsidRPr="006B3033">
        <w:rPr>
          <w:i/>
          <w:iCs/>
          <w:lang w:val="en-US"/>
        </w:rPr>
        <w:t>Embodied Encounters</w:t>
      </w:r>
      <w:r>
        <w:rPr>
          <w:lang w:val="en-US"/>
        </w:rPr>
        <w:t xml:space="preserve">, 182. </w:t>
      </w:r>
    </w:p>
  </w:footnote>
  <w:footnote w:id="198">
    <w:p w14:paraId="3391382E" w14:textId="77777777" w:rsidR="009847E8" w:rsidRPr="00631870" w:rsidRDefault="009847E8" w:rsidP="007E0DBC">
      <w:pPr>
        <w:pStyle w:val="FootnoteText"/>
      </w:pPr>
      <w:r w:rsidRPr="007E0DBC">
        <w:rPr>
          <w:rStyle w:val="FootnoteReference"/>
        </w:rPr>
        <w:footnoteRef/>
      </w:r>
      <w:r w:rsidRPr="007E0DBC">
        <w:t xml:space="preserve"> Christina Firpo and Margaret Jacobs, </w:t>
      </w:r>
      <w:r>
        <w:t>“</w:t>
      </w:r>
      <w:r>
        <w:t>Taking Children, Ruling Colonies</w:t>
      </w:r>
      <w:r w:rsidRPr="007E0DBC">
        <w:rPr>
          <w:i/>
          <w:iCs/>
        </w:rPr>
        <w:t>,</w:t>
      </w:r>
      <w:r>
        <w:rPr>
          <w:i/>
          <w:iCs/>
        </w:rPr>
        <w:t>”</w:t>
      </w:r>
      <w:r w:rsidRPr="007E0DBC">
        <w:rPr>
          <w:i/>
          <w:iCs/>
        </w:rPr>
        <w:t xml:space="preserve"> Journal of World History</w:t>
      </w:r>
      <w:r>
        <w:t xml:space="preserve"> 29, no. 4 (</w:t>
      </w:r>
      <w:r w:rsidRPr="007E0DBC">
        <w:t>2018</w:t>
      </w:r>
      <w:r>
        <w:t>).</w:t>
      </w:r>
    </w:p>
  </w:footnote>
  <w:footnote w:id="199">
    <w:p w14:paraId="6524FEF2" w14:textId="77777777" w:rsidR="009847E8" w:rsidRDefault="009847E8" w:rsidP="001D6CB4">
      <w:pPr>
        <w:pStyle w:val="FootnoteText"/>
      </w:pPr>
      <w:r>
        <w:rPr>
          <w:rStyle w:val="FootnoteReference"/>
        </w:rPr>
        <w:footnoteRef/>
      </w:r>
      <w:r>
        <w:t xml:space="preserve"> Stoler, </w:t>
      </w:r>
      <w:r w:rsidRPr="004F456A">
        <w:rPr>
          <w:i/>
          <w:iCs/>
        </w:rPr>
        <w:t>Carnal Knowledge and Imperial Power</w:t>
      </w:r>
      <w:r>
        <w:t xml:space="preserve">, 69. </w:t>
      </w:r>
    </w:p>
  </w:footnote>
  <w:footnote w:id="200">
    <w:p w14:paraId="575579A2" w14:textId="77777777" w:rsidR="009847E8" w:rsidRPr="00A42791" w:rsidRDefault="009847E8" w:rsidP="001D6CB4">
      <w:pPr>
        <w:pStyle w:val="FootnoteText"/>
        <w:rPr>
          <w:lang w:val="en-US"/>
        </w:rPr>
      </w:pPr>
      <w:r>
        <w:rPr>
          <w:rStyle w:val="FootnoteReference"/>
        </w:rPr>
        <w:footnoteRef/>
      </w:r>
      <w:r w:rsidRPr="002F66D9">
        <w:rPr>
          <w:lang w:val="en-US"/>
        </w:rPr>
        <w:t xml:space="preserve"> </w:t>
      </w:r>
      <w:r>
        <w:rPr>
          <w:lang w:val="en-US"/>
        </w:rPr>
        <w:t xml:space="preserve">Ann Laura Stoler, </w:t>
      </w:r>
      <w:r>
        <w:rPr>
          <w:lang w:val="en-US"/>
        </w:rPr>
        <w:t>“</w:t>
      </w:r>
      <w:r>
        <w:rPr>
          <w:lang w:val="en-US"/>
        </w:rPr>
        <w:t>Sexual Affronts and Racial Frontiers,</w:t>
      </w:r>
      <w:r>
        <w:rPr>
          <w:lang w:val="en-US"/>
        </w:rPr>
        <w:t>”</w:t>
      </w:r>
      <w:r>
        <w:rPr>
          <w:lang w:val="en-US"/>
        </w:rPr>
        <w:t xml:space="preserve"> in </w:t>
      </w:r>
      <w:r w:rsidRPr="00F818E5">
        <w:rPr>
          <w:i/>
          <w:iCs/>
          <w:lang w:val="en-US"/>
        </w:rPr>
        <w:t>Tensions of Empire</w:t>
      </w:r>
      <w:r>
        <w:rPr>
          <w:lang w:val="en-US"/>
        </w:rPr>
        <w:t xml:space="preserve">, ed. Frederick Cooper and Ann Laura Stoler (University of California Press, 1998), 199. </w:t>
      </w:r>
    </w:p>
  </w:footnote>
  <w:footnote w:id="201">
    <w:p w14:paraId="05280F07" w14:textId="77777777" w:rsidR="009847E8" w:rsidRPr="009847E8" w:rsidRDefault="009847E8" w:rsidP="00007B1E">
      <w:pPr>
        <w:pStyle w:val="FootnoteText"/>
        <w:rPr>
          <w:lang w:val="nl-NL"/>
        </w:rPr>
      </w:pPr>
      <w:r>
        <w:rPr>
          <w:rStyle w:val="FootnoteReference"/>
        </w:rPr>
        <w:footnoteRef/>
      </w:r>
      <w:r w:rsidRPr="009847E8">
        <w:rPr>
          <w:lang w:val="nl-NL"/>
        </w:rPr>
        <w:t xml:space="preserve"> C.W. Hoogendoorn, </w:t>
      </w:r>
      <w:r w:rsidRPr="009847E8">
        <w:rPr>
          <w:lang w:val="nl-NL"/>
        </w:rPr>
        <w:t>“</w:t>
      </w:r>
      <w:r w:rsidRPr="009847E8">
        <w:rPr>
          <w:lang w:val="nl-NL"/>
        </w:rPr>
        <w:t>Het pauperisme onder Indo-Europeanen,</w:t>
      </w:r>
      <w:r w:rsidRPr="009847E8">
        <w:rPr>
          <w:lang w:val="nl-NL"/>
        </w:rPr>
        <w:t>”</w:t>
      </w:r>
      <w:r w:rsidRPr="009847E8">
        <w:rPr>
          <w:lang w:val="nl-NL"/>
        </w:rPr>
        <w:t xml:space="preserve"> </w:t>
      </w:r>
      <w:r w:rsidRPr="009847E8">
        <w:rPr>
          <w:i/>
          <w:iCs/>
          <w:lang w:val="nl-NL"/>
        </w:rPr>
        <w:t>De Indische Gids</w:t>
      </w:r>
      <w:r w:rsidRPr="009847E8">
        <w:rPr>
          <w:lang w:val="nl-NL"/>
        </w:rPr>
        <w:t xml:space="preserve"> 22 (1900), 672. As quoted in Meijer, </w:t>
      </w:r>
      <w:r w:rsidRPr="009847E8">
        <w:rPr>
          <w:i/>
          <w:iCs/>
          <w:lang w:val="nl-NL"/>
        </w:rPr>
        <w:t>In Indi</w:t>
      </w:r>
      <w:r w:rsidRPr="009847E8">
        <w:rPr>
          <w:i/>
          <w:iCs/>
          <w:lang w:val="nl-NL"/>
        </w:rPr>
        <w:t>ë</w:t>
      </w:r>
      <w:r w:rsidRPr="009847E8">
        <w:rPr>
          <w:i/>
          <w:iCs/>
          <w:lang w:val="nl-NL"/>
        </w:rPr>
        <w:t xml:space="preserve"> Geworteld</w:t>
      </w:r>
      <w:r w:rsidRPr="009847E8">
        <w:rPr>
          <w:lang w:val="nl-NL"/>
        </w:rPr>
        <w:t>, 49.</w:t>
      </w:r>
    </w:p>
  </w:footnote>
  <w:footnote w:id="202">
    <w:p w14:paraId="6CD5247B" w14:textId="77777777" w:rsidR="009847E8" w:rsidRPr="009847E8" w:rsidRDefault="009847E8" w:rsidP="00007B1E">
      <w:pPr>
        <w:pStyle w:val="FootnoteText"/>
        <w:rPr>
          <w:lang w:val="nl-NL"/>
        </w:rPr>
      </w:pPr>
      <w:r>
        <w:rPr>
          <w:rStyle w:val="FootnoteReference"/>
        </w:rPr>
        <w:footnoteRef/>
      </w:r>
      <w:r w:rsidRPr="009847E8">
        <w:rPr>
          <w:lang w:val="nl-NL"/>
        </w:rPr>
        <w:t xml:space="preserve"> J.A. Wilkens, </w:t>
      </w:r>
      <w:r w:rsidRPr="009847E8">
        <w:rPr>
          <w:i/>
          <w:iCs/>
          <w:lang w:val="nl-NL"/>
        </w:rPr>
        <w:t>Het Inlandsche Kind in Oost Indi</w:t>
      </w:r>
      <w:r w:rsidRPr="009847E8">
        <w:rPr>
          <w:i/>
          <w:iCs/>
          <w:lang w:val="nl-NL"/>
        </w:rPr>
        <w:t>ë</w:t>
      </w:r>
      <w:r w:rsidRPr="009847E8">
        <w:rPr>
          <w:i/>
          <w:iCs/>
          <w:lang w:val="nl-NL"/>
        </w:rPr>
        <w:t xml:space="preserve"> en iets over den Javaan</w:t>
      </w:r>
      <w:r w:rsidRPr="009847E8">
        <w:rPr>
          <w:lang w:val="nl-NL"/>
        </w:rPr>
        <w:t xml:space="preserve"> (P.N. van Kampen, 1849), 17. </w:t>
      </w:r>
    </w:p>
  </w:footnote>
  <w:footnote w:id="203">
    <w:p w14:paraId="47E57194" w14:textId="77777777" w:rsidR="009847E8" w:rsidRPr="009847E8" w:rsidRDefault="009847E8" w:rsidP="00007B1E">
      <w:pPr>
        <w:pStyle w:val="FootnoteText"/>
        <w:rPr>
          <w:lang w:val="nl-NL"/>
        </w:rPr>
      </w:pPr>
      <w:r>
        <w:rPr>
          <w:rStyle w:val="FootnoteReference"/>
        </w:rPr>
        <w:footnoteRef/>
      </w:r>
      <w:r w:rsidRPr="009847E8">
        <w:rPr>
          <w:lang w:val="nl-NL"/>
        </w:rPr>
        <w:t xml:space="preserve"> Wilkens, </w:t>
      </w:r>
      <w:r w:rsidRPr="009847E8">
        <w:rPr>
          <w:i/>
          <w:iCs/>
          <w:lang w:val="nl-NL"/>
        </w:rPr>
        <w:t>Inlandsche Kind</w:t>
      </w:r>
      <w:r w:rsidRPr="009847E8">
        <w:rPr>
          <w:lang w:val="nl-NL"/>
        </w:rPr>
        <w:t xml:space="preserve">, 18. </w:t>
      </w:r>
    </w:p>
  </w:footnote>
  <w:footnote w:id="204">
    <w:p w14:paraId="48430E03" w14:textId="77777777" w:rsidR="009847E8" w:rsidRPr="009847E8" w:rsidRDefault="009847E8" w:rsidP="00007B1E">
      <w:pPr>
        <w:pStyle w:val="FootnoteText"/>
        <w:rPr>
          <w:lang w:val="nl-NL"/>
        </w:rPr>
      </w:pPr>
      <w:r>
        <w:rPr>
          <w:rStyle w:val="FootnoteReference"/>
        </w:rPr>
        <w:footnoteRef/>
      </w:r>
      <w:r w:rsidRPr="009847E8">
        <w:rPr>
          <w:lang w:val="nl-NL"/>
        </w:rPr>
        <w:t xml:space="preserve"> Wilkens, </w:t>
      </w:r>
      <w:r w:rsidRPr="009847E8">
        <w:rPr>
          <w:i/>
          <w:iCs/>
          <w:lang w:val="nl-NL"/>
        </w:rPr>
        <w:t>Inlandsche Kind</w:t>
      </w:r>
      <w:r w:rsidRPr="009847E8">
        <w:rPr>
          <w:lang w:val="nl-NL"/>
        </w:rPr>
        <w:t xml:space="preserve">, 21. </w:t>
      </w:r>
    </w:p>
  </w:footnote>
  <w:footnote w:id="205">
    <w:p w14:paraId="4F7D5B5C" w14:textId="77777777" w:rsidR="009847E8" w:rsidRPr="00620FB6" w:rsidRDefault="009847E8" w:rsidP="00007B1E">
      <w:pPr>
        <w:pStyle w:val="FootnoteText"/>
        <w:rPr>
          <w:lang w:val="en-US"/>
        </w:rPr>
      </w:pPr>
      <w:r w:rsidRPr="00620FB6">
        <w:rPr>
          <w:rStyle w:val="FootnoteReference"/>
          <w:lang w:val="en-US"/>
        </w:rPr>
        <w:footnoteRef/>
      </w:r>
      <w:r w:rsidRPr="00620FB6">
        <w:rPr>
          <w:lang w:val="en-US"/>
        </w:rPr>
        <w:t xml:space="preserve"> Foucault, </w:t>
      </w:r>
      <w:r w:rsidRPr="00620FB6">
        <w:rPr>
          <w:i/>
          <w:iCs/>
          <w:lang w:val="en-US"/>
        </w:rPr>
        <w:t>History of Sexuality</w:t>
      </w:r>
      <w:r w:rsidRPr="00620FB6">
        <w:rPr>
          <w:lang w:val="en-US"/>
        </w:rPr>
        <w:t xml:space="preserve">, 28-29. </w:t>
      </w:r>
    </w:p>
  </w:footnote>
  <w:footnote w:id="206">
    <w:p w14:paraId="1726C333" w14:textId="77777777" w:rsidR="009847E8" w:rsidRPr="00007B1E" w:rsidRDefault="009847E8" w:rsidP="00007B1E">
      <w:pPr>
        <w:pStyle w:val="FootnoteText"/>
        <w:rPr>
          <w:lang w:val="en-US"/>
        </w:rPr>
      </w:pPr>
      <w:r>
        <w:rPr>
          <w:rStyle w:val="FootnoteReference"/>
        </w:rPr>
        <w:footnoteRef/>
      </w:r>
      <w:r w:rsidRPr="002F66D9">
        <w:rPr>
          <w:lang w:val="en-US"/>
        </w:rPr>
        <w:t xml:space="preserve"> </w:t>
      </w:r>
      <w:r>
        <w:rPr>
          <w:lang w:val="en-US"/>
        </w:rPr>
        <w:t xml:space="preserve">Stoler, </w:t>
      </w:r>
      <w:r w:rsidRPr="001D2636">
        <w:rPr>
          <w:i/>
          <w:iCs/>
          <w:lang w:val="en-US"/>
        </w:rPr>
        <w:t>Race and the Education of Desire</w:t>
      </w:r>
      <w:r>
        <w:rPr>
          <w:lang w:val="en-US"/>
        </w:rPr>
        <w:t xml:space="preserve">, 161. </w:t>
      </w:r>
      <w:r w:rsidRPr="00007B1E">
        <w:rPr>
          <w:lang w:val="en-US"/>
        </w:rPr>
        <w:t xml:space="preserve">It is important to note, however, that this view of </w:t>
      </w:r>
      <w:r>
        <w:rPr>
          <w:lang w:val="en-US"/>
        </w:rPr>
        <w:t>Indo-European children</w:t>
      </w:r>
      <w:r w:rsidRPr="00007B1E">
        <w:rPr>
          <w:lang w:val="en-US"/>
        </w:rPr>
        <w:t xml:space="preserve"> as an internal enemy to the colonial state has been refuted. For one, J.A. Wilkens refutes any animosities between Indonesian, Indo-European and European children. Though there have been some </w:t>
      </w:r>
      <w:r w:rsidRPr="00007B1E">
        <w:rPr>
          <w:lang w:val="en-US"/>
        </w:rPr>
        <w:t>‘</w:t>
      </w:r>
      <w:r w:rsidRPr="00007B1E">
        <w:rPr>
          <w:lang w:val="en-US"/>
        </w:rPr>
        <w:t>unpleasantries and name calling</w:t>
      </w:r>
      <w:r w:rsidRPr="00007B1E">
        <w:rPr>
          <w:lang w:val="en-US"/>
        </w:rPr>
        <w:t>’</w:t>
      </w:r>
      <w:r w:rsidRPr="00007B1E">
        <w:rPr>
          <w:lang w:val="en-US"/>
        </w:rPr>
        <w:t xml:space="preserve">, there is generally not a hateful relationship between these groups. Indeed, Wilkens writes, </w:t>
      </w:r>
      <w:r w:rsidRPr="00007B1E">
        <w:rPr>
          <w:lang w:val="en-US"/>
        </w:rPr>
        <w:t>‘</w:t>
      </w:r>
      <w:r w:rsidRPr="00007B1E">
        <w:rPr>
          <w:lang w:val="en-US"/>
        </w:rPr>
        <w:t xml:space="preserve">history has taught </w:t>
      </w:r>
      <w:r>
        <w:rPr>
          <w:lang w:val="en-US"/>
        </w:rPr>
        <w:t>u</w:t>
      </w:r>
      <w:r w:rsidRPr="00007B1E">
        <w:rPr>
          <w:lang w:val="en-US"/>
        </w:rPr>
        <w:t>s that deception and betrayal are committed in every nation, in every empire, and these crimes may be committed in the Indies by a native child or a European child.</w:t>
      </w:r>
      <w:r w:rsidRPr="00007B1E">
        <w:rPr>
          <w:lang w:val="en-US"/>
        </w:rPr>
        <w:t>’</w:t>
      </w:r>
    </w:p>
    <w:p w14:paraId="451B28C9" w14:textId="77777777" w:rsidR="009847E8" w:rsidRPr="001D2636" w:rsidRDefault="009847E8" w:rsidP="00007B1E">
      <w:pPr>
        <w:pStyle w:val="FootnoteText"/>
        <w:rPr>
          <w:lang w:val="en-US"/>
        </w:rPr>
      </w:pPr>
      <w:r>
        <w:rPr>
          <w:lang w:val="en-US"/>
        </w:rPr>
        <w:t xml:space="preserve">See: Wilkens, </w:t>
      </w:r>
      <w:r w:rsidRPr="00F122BD">
        <w:rPr>
          <w:i/>
          <w:iCs/>
          <w:lang w:val="en-US"/>
        </w:rPr>
        <w:t>Inlandsche Kind</w:t>
      </w:r>
      <w:r>
        <w:rPr>
          <w:lang w:val="en-US"/>
        </w:rPr>
        <w:t>, 36-39.</w:t>
      </w:r>
    </w:p>
  </w:footnote>
  <w:footnote w:id="207">
    <w:p w14:paraId="3DF875C5" w14:textId="77777777" w:rsidR="009847E8" w:rsidRPr="00A82BE9" w:rsidRDefault="009847E8">
      <w:pPr>
        <w:pStyle w:val="FootnoteText"/>
        <w:rPr>
          <w:lang w:val="en-US"/>
        </w:rPr>
      </w:pPr>
      <w:r>
        <w:rPr>
          <w:rStyle w:val="FootnoteReference"/>
        </w:rPr>
        <w:footnoteRef/>
      </w:r>
      <w:r>
        <w:t xml:space="preserve"> </w:t>
      </w:r>
      <w:r>
        <w:rPr>
          <w:lang w:val="en-US"/>
        </w:rPr>
        <w:t xml:space="preserve">Foucault, </w:t>
      </w:r>
      <w:r w:rsidRPr="00A82BE9">
        <w:rPr>
          <w:i/>
          <w:iCs/>
          <w:lang w:val="en-US"/>
        </w:rPr>
        <w:t>History of Sexuality</w:t>
      </w:r>
      <w:r>
        <w:rPr>
          <w:lang w:val="en-US"/>
        </w:rPr>
        <w:t>, 121.</w:t>
      </w:r>
    </w:p>
  </w:footnote>
  <w:footnote w:id="208">
    <w:p w14:paraId="7FCADCBB" w14:textId="77777777" w:rsidR="009847E8" w:rsidRPr="001D2636" w:rsidRDefault="009847E8" w:rsidP="00007B1E">
      <w:pPr>
        <w:pStyle w:val="FootnoteText"/>
        <w:rPr>
          <w:lang w:val="en-US"/>
        </w:rPr>
      </w:pPr>
      <w:r>
        <w:rPr>
          <w:rStyle w:val="FootnoteReference"/>
        </w:rPr>
        <w:footnoteRef/>
      </w:r>
      <w:r w:rsidRPr="002F66D9">
        <w:rPr>
          <w:lang w:val="en-US"/>
        </w:rPr>
        <w:t xml:space="preserve"> </w:t>
      </w:r>
      <w:r>
        <w:rPr>
          <w:lang w:val="en-US"/>
        </w:rPr>
        <w:t xml:space="preserve">Stoler, </w:t>
      </w:r>
      <w:r w:rsidRPr="001D2636">
        <w:rPr>
          <w:i/>
          <w:iCs/>
          <w:lang w:val="en-US"/>
        </w:rPr>
        <w:t>Race and the Education of Desire</w:t>
      </w:r>
      <w:r>
        <w:rPr>
          <w:lang w:val="en-US"/>
        </w:rPr>
        <w:t xml:space="preserve">, 116. </w:t>
      </w:r>
    </w:p>
  </w:footnote>
  <w:footnote w:id="209">
    <w:p w14:paraId="2482EDCB" w14:textId="77777777" w:rsidR="009847E8" w:rsidRPr="00A42791" w:rsidRDefault="009847E8" w:rsidP="00007B1E">
      <w:pPr>
        <w:pStyle w:val="FootnoteText"/>
        <w:rPr>
          <w:lang w:val="en-US"/>
        </w:rPr>
      </w:pPr>
      <w:r>
        <w:rPr>
          <w:rStyle w:val="FootnoteReference"/>
        </w:rPr>
        <w:footnoteRef/>
      </w:r>
      <w:r w:rsidRPr="002F66D9">
        <w:rPr>
          <w:lang w:val="en-US"/>
        </w:rPr>
        <w:t xml:space="preserve"> </w:t>
      </w:r>
      <w:r>
        <w:rPr>
          <w:lang w:val="en-US"/>
        </w:rPr>
        <w:t xml:space="preserve">Stoler, </w:t>
      </w:r>
      <w:r>
        <w:rPr>
          <w:lang w:val="en-US"/>
        </w:rPr>
        <w:t>“</w:t>
      </w:r>
      <w:r>
        <w:rPr>
          <w:lang w:val="en-US"/>
        </w:rPr>
        <w:t>Sexual Affronts and Racial Frontiers,</w:t>
      </w:r>
      <w:r>
        <w:rPr>
          <w:lang w:val="en-US"/>
        </w:rPr>
        <w:t>”</w:t>
      </w:r>
      <w:r>
        <w:rPr>
          <w:lang w:val="en-US"/>
        </w:rPr>
        <w:t xml:space="preserve"> 199.</w:t>
      </w:r>
    </w:p>
  </w:footnote>
  <w:footnote w:id="210">
    <w:p w14:paraId="4DE941F6" w14:textId="77777777" w:rsidR="009847E8" w:rsidRPr="001D2636" w:rsidRDefault="009847E8" w:rsidP="00007B1E">
      <w:pPr>
        <w:pStyle w:val="FootnoteText"/>
        <w:rPr>
          <w:lang w:val="en-US"/>
        </w:rPr>
      </w:pPr>
      <w:r>
        <w:rPr>
          <w:rStyle w:val="FootnoteReference"/>
        </w:rPr>
        <w:footnoteRef/>
      </w:r>
      <w:r w:rsidRPr="002F66D9">
        <w:rPr>
          <w:lang w:val="en-US"/>
        </w:rPr>
        <w:t xml:space="preserve"> </w:t>
      </w:r>
      <w:r>
        <w:rPr>
          <w:lang w:val="en-US"/>
        </w:rPr>
        <w:t xml:space="preserve">Stoler, </w:t>
      </w:r>
      <w:r w:rsidRPr="001D2636">
        <w:rPr>
          <w:i/>
          <w:iCs/>
          <w:lang w:val="en-US"/>
        </w:rPr>
        <w:t>Race and the Education of Desire</w:t>
      </w:r>
      <w:r>
        <w:rPr>
          <w:lang w:val="en-US"/>
        </w:rPr>
        <w:t xml:space="preserve">, 120. </w:t>
      </w:r>
    </w:p>
  </w:footnote>
  <w:footnote w:id="211">
    <w:p w14:paraId="08946392" w14:textId="77777777" w:rsidR="009847E8" w:rsidRPr="00C351E6" w:rsidRDefault="009847E8" w:rsidP="00007B1E">
      <w:pPr>
        <w:pStyle w:val="FootnoteText"/>
        <w:rPr>
          <w:lang w:val="en-US"/>
        </w:rPr>
      </w:pPr>
      <w:r>
        <w:rPr>
          <w:rStyle w:val="FootnoteReference"/>
        </w:rPr>
        <w:footnoteRef/>
      </w:r>
      <w:r>
        <w:t xml:space="preserve"> </w:t>
      </w:r>
      <w:r>
        <w:rPr>
          <w:lang w:val="en-US"/>
        </w:rPr>
        <w:t xml:space="preserve">Maaike Derksen, </w:t>
      </w:r>
      <w:r>
        <w:rPr>
          <w:rFonts w:cs="Calibri"/>
        </w:rPr>
        <w:t>“</w:t>
      </w:r>
      <w:r w:rsidRPr="00F818E5">
        <w:rPr>
          <w:lang w:val="en-US"/>
        </w:rPr>
        <w:t>Embodied Encounters: Colonial Governmentality and Missionary Practices in Java and South Dutch New-Guinea, 1856-1942</w:t>
      </w:r>
      <w:r w:rsidRPr="00F818E5">
        <w:rPr>
          <w:i/>
          <w:iCs/>
          <w:lang w:val="en-US"/>
        </w:rPr>
        <w:t>.</w:t>
      </w:r>
      <w:r w:rsidRPr="00F818E5">
        <w:rPr>
          <w:i/>
          <w:iCs/>
          <w:lang w:val="en-US"/>
        </w:rPr>
        <w:t>”</w:t>
      </w:r>
      <w:r w:rsidRPr="00F818E5">
        <w:rPr>
          <w:i/>
          <w:iCs/>
          <w:lang w:val="en-US"/>
        </w:rPr>
        <w:t xml:space="preserve"> </w:t>
      </w:r>
      <w:r w:rsidRPr="00F818E5">
        <w:rPr>
          <w:lang w:val="en-US"/>
        </w:rPr>
        <w:t>(PhD Diss., Radboud Universiteit Nijmegen, 2021</w:t>
      </w:r>
      <w:r>
        <w:rPr>
          <w:lang w:val="en-US"/>
        </w:rPr>
        <w:t xml:space="preserve">), 183. </w:t>
      </w:r>
    </w:p>
  </w:footnote>
  <w:footnote w:id="212">
    <w:p w14:paraId="3FBC8C6A" w14:textId="77777777" w:rsidR="009847E8" w:rsidRPr="009847E8" w:rsidRDefault="009847E8">
      <w:pPr>
        <w:pStyle w:val="FootnoteText"/>
        <w:rPr>
          <w:lang w:val="nl-NL"/>
        </w:rPr>
      </w:pPr>
      <w:r>
        <w:rPr>
          <w:rStyle w:val="FootnoteReference"/>
        </w:rPr>
        <w:footnoteRef/>
      </w:r>
      <w:r>
        <w:t xml:space="preserve"> </w:t>
      </w:r>
      <w:r w:rsidRPr="001E0274">
        <w:rPr>
          <w:lang w:val="en-US"/>
        </w:rPr>
        <w:t xml:space="preserve">Pro Juventute was a boarding school aimed at </w:t>
      </w:r>
      <w:r w:rsidRPr="001E0274">
        <w:rPr>
          <w:lang w:val="en-US"/>
        </w:rPr>
        <w:t>‘</w:t>
      </w:r>
      <w:r w:rsidRPr="001E0274">
        <w:rPr>
          <w:lang w:val="en-US"/>
        </w:rPr>
        <w:t>combating criminality among neglected children or children with a criminal disposition</w:t>
      </w:r>
      <w:r w:rsidRPr="001E0274">
        <w:rPr>
          <w:lang w:val="en-US"/>
        </w:rPr>
        <w:t>’</w:t>
      </w:r>
      <w:r>
        <w:t xml:space="preserve">. </w:t>
      </w:r>
      <w:r w:rsidRPr="009847E8">
        <w:rPr>
          <w:lang w:val="nl-NL"/>
        </w:rPr>
        <w:t xml:space="preserve">F.M.G. van Walsem, </w:t>
      </w:r>
      <w:r w:rsidRPr="009847E8">
        <w:rPr>
          <w:lang w:val="nl-NL"/>
        </w:rPr>
        <w:t>“</w:t>
      </w:r>
      <w:r w:rsidRPr="009847E8">
        <w:rPr>
          <w:lang w:val="nl-NL"/>
        </w:rPr>
        <w:t>Pro Juventute,</w:t>
      </w:r>
      <w:r w:rsidRPr="009847E8">
        <w:rPr>
          <w:lang w:val="nl-NL"/>
        </w:rPr>
        <w:t>”</w:t>
      </w:r>
      <w:r w:rsidRPr="009847E8">
        <w:rPr>
          <w:lang w:val="nl-NL"/>
        </w:rPr>
        <w:t xml:space="preserve"> </w:t>
      </w:r>
      <w:r w:rsidRPr="009847E8">
        <w:rPr>
          <w:i/>
          <w:iCs/>
          <w:lang w:val="nl-NL"/>
        </w:rPr>
        <w:t>Indisch Tijdschrift van het Recht</w:t>
      </w:r>
      <w:r w:rsidRPr="009847E8">
        <w:rPr>
          <w:lang w:val="nl-NL"/>
        </w:rPr>
        <w:t xml:space="preserve">, no. 108 (1917), 1. </w:t>
      </w:r>
    </w:p>
  </w:footnote>
  <w:footnote w:id="213">
    <w:p w14:paraId="3F639713" w14:textId="77777777" w:rsidR="009847E8" w:rsidRPr="009847E8" w:rsidRDefault="009847E8">
      <w:pPr>
        <w:pStyle w:val="FootnoteText"/>
        <w:rPr>
          <w:lang w:val="nl-NL"/>
        </w:rPr>
      </w:pPr>
      <w:r>
        <w:rPr>
          <w:rStyle w:val="FootnoteReference"/>
        </w:rPr>
        <w:footnoteRef/>
      </w:r>
      <w:r w:rsidRPr="009847E8">
        <w:rPr>
          <w:lang w:val="nl-NL"/>
        </w:rPr>
        <w:t xml:space="preserve"> Walsem, </w:t>
      </w:r>
      <w:r w:rsidRPr="009847E8">
        <w:rPr>
          <w:lang w:val="nl-NL"/>
        </w:rPr>
        <w:t>“</w:t>
      </w:r>
      <w:r w:rsidRPr="009847E8">
        <w:rPr>
          <w:lang w:val="nl-NL"/>
        </w:rPr>
        <w:t>Pro Juventute,</w:t>
      </w:r>
      <w:r w:rsidRPr="009847E8">
        <w:rPr>
          <w:lang w:val="nl-NL"/>
        </w:rPr>
        <w:t>”</w:t>
      </w:r>
      <w:r w:rsidRPr="009847E8">
        <w:rPr>
          <w:lang w:val="nl-NL"/>
        </w:rPr>
        <w:t xml:space="preserve"> 1-2. </w:t>
      </w:r>
    </w:p>
  </w:footnote>
  <w:footnote w:id="214">
    <w:p w14:paraId="6AA78233"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i/>
          <w:iCs/>
          <w:lang w:val="nl-NL"/>
        </w:rPr>
        <w:t>Staatsarmenzorg voor Europeanen in Nederlandsch-Indi</w:t>
      </w:r>
      <w:r w:rsidRPr="009847E8">
        <w:rPr>
          <w:i/>
          <w:iCs/>
          <w:lang w:val="nl-NL"/>
        </w:rPr>
        <w:t>ë</w:t>
      </w:r>
      <w:r w:rsidRPr="009847E8">
        <w:rPr>
          <w:lang w:val="nl-NL"/>
        </w:rPr>
        <w:t xml:space="preserve"> (Batavia Landsdrukkerij, 1902); </w:t>
      </w:r>
      <w:r w:rsidRPr="009847E8">
        <w:rPr>
          <w:i/>
          <w:iCs/>
          <w:lang w:val="nl-NL"/>
        </w:rPr>
        <w:t>Het Pauperisme onder de Europeanen in Nederlandsch-Indi</w:t>
      </w:r>
      <w:r w:rsidRPr="009847E8">
        <w:rPr>
          <w:i/>
          <w:iCs/>
          <w:lang w:val="nl-NL"/>
        </w:rPr>
        <w:t>ë</w:t>
      </w:r>
      <w:r w:rsidRPr="009847E8">
        <w:rPr>
          <w:lang w:val="nl-NL"/>
        </w:rPr>
        <w:t xml:space="preserve"> (Batavia Landsdrukkerij, 1901). </w:t>
      </w:r>
      <w:r w:rsidRPr="009847E8">
        <w:rPr>
          <w:lang w:val="nl-NL"/>
        </w:rPr>
        <w:br/>
        <w:t>See: C. Fasseur, 'Rees, Daniel Fran</w:t>
      </w:r>
      <w:r w:rsidRPr="009847E8">
        <w:rPr>
          <w:lang w:val="nl-NL"/>
        </w:rPr>
        <w:t>ç</w:t>
      </w:r>
      <w:r w:rsidRPr="009847E8">
        <w:rPr>
          <w:lang w:val="nl-NL"/>
        </w:rPr>
        <w:t>ois Willem van (1863-1934)', in</w:t>
      </w:r>
      <w:r w:rsidRPr="009847E8">
        <w:rPr>
          <w:lang w:val="nl-NL"/>
        </w:rPr>
        <w:t> </w:t>
      </w:r>
      <w:r w:rsidRPr="009847E8">
        <w:rPr>
          <w:i/>
          <w:iCs/>
          <w:lang w:val="nl-NL"/>
        </w:rPr>
        <w:t>Biografisch Woordenboek van Nederland</w:t>
      </w:r>
      <w:r w:rsidRPr="009847E8">
        <w:rPr>
          <w:lang w:val="nl-NL"/>
        </w:rPr>
        <w:t xml:space="preserve">. http://resources.huygens.knaw.nl/bwn1880-2000/lemmata/bwn2/rees [12-11-2013]. </w:t>
      </w:r>
    </w:p>
  </w:footnote>
  <w:footnote w:id="215">
    <w:p w14:paraId="373AD79D" w14:textId="77777777" w:rsidR="009847E8" w:rsidRPr="009847E8" w:rsidRDefault="009847E8" w:rsidP="00651E9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color w:val="000000" w:themeColor="text1"/>
          <w:lang w:val="nl-NL"/>
        </w:rPr>
        <w:t xml:space="preserve"> 4.</w:t>
      </w:r>
    </w:p>
  </w:footnote>
  <w:footnote w:id="216">
    <w:p w14:paraId="676E69E4" w14:textId="77777777" w:rsidR="009847E8" w:rsidRPr="009847E8" w:rsidRDefault="009847E8" w:rsidP="00651E9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3. </w:t>
      </w:r>
    </w:p>
  </w:footnote>
  <w:footnote w:id="217">
    <w:p w14:paraId="11E13117" w14:textId="77777777" w:rsidR="009847E8" w:rsidRPr="009847E8" w:rsidRDefault="009847E8" w:rsidP="00651E9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Algemeen overzicht,</w:t>
      </w:r>
      <w:r w:rsidRPr="009847E8">
        <w:rPr>
          <w:lang w:val="nl-NL"/>
        </w:rPr>
        <w:t>”</w:t>
      </w:r>
      <w:r w:rsidRPr="009847E8">
        <w:rPr>
          <w:lang w:val="nl-NL"/>
        </w:rPr>
        <w:t xml:space="preserve"> 5. </w:t>
      </w:r>
    </w:p>
  </w:footnote>
  <w:footnote w:id="218">
    <w:p w14:paraId="0724E9FE" w14:textId="77777777" w:rsidR="009847E8" w:rsidRPr="009847E8" w:rsidRDefault="009847E8" w:rsidP="00651E9C">
      <w:pPr>
        <w:pStyle w:val="FootnoteText"/>
        <w:rPr>
          <w:lang w:val="nl-NL"/>
        </w:rPr>
      </w:pPr>
      <w:r w:rsidRPr="00E30012">
        <w:rPr>
          <w:rStyle w:val="FootnoteReference"/>
        </w:rPr>
        <w:footnoteRef/>
      </w:r>
      <w:r w:rsidRPr="009847E8">
        <w:rPr>
          <w:lang w:val="nl-NL"/>
        </w:rPr>
        <w:t xml:space="preserve"> </w:t>
      </w:r>
      <w:r w:rsidRPr="009847E8">
        <w:rPr>
          <w:lang w:val="nl-NL"/>
        </w:rPr>
        <w:t>“</w:t>
      </w:r>
      <w:r w:rsidRPr="009847E8">
        <w:rPr>
          <w:lang w:val="nl-NL"/>
        </w:rPr>
        <w:t>Algemeen overzicht,</w:t>
      </w:r>
      <w:r w:rsidRPr="009847E8">
        <w:rPr>
          <w:lang w:val="nl-NL"/>
        </w:rPr>
        <w:t>”</w:t>
      </w:r>
      <w:r w:rsidRPr="009847E8">
        <w:rPr>
          <w:lang w:val="nl-NL"/>
        </w:rPr>
        <w:t xml:space="preserve"> 5.</w:t>
      </w:r>
    </w:p>
  </w:footnote>
  <w:footnote w:id="219">
    <w:p w14:paraId="2E317650" w14:textId="77777777" w:rsidR="009847E8" w:rsidRPr="009847E8" w:rsidRDefault="009847E8" w:rsidP="00651E9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14.</w:t>
      </w:r>
    </w:p>
  </w:footnote>
  <w:footnote w:id="220">
    <w:p w14:paraId="3A94A804" w14:textId="77777777" w:rsidR="009847E8" w:rsidRPr="00171F94" w:rsidRDefault="009847E8" w:rsidP="00651E9C">
      <w:pPr>
        <w:pStyle w:val="FootnoteText"/>
        <w:rPr>
          <w:lang w:val="en-US"/>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in: </w:t>
      </w:r>
      <w:r w:rsidRPr="009847E8">
        <w:rPr>
          <w:i/>
          <w:iCs/>
          <w:lang w:val="nl-NL"/>
        </w:rPr>
        <w:t>Staatsarmenzorg voor Europeanen</w:t>
      </w:r>
      <w:r w:rsidRPr="009847E8">
        <w:rPr>
          <w:lang w:val="nl-NL"/>
        </w:rPr>
        <w:t xml:space="preserve">, 11. </w:t>
      </w:r>
      <w:r>
        <w:rPr>
          <w:lang w:val="en-US"/>
        </w:rPr>
        <w:t xml:space="preserve">Furthermore, the Director of Education in the Netherlands decided that only children who were recognized by their fathers and subsequently were registered in the Dutch Civil Registry would be cared for. See De </w:t>
      </w:r>
      <w:r>
        <w:rPr>
          <w:lang w:val="en-US"/>
        </w:rPr>
        <w:t>“</w:t>
      </w:r>
      <w:r>
        <w:rPr>
          <w:lang w:val="en-US"/>
        </w:rPr>
        <w:t>Armenverpleging van Staatswege,</w:t>
      </w:r>
      <w:r>
        <w:rPr>
          <w:lang w:val="en-US"/>
        </w:rPr>
        <w:t>”</w:t>
      </w:r>
      <w:r>
        <w:rPr>
          <w:lang w:val="en-US"/>
        </w:rPr>
        <w:t xml:space="preserve"> 35. The Indonesian child would be taken care of by their </w:t>
      </w:r>
      <w:r>
        <w:rPr>
          <w:lang w:val="en-US"/>
        </w:rPr>
        <w:t>‘</w:t>
      </w:r>
      <w:r>
        <w:rPr>
          <w:lang w:val="en-US"/>
        </w:rPr>
        <w:t>own environment</w:t>
      </w:r>
      <w:r>
        <w:rPr>
          <w:lang w:val="en-US"/>
        </w:rPr>
        <w:t>’</w:t>
      </w:r>
      <w:r>
        <w:rPr>
          <w:lang w:val="en-US"/>
        </w:rPr>
        <w:t>, 39.</w:t>
      </w:r>
    </w:p>
  </w:footnote>
  <w:footnote w:id="221">
    <w:p w14:paraId="73FE69D5" w14:textId="77777777" w:rsidR="009847E8" w:rsidRPr="00631870" w:rsidRDefault="009847E8" w:rsidP="00651E9C">
      <w:pPr>
        <w:pStyle w:val="FootnoteText"/>
      </w:pPr>
      <w:r w:rsidRPr="00631870">
        <w:rPr>
          <w:rStyle w:val="FootnoteReference"/>
        </w:rPr>
        <w:footnoteRef/>
      </w:r>
      <w:r w:rsidRPr="00631870">
        <w:t xml:space="preserve"> Guno Jones, </w:t>
      </w:r>
      <w:r>
        <w:t>“</w:t>
      </w:r>
      <w:r w:rsidRPr="00DF6FA8">
        <w:rPr>
          <w:lang w:val="en-US"/>
        </w:rPr>
        <w:t>Regulating Interracialized Intimacies</w:t>
      </w:r>
      <w:r>
        <w:rPr>
          <w:lang w:val="en-US"/>
        </w:rPr>
        <w:t>,</w:t>
      </w:r>
      <w:r>
        <w:t>”</w:t>
      </w:r>
      <w:r w:rsidRPr="00631870">
        <w:t xml:space="preserve"> 64. </w:t>
      </w:r>
    </w:p>
  </w:footnote>
  <w:footnote w:id="222">
    <w:p w14:paraId="022EFC0E"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Het Indo-Vraagstuk en Rassenhaat,</w:t>
      </w:r>
      <w:r w:rsidRPr="009847E8">
        <w:rPr>
          <w:lang w:val="nl-NL"/>
        </w:rPr>
        <w:t>”</w:t>
      </w:r>
      <w:r w:rsidRPr="009847E8">
        <w:rPr>
          <w:lang w:val="nl-NL"/>
        </w:rPr>
        <w:t xml:space="preserve"> </w:t>
      </w:r>
      <w:r w:rsidRPr="009847E8">
        <w:rPr>
          <w:i/>
          <w:iCs/>
          <w:lang w:val="nl-NL"/>
        </w:rPr>
        <w:t>De Indische Gids</w:t>
      </w:r>
      <w:r w:rsidRPr="009847E8">
        <w:rPr>
          <w:lang w:val="nl-NL"/>
        </w:rPr>
        <w:t xml:space="preserve"> (1912), 74.</w:t>
      </w:r>
    </w:p>
  </w:footnote>
  <w:footnote w:id="223">
    <w:p w14:paraId="5F88594F" w14:textId="77777777" w:rsidR="009847E8" w:rsidRPr="009847E8" w:rsidRDefault="009847E8" w:rsidP="00DA61C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7-8. </w:t>
      </w:r>
    </w:p>
  </w:footnote>
  <w:footnote w:id="224">
    <w:p w14:paraId="0CD71CB2" w14:textId="77777777" w:rsidR="009847E8" w:rsidRPr="009847E8" w:rsidRDefault="009847E8" w:rsidP="00DA61CC">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10-11. </w:t>
      </w:r>
    </w:p>
  </w:footnote>
  <w:footnote w:id="225">
    <w:p w14:paraId="33749FD9"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Reglement voor het Korpspupillen,</w:t>
      </w:r>
      <w:r w:rsidRPr="009847E8">
        <w:rPr>
          <w:lang w:val="nl-NL"/>
        </w:rPr>
        <w:t>”</w:t>
      </w:r>
      <w:r w:rsidRPr="009847E8">
        <w:rPr>
          <w:lang w:val="nl-NL"/>
        </w:rPr>
        <w:t xml:space="preserve"> </w:t>
      </w:r>
      <w:r w:rsidRPr="009847E8">
        <w:rPr>
          <w:i/>
          <w:iCs/>
          <w:lang w:val="nl-NL"/>
        </w:rPr>
        <w:t>Javasche courant</w:t>
      </w:r>
      <w:r w:rsidRPr="009847E8">
        <w:rPr>
          <w:lang w:val="nl-NL"/>
        </w:rPr>
        <w:t xml:space="preserve"> (1856).</w:t>
      </w:r>
    </w:p>
  </w:footnote>
  <w:footnote w:id="226">
    <w:p w14:paraId="1C2510BD" w14:textId="77777777" w:rsidR="009847E8" w:rsidRPr="009847E8" w:rsidRDefault="009847E8">
      <w:pPr>
        <w:pStyle w:val="FootnoteText"/>
        <w:rPr>
          <w:lang w:val="nl-NL"/>
        </w:rPr>
      </w:pPr>
      <w:r w:rsidRPr="00DF6FA8">
        <w:rPr>
          <w:rStyle w:val="FootnoteReference"/>
        </w:rPr>
        <w:footnoteRef/>
      </w:r>
      <w:r w:rsidRPr="009847E8">
        <w:rPr>
          <w:lang w:val="nl-NL"/>
        </w:rPr>
        <w:t xml:space="preserve"> </w:t>
      </w:r>
      <w:r w:rsidRPr="009847E8">
        <w:rPr>
          <w:lang w:val="nl-NL"/>
        </w:rPr>
        <w:t>“</w:t>
      </w:r>
      <w:r w:rsidRPr="009847E8">
        <w:rPr>
          <w:lang w:val="nl-NL"/>
        </w:rPr>
        <w:t>Algemeen overzicht,</w:t>
      </w:r>
      <w:r w:rsidRPr="009847E8">
        <w:rPr>
          <w:lang w:val="nl-NL"/>
        </w:rPr>
        <w:t>”</w:t>
      </w:r>
      <w:r w:rsidRPr="009847E8">
        <w:rPr>
          <w:lang w:val="nl-NL"/>
        </w:rPr>
        <w:t xml:space="preserve"> in: </w:t>
      </w:r>
      <w:r w:rsidRPr="009847E8">
        <w:rPr>
          <w:i/>
          <w:iCs/>
          <w:lang w:val="nl-NL"/>
        </w:rPr>
        <w:t>Het Pauperisme onder de Europeanen in Nederlandsch-Indi</w:t>
      </w:r>
      <w:r w:rsidRPr="009847E8">
        <w:rPr>
          <w:i/>
          <w:iCs/>
          <w:lang w:val="nl-NL"/>
        </w:rPr>
        <w:t>ë</w:t>
      </w:r>
      <w:r w:rsidRPr="009847E8">
        <w:rPr>
          <w:lang w:val="nl-NL"/>
        </w:rPr>
        <w:t xml:space="preserve"> (Batavia Landsdrukkerij, 1901), 15. </w:t>
      </w:r>
    </w:p>
  </w:footnote>
  <w:footnote w:id="227">
    <w:p w14:paraId="54FFF262"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in: </w:t>
      </w:r>
      <w:r w:rsidRPr="009847E8">
        <w:rPr>
          <w:i/>
          <w:iCs/>
          <w:lang w:val="nl-NL"/>
        </w:rPr>
        <w:t>Staatsarmenzorg voor Europeanen</w:t>
      </w:r>
      <w:r w:rsidRPr="009847E8">
        <w:rPr>
          <w:lang w:val="nl-NL"/>
        </w:rPr>
        <w:t xml:space="preserve">, 14. </w:t>
      </w:r>
    </w:p>
  </w:footnote>
  <w:footnote w:id="228">
    <w:p w14:paraId="7A027DA1"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30.</w:t>
      </w:r>
    </w:p>
  </w:footnote>
  <w:footnote w:id="229">
    <w:p w14:paraId="4C9A7622" w14:textId="77777777" w:rsidR="009847E8" w:rsidRPr="009847E8" w:rsidRDefault="009847E8">
      <w:pPr>
        <w:pStyle w:val="FootnoteText"/>
        <w:rPr>
          <w:lang w:val="nl-NL"/>
        </w:rPr>
      </w:pPr>
      <w:r>
        <w:rPr>
          <w:rStyle w:val="FootnoteReference"/>
        </w:rPr>
        <w:footnoteRef/>
      </w:r>
      <w:bookmarkStart w:id="34" w:name="OLE_LINK2"/>
      <w:r w:rsidRPr="009847E8">
        <w:rPr>
          <w:lang w:val="nl-NL"/>
        </w:rPr>
        <w:t xml:space="preserve"> Resolution no. 48, 12 March 1831, as</w:t>
      </w:r>
      <w:bookmarkEnd w:id="34"/>
      <w:r w:rsidRPr="009847E8">
        <w:rPr>
          <w:lang w:val="nl-NL"/>
        </w:rPr>
        <w:t xml:space="preserve"> quoted in </w:t>
      </w:r>
      <w:r w:rsidRPr="009847E8">
        <w:rPr>
          <w:lang w:val="nl-NL"/>
        </w:rPr>
        <w:t>‘</w:t>
      </w:r>
      <w:r w:rsidRPr="009847E8">
        <w:rPr>
          <w:lang w:val="nl-NL"/>
        </w:rPr>
        <w:t>De Beginselen der Armenzorg van Staatswege</w:t>
      </w:r>
      <w:r w:rsidRPr="009847E8">
        <w:rPr>
          <w:lang w:val="nl-NL"/>
        </w:rPr>
        <w:t>’</w:t>
      </w:r>
      <w:r w:rsidRPr="009847E8">
        <w:rPr>
          <w:lang w:val="nl-NL"/>
        </w:rPr>
        <w:t xml:space="preserve">, in: </w:t>
      </w:r>
      <w:r w:rsidRPr="009847E8">
        <w:rPr>
          <w:i/>
          <w:iCs/>
          <w:lang w:val="nl-NL"/>
        </w:rPr>
        <w:t>Staatsarmenzorg voor Europeanen</w:t>
      </w:r>
      <w:r w:rsidRPr="009847E8">
        <w:rPr>
          <w:lang w:val="nl-NL"/>
        </w:rPr>
        <w:t xml:space="preserve">, 14. </w:t>
      </w:r>
      <w:r>
        <w:rPr>
          <w:lang w:val="en-US"/>
        </w:rPr>
        <w:t xml:space="preserve">This resolution was not limited to only Java, but applied to the entire archipelago. Further, this resolution also applied to children born out of concubinage in civil society, not only the </w:t>
      </w:r>
      <w:r w:rsidRPr="000B4CBD">
        <w:rPr>
          <w:i/>
          <w:iCs/>
          <w:lang w:val="en-US"/>
        </w:rPr>
        <w:t>tangsi</w:t>
      </w:r>
      <w:r>
        <w:rPr>
          <w:lang w:val="en-US"/>
        </w:rPr>
        <w:t xml:space="preserve">. This extensive care provided by the colonial state was criticized by different ministers, as they disagreed with the centralized funding of orphanages. </w:t>
      </w:r>
      <w:r w:rsidRPr="009847E8">
        <w:rPr>
          <w:lang w:val="nl-NL"/>
        </w:rPr>
        <w:t>Nonetheless, this criticism had few practical consequences.</w:t>
      </w:r>
    </w:p>
  </w:footnote>
  <w:footnote w:id="230">
    <w:p w14:paraId="5CB2DEE0"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15.</w:t>
      </w:r>
    </w:p>
  </w:footnote>
  <w:footnote w:id="231">
    <w:p w14:paraId="551D2020" w14:textId="77777777" w:rsidR="009847E8" w:rsidRPr="009847E8" w:rsidRDefault="009847E8" w:rsidP="000B4CBD">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22. </w:t>
      </w:r>
    </w:p>
  </w:footnote>
  <w:footnote w:id="232">
    <w:p w14:paraId="596642EA" w14:textId="77777777" w:rsidR="009847E8" w:rsidRPr="000B4CBD" w:rsidRDefault="009847E8">
      <w:pPr>
        <w:pStyle w:val="FootnoteText"/>
        <w:rPr>
          <w:lang w:val="en-US"/>
        </w:rPr>
      </w:pPr>
      <w:r>
        <w:rPr>
          <w:rStyle w:val="FootnoteReference"/>
        </w:rPr>
        <w:footnoteRef/>
      </w:r>
      <w:r>
        <w:t xml:space="preserve"> </w:t>
      </w:r>
      <w:r w:rsidRPr="000B4CBD">
        <w:rPr>
          <w:lang w:val="en-US"/>
        </w:rPr>
        <w:t>The Council of the Dutch East Indies (known as the Council of the Indies until 1836) was the most important central advisory and administrative body in the Dutch colony from 1610 to 1942.</w:t>
      </w:r>
    </w:p>
  </w:footnote>
  <w:footnote w:id="233">
    <w:p w14:paraId="4321FC4D"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in: </w:t>
      </w:r>
      <w:r w:rsidRPr="009847E8">
        <w:rPr>
          <w:i/>
          <w:iCs/>
          <w:lang w:val="nl-NL"/>
        </w:rPr>
        <w:t>Staatsarmenzorg voor Europeanen</w:t>
      </w:r>
      <w:r w:rsidRPr="009847E8">
        <w:rPr>
          <w:lang w:val="nl-NL"/>
        </w:rPr>
        <w:t xml:space="preserve">, 16-17. </w:t>
      </w:r>
    </w:p>
  </w:footnote>
  <w:footnote w:id="234">
    <w:p w14:paraId="09D8E207"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Het Indo-Vraagstuk en Rassenhaat,</w:t>
      </w:r>
      <w:r w:rsidRPr="009847E8">
        <w:rPr>
          <w:lang w:val="nl-NL"/>
        </w:rPr>
        <w:t>”</w:t>
      </w:r>
      <w:r w:rsidRPr="009847E8">
        <w:rPr>
          <w:lang w:val="nl-NL"/>
        </w:rPr>
        <w:t xml:space="preserve"> </w:t>
      </w:r>
      <w:r w:rsidRPr="009847E8">
        <w:rPr>
          <w:i/>
          <w:iCs/>
          <w:lang w:val="nl-NL"/>
        </w:rPr>
        <w:t>De Indische Gids</w:t>
      </w:r>
      <w:r w:rsidRPr="009847E8">
        <w:rPr>
          <w:lang w:val="nl-NL"/>
        </w:rPr>
        <w:t xml:space="preserve"> (1912), 74.</w:t>
      </w:r>
    </w:p>
  </w:footnote>
  <w:footnote w:id="235">
    <w:p w14:paraId="6063E807" w14:textId="77777777" w:rsidR="009847E8" w:rsidRPr="00F122BD" w:rsidRDefault="009847E8" w:rsidP="00C3328E">
      <w:pPr>
        <w:pStyle w:val="FootnoteText"/>
      </w:pPr>
      <w:r>
        <w:rPr>
          <w:rStyle w:val="FootnoteReference"/>
        </w:rPr>
        <w:footnoteRef/>
      </w:r>
      <w:r>
        <w:t xml:space="preserve"> Examples are the ci</w:t>
      </w:r>
      <w:r w:rsidRPr="00F122BD">
        <w:t>vil service</w:t>
      </w:r>
      <w:r>
        <w:t xml:space="preserve"> </w:t>
      </w:r>
      <w:r w:rsidRPr="00F122BD">
        <w:t>school</w:t>
      </w:r>
      <w:r>
        <w:t xml:space="preserve"> in Soerabaja, corps service school in Gombong, military school in Semarang, maritime school in Soerabaja, see </w:t>
      </w:r>
      <w:r>
        <w:t>“</w:t>
      </w:r>
      <w:r>
        <w:t>Algemeen overzicht,</w:t>
      </w:r>
      <w:r>
        <w:t>”</w:t>
      </w:r>
      <w:r>
        <w:t xml:space="preserve"> 14-21. </w:t>
      </w:r>
    </w:p>
  </w:footnote>
  <w:footnote w:id="236">
    <w:p w14:paraId="73C94B4D" w14:textId="77777777" w:rsidR="009847E8" w:rsidRPr="00E75798" w:rsidRDefault="009847E8" w:rsidP="003D0261">
      <w:pPr>
        <w:pStyle w:val="FootnoteText"/>
        <w:rPr>
          <w:lang w:val="en-US"/>
        </w:rPr>
      </w:pPr>
      <w:r>
        <w:rPr>
          <w:rStyle w:val="FootnoteReference"/>
        </w:rPr>
        <w:footnoteRef/>
      </w:r>
      <w:r w:rsidRPr="002F66D9">
        <w:rPr>
          <w:lang w:val="en-US"/>
        </w:rPr>
        <w:t xml:space="preserve"> </w:t>
      </w:r>
      <w:r w:rsidRPr="00620FB6">
        <w:rPr>
          <w:lang w:val="en-US"/>
        </w:rPr>
        <w:t xml:space="preserve">Stoler, </w:t>
      </w:r>
      <w:r w:rsidRPr="00620FB6">
        <w:rPr>
          <w:i/>
          <w:iCs/>
          <w:lang w:val="en-US"/>
        </w:rPr>
        <w:t>Race and the Education of Desire</w:t>
      </w:r>
      <w:r w:rsidRPr="00620FB6">
        <w:rPr>
          <w:lang w:val="en-US"/>
        </w:rPr>
        <w:t>,</w:t>
      </w:r>
      <w:r>
        <w:rPr>
          <w:lang w:val="en-US"/>
        </w:rPr>
        <w:t xml:space="preserve"> 159.</w:t>
      </w:r>
    </w:p>
  </w:footnote>
  <w:footnote w:id="237">
    <w:p w14:paraId="0C5AC55B" w14:textId="77777777" w:rsidR="009847E8" w:rsidRPr="001D2636" w:rsidRDefault="009847E8" w:rsidP="003D0261">
      <w:pPr>
        <w:pStyle w:val="FootnoteText"/>
        <w:rPr>
          <w:lang w:val="en-US"/>
        </w:rPr>
      </w:pPr>
      <w:r>
        <w:rPr>
          <w:rStyle w:val="FootnoteReference"/>
        </w:rPr>
        <w:footnoteRef/>
      </w:r>
      <w:r w:rsidRPr="002F66D9">
        <w:rPr>
          <w:lang w:val="en-US"/>
        </w:rPr>
        <w:t xml:space="preserve"> </w:t>
      </w:r>
      <w:r w:rsidRPr="00620FB6">
        <w:rPr>
          <w:lang w:val="en-US"/>
        </w:rPr>
        <w:t xml:space="preserve">Stoler, </w:t>
      </w:r>
      <w:r w:rsidRPr="00620FB6">
        <w:rPr>
          <w:i/>
          <w:iCs/>
          <w:lang w:val="en-US"/>
        </w:rPr>
        <w:t>Race and the Education of Desire</w:t>
      </w:r>
      <w:r w:rsidRPr="00620FB6">
        <w:rPr>
          <w:lang w:val="en-US"/>
        </w:rPr>
        <w:t>,</w:t>
      </w:r>
      <w:r>
        <w:rPr>
          <w:lang w:val="en-US"/>
        </w:rPr>
        <w:t xml:space="preserve"> 149.</w:t>
      </w:r>
    </w:p>
  </w:footnote>
  <w:footnote w:id="238">
    <w:p w14:paraId="1151FB9E" w14:textId="77777777" w:rsidR="009847E8" w:rsidRPr="00F122BD" w:rsidRDefault="009847E8" w:rsidP="00651E9C">
      <w:pPr>
        <w:pStyle w:val="FootnoteText"/>
        <w:rPr>
          <w:lang w:val="en-US"/>
        </w:rPr>
      </w:pPr>
      <w:r>
        <w:rPr>
          <w:rStyle w:val="FootnoteReference"/>
        </w:rPr>
        <w:footnoteRef/>
      </w:r>
      <w:r>
        <w:t xml:space="preserve"> </w:t>
      </w:r>
      <w:r>
        <w:rPr>
          <w:lang w:val="en-US"/>
        </w:rPr>
        <w:t xml:space="preserve">Wilkens, </w:t>
      </w:r>
      <w:r w:rsidRPr="00F122BD">
        <w:rPr>
          <w:i/>
          <w:iCs/>
          <w:lang w:val="en-US"/>
        </w:rPr>
        <w:t>Het Inlandsche Kind</w:t>
      </w:r>
      <w:r>
        <w:rPr>
          <w:lang w:val="en-US"/>
        </w:rPr>
        <w:t xml:space="preserve">, 21. </w:t>
      </w:r>
    </w:p>
  </w:footnote>
  <w:footnote w:id="239">
    <w:p w14:paraId="112EA1C9" w14:textId="77777777" w:rsidR="009847E8" w:rsidRPr="00E75798" w:rsidRDefault="009847E8" w:rsidP="003D0261">
      <w:pPr>
        <w:pStyle w:val="FootnoteText"/>
        <w:rPr>
          <w:lang w:val="en-US"/>
        </w:rPr>
      </w:pPr>
      <w:r>
        <w:rPr>
          <w:rStyle w:val="FootnoteReference"/>
        </w:rPr>
        <w:footnoteRef/>
      </w:r>
      <w:r w:rsidRPr="002F66D9">
        <w:rPr>
          <w:lang w:val="en-US"/>
        </w:rPr>
        <w:t xml:space="preserve"> </w:t>
      </w:r>
      <w:r w:rsidRPr="00620FB6">
        <w:rPr>
          <w:lang w:val="en-US"/>
        </w:rPr>
        <w:t xml:space="preserve">Stoler, </w:t>
      </w:r>
      <w:r w:rsidRPr="00620FB6">
        <w:rPr>
          <w:i/>
          <w:iCs/>
          <w:lang w:val="en-US"/>
        </w:rPr>
        <w:t>Race and the Education of Desire</w:t>
      </w:r>
      <w:r w:rsidRPr="00620FB6">
        <w:rPr>
          <w:lang w:val="en-US"/>
        </w:rPr>
        <w:t>,</w:t>
      </w:r>
      <w:r>
        <w:rPr>
          <w:lang w:val="en-US"/>
        </w:rPr>
        <w:t xml:space="preserve"> 160.</w:t>
      </w:r>
    </w:p>
  </w:footnote>
  <w:footnote w:id="240">
    <w:p w14:paraId="45015723" w14:textId="77777777" w:rsidR="009847E8" w:rsidRPr="009847E8" w:rsidRDefault="009847E8">
      <w:pPr>
        <w:pStyle w:val="FootnoteText"/>
        <w:rPr>
          <w:lang w:val="nl-NL"/>
        </w:rPr>
      </w:pPr>
      <w:r>
        <w:rPr>
          <w:rStyle w:val="FootnoteReference"/>
        </w:rPr>
        <w:footnoteRef/>
      </w:r>
      <w:r w:rsidRPr="009847E8">
        <w:rPr>
          <w:lang w:val="nl-NL"/>
        </w:rPr>
        <w:t xml:space="preserve"> Th. J.A. Hilgers and H. Douma, </w:t>
      </w:r>
      <w:r w:rsidRPr="009847E8">
        <w:rPr>
          <w:i/>
          <w:iCs/>
          <w:lang w:val="nl-NL"/>
        </w:rPr>
        <w:t>De Indische Lagere School Toegepaste Opvoedkunde en Methodeleer ten Dienste van Onderwijzers en Kweekelingen</w:t>
      </w:r>
      <w:r w:rsidRPr="009847E8">
        <w:rPr>
          <w:lang w:val="nl-NL"/>
        </w:rPr>
        <w:t xml:space="preserve"> (Weltevreden, 1908), 11-12. </w:t>
      </w:r>
    </w:p>
  </w:footnote>
  <w:footnote w:id="241">
    <w:p w14:paraId="5F78BF9E" w14:textId="77777777" w:rsidR="009847E8" w:rsidRPr="00A42791" w:rsidRDefault="009847E8" w:rsidP="003D0261">
      <w:pPr>
        <w:pStyle w:val="FootnoteText"/>
        <w:rPr>
          <w:lang w:val="en-US"/>
        </w:rPr>
      </w:pPr>
      <w:r>
        <w:rPr>
          <w:rStyle w:val="FootnoteReference"/>
        </w:rPr>
        <w:footnoteRef/>
      </w:r>
      <w:r w:rsidRPr="002F66D9">
        <w:rPr>
          <w:lang w:val="en-US"/>
        </w:rPr>
        <w:t xml:space="preserve"> </w:t>
      </w:r>
      <w:r w:rsidRPr="00864CDA">
        <w:rPr>
          <w:lang w:val="en-US"/>
        </w:rPr>
        <w:t>Ana</w:t>
      </w:r>
      <w:r w:rsidRPr="0032387D">
        <w:rPr>
          <w:lang w:val="en-US"/>
        </w:rPr>
        <w:t xml:space="preserve"> </w:t>
      </w:r>
      <w:r w:rsidRPr="00864CDA">
        <w:rPr>
          <w:lang w:val="en-US"/>
        </w:rPr>
        <w:t>Dragojlovic and Katharine McGregor</w:t>
      </w:r>
      <w:r>
        <w:rPr>
          <w:lang w:val="en-US"/>
        </w:rPr>
        <w:t>,</w:t>
      </w:r>
      <w:r w:rsidRPr="00864CDA">
        <w:rPr>
          <w:lang w:val="en-US"/>
        </w:rPr>
        <w:t xml:space="preserve"> </w:t>
      </w:r>
      <w:r w:rsidRPr="00864CDA">
        <w:rPr>
          <w:lang w:val="en-US"/>
        </w:rPr>
        <w:t>“‘</w:t>
      </w:r>
      <w:r w:rsidRPr="00864CDA">
        <w:rPr>
          <w:lang w:val="en-US"/>
        </w:rPr>
        <w:t>They Call Me Babu</w:t>
      </w:r>
      <w:r w:rsidRPr="00864CDA">
        <w:rPr>
          <w:lang w:val="en-US"/>
        </w:rPr>
        <w:t>’</w:t>
      </w:r>
      <w:r w:rsidRPr="00864CDA">
        <w:rPr>
          <w:lang w:val="en-US"/>
        </w:rPr>
        <w:t>: The Politics of Visibility and Gendered Memories of Dutch Colonialism in Indonesia</w:t>
      </w:r>
      <w:r>
        <w:rPr>
          <w:lang w:val="en-US"/>
        </w:rPr>
        <w:t>,</w:t>
      </w:r>
      <w:r w:rsidRPr="00864CDA">
        <w:rPr>
          <w:lang w:val="en-US"/>
        </w:rPr>
        <w:t>” </w:t>
      </w:r>
      <w:r w:rsidRPr="00864CDA">
        <w:rPr>
          <w:i/>
          <w:iCs/>
          <w:lang w:val="en-US"/>
        </w:rPr>
        <w:t>Women</w:t>
      </w:r>
      <w:r w:rsidRPr="00864CDA">
        <w:rPr>
          <w:i/>
          <w:iCs/>
          <w:lang w:val="en-US"/>
        </w:rPr>
        <w:t>’</w:t>
      </w:r>
      <w:r w:rsidRPr="00864CDA">
        <w:rPr>
          <w:i/>
          <w:iCs/>
          <w:lang w:val="en-US"/>
        </w:rPr>
        <w:t>s History Review</w:t>
      </w:r>
      <w:r w:rsidRPr="00864CDA">
        <w:rPr>
          <w:lang w:val="en-US"/>
        </w:rPr>
        <w:t> </w:t>
      </w:r>
      <w:r w:rsidRPr="00864CDA">
        <w:rPr>
          <w:lang w:val="en-US"/>
        </w:rPr>
        <w:t>31</w:t>
      </w:r>
      <w:r>
        <w:rPr>
          <w:lang w:val="en-US"/>
        </w:rPr>
        <w:t xml:space="preserve">, no. </w:t>
      </w:r>
      <w:r w:rsidRPr="00864CDA">
        <w:rPr>
          <w:lang w:val="en-US"/>
        </w:rPr>
        <w:t>6</w:t>
      </w:r>
      <w:r>
        <w:rPr>
          <w:lang w:val="en-US"/>
        </w:rPr>
        <w:t xml:space="preserve"> (2022)</w:t>
      </w:r>
      <w:r w:rsidRPr="00864CDA">
        <w:rPr>
          <w:lang w:val="en-US"/>
        </w:rPr>
        <w:t>: 933</w:t>
      </w:r>
      <w:r>
        <w:rPr>
          <w:lang w:val="en-US"/>
        </w:rPr>
        <w:t xml:space="preserve">; </w:t>
      </w:r>
      <w:r w:rsidRPr="00620FB6">
        <w:rPr>
          <w:lang w:val="en-US"/>
        </w:rPr>
        <w:t xml:space="preserve">Stoler, </w:t>
      </w:r>
      <w:r w:rsidRPr="00620FB6">
        <w:rPr>
          <w:i/>
          <w:iCs/>
          <w:lang w:val="en-US"/>
        </w:rPr>
        <w:t>Race and the Education of Desire</w:t>
      </w:r>
      <w:r w:rsidRPr="00620FB6">
        <w:rPr>
          <w:lang w:val="en-US"/>
        </w:rPr>
        <w:t>,</w:t>
      </w:r>
      <w:r>
        <w:rPr>
          <w:lang w:val="en-US"/>
        </w:rPr>
        <w:t xml:space="preserve"> 112. </w:t>
      </w:r>
    </w:p>
  </w:footnote>
  <w:footnote w:id="242">
    <w:p w14:paraId="365BEB70" w14:textId="77777777" w:rsidR="009847E8" w:rsidRPr="00210A30" w:rsidRDefault="009847E8" w:rsidP="003D0261">
      <w:pPr>
        <w:pStyle w:val="FootnoteText"/>
        <w:rPr>
          <w:lang w:val="en-US"/>
        </w:rPr>
      </w:pPr>
      <w:r w:rsidRPr="00210A30">
        <w:rPr>
          <w:rStyle w:val="FootnoteReference"/>
          <w:lang w:val="en-US"/>
        </w:rPr>
        <w:footnoteRef/>
      </w:r>
      <w:r w:rsidRPr="00210A30">
        <w:rPr>
          <w:lang w:val="en-US"/>
        </w:rPr>
        <w:t xml:space="preserve"> Locher-Scholten, </w:t>
      </w:r>
      <w:r>
        <w:rPr>
          <w:lang w:val="en-US"/>
        </w:rPr>
        <w:t>“</w:t>
      </w:r>
      <w:r w:rsidRPr="00210A30">
        <w:rPr>
          <w:lang w:val="en-US"/>
        </w:rPr>
        <w:t>Rhetoric of the family</w:t>
      </w:r>
      <w:r>
        <w:rPr>
          <w:lang w:val="en-US"/>
        </w:rPr>
        <w:t>,</w:t>
      </w:r>
      <w:r>
        <w:rPr>
          <w:lang w:val="en-US"/>
        </w:rPr>
        <w:t>”</w:t>
      </w:r>
      <w:r w:rsidRPr="00210A30">
        <w:rPr>
          <w:lang w:val="en-US"/>
        </w:rPr>
        <w:t xml:space="preserve"> </w:t>
      </w:r>
      <w:r>
        <w:rPr>
          <w:lang w:val="en-US"/>
        </w:rPr>
        <w:t xml:space="preserve">27. </w:t>
      </w:r>
    </w:p>
  </w:footnote>
  <w:footnote w:id="243">
    <w:p w14:paraId="7F63F5C2" w14:textId="77777777" w:rsidR="009847E8" w:rsidRPr="00210A30" w:rsidRDefault="009847E8" w:rsidP="003D0261">
      <w:pPr>
        <w:pStyle w:val="FootnoteText"/>
        <w:rPr>
          <w:lang w:val="en-US"/>
        </w:rPr>
      </w:pPr>
      <w:r>
        <w:rPr>
          <w:rStyle w:val="FootnoteReference"/>
        </w:rPr>
        <w:footnoteRef/>
      </w:r>
      <w:r w:rsidRPr="002F66D9">
        <w:rPr>
          <w:lang w:val="en-US"/>
        </w:rPr>
        <w:t xml:space="preserve"> </w:t>
      </w:r>
      <w:r w:rsidRPr="00210A30">
        <w:rPr>
          <w:lang w:val="en-US"/>
        </w:rPr>
        <w:t xml:space="preserve">Locher-Scholten, </w:t>
      </w:r>
      <w:r>
        <w:rPr>
          <w:lang w:val="en-US"/>
        </w:rPr>
        <w:t>“</w:t>
      </w:r>
      <w:r w:rsidRPr="00210A30">
        <w:rPr>
          <w:lang w:val="en-US"/>
        </w:rPr>
        <w:t>Rhetoric of the family</w:t>
      </w:r>
      <w:r>
        <w:rPr>
          <w:lang w:val="en-US"/>
        </w:rPr>
        <w:t>,</w:t>
      </w:r>
      <w:r>
        <w:rPr>
          <w:lang w:val="en-US"/>
        </w:rPr>
        <w:t>”</w:t>
      </w:r>
      <w:r w:rsidRPr="00210A30">
        <w:rPr>
          <w:lang w:val="en-US"/>
        </w:rPr>
        <w:t xml:space="preserve"> </w:t>
      </w:r>
      <w:r>
        <w:rPr>
          <w:lang w:val="en-US"/>
        </w:rPr>
        <w:t>27-28.</w:t>
      </w:r>
    </w:p>
  </w:footnote>
  <w:footnote w:id="244">
    <w:p w14:paraId="38D81E05" w14:textId="77777777" w:rsidR="009847E8" w:rsidRPr="00210A30" w:rsidRDefault="009847E8" w:rsidP="003D0261">
      <w:pPr>
        <w:pStyle w:val="FootnoteText"/>
        <w:rPr>
          <w:lang w:val="en-US"/>
        </w:rPr>
      </w:pPr>
      <w:r>
        <w:rPr>
          <w:rStyle w:val="FootnoteReference"/>
        </w:rPr>
        <w:footnoteRef/>
      </w:r>
      <w:r w:rsidRPr="002F66D9">
        <w:rPr>
          <w:lang w:val="en-US"/>
        </w:rPr>
        <w:t xml:space="preserve"> </w:t>
      </w:r>
      <w:r w:rsidRPr="00210A30">
        <w:rPr>
          <w:lang w:val="en-US"/>
        </w:rPr>
        <w:t xml:space="preserve">Locher-Scholten, </w:t>
      </w:r>
      <w:r>
        <w:rPr>
          <w:lang w:val="en-US"/>
        </w:rPr>
        <w:t>“</w:t>
      </w:r>
      <w:r w:rsidRPr="00210A30">
        <w:rPr>
          <w:lang w:val="en-US"/>
        </w:rPr>
        <w:t>Rhetoric of the family,</w:t>
      </w:r>
      <w:r>
        <w:rPr>
          <w:lang w:val="en-US"/>
        </w:rPr>
        <w:t>”</w:t>
      </w:r>
      <w:r w:rsidRPr="00210A30">
        <w:rPr>
          <w:lang w:val="en-US"/>
        </w:rPr>
        <w:t xml:space="preserve"> </w:t>
      </w:r>
      <w:r>
        <w:rPr>
          <w:lang w:val="en-US"/>
        </w:rPr>
        <w:t>28.</w:t>
      </w:r>
    </w:p>
  </w:footnote>
  <w:footnote w:id="245">
    <w:p w14:paraId="56047A1C" w14:textId="77777777" w:rsidR="009847E8" w:rsidRPr="00210A30" w:rsidRDefault="009847E8" w:rsidP="003D0261">
      <w:pPr>
        <w:pStyle w:val="FootnoteText"/>
        <w:rPr>
          <w:lang w:val="en-US"/>
        </w:rPr>
      </w:pPr>
      <w:r>
        <w:rPr>
          <w:rStyle w:val="FootnoteReference"/>
        </w:rPr>
        <w:footnoteRef/>
      </w:r>
      <w:r w:rsidRPr="009847E8">
        <w:rPr>
          <w:lang w:val="nl-NL"/>
        </w:rPr>
        <w:t xml:space="preserve"> Pierre Peverelli, </w:t>
      </w:r>
      <w:r w:rsidRPr="009847E8">
        <w:rPr>
          <w:lang w:val="nl-NL"/>
        </w:rPr>
        <w:t>“</w:t>
      </w:r>
      <w:r w:rsidRPr="009847E8">
        <w:rPr>
          <w:lang w:val="nl-NL"/>
        </w:rPr>
        <w:t>De hygi</w:t>
      </w:r>
      <w:r w:rsidRPr="009847E8">
        <w:rPr>
          <w:lang w:val="nl-NL"/>
        </w:rPr>
        <w:t>ë</w:t>
      </w:r>
      <w:r w:rsidRPr="009847E8">
        <w:rPr>
          <w:lang w:val="nl-NL"/>
        </w:rPr>
        <w:t>ne van het gezin,</w:t>
      </w:r>
      <w:r w:rsidRPr="009847E8">
        <w:rPr>
          <w:lang w:val="nl-NL"/>
        </w:rPr>
        <w:t>”</w:t>
      </w:r>
      <w:r w:rsidRPr="009847E8">
        <w:rPr>
          <w:lang w:val="nl-NL"/>
        </w:rPr>
        <w:t xml:space="preserve"> in </w:t>
      </w:r>
      <w:r w:rsidRPr="009847E8">
        <w:rPr>
          <w:i/>
          <w:iCs/>
          <w:lang w:val="nl-NL"/>
        </w:rPr>
        <w:t>Indisch Vrouwenjaarboek</w:t>
      </w:r>
      <w:r w:rsidRPr="009847E8">
        <w:rPr>
          <w:lang w:val="nl-NL"/>
        </w:rPr>
        <w:t xml:space="preserve">, ed. </w:t>
      </w:r>
      <w:r w:rsidRPr="007D443A">
        <w:rPr>
          <w:lang w:val="en-US"/>
        </w:rPr>
        <w:t>Van Lith-van Schreven and Hooykaas-van Leeuwen Boomkamp, 100-104</w:t>
      </w:r>
      <w:r>
        <w:rPr>
          <w:lang w:val="en-US"/>
        </w:rPr>
        <w:t xml:space="preserve">, as cited in </w:t>
      </w:r>
      <w:r w:rsidRPr="00210A30">
        <w:rPr>
          <w:lang w:val="en-US"/>
        </w:rPr>
        <w:t xml:space="preserve">Locher-Scholten, </w:t>
      </w:r>
      <w:r>
        <w:rPr>
          <w:lang w:val="en-US"/>
        </w:rPr>
        <w:t>“</w:t>
      </w:r>
      <w:r w:rsidRPr="00210A30">
        <w:rPr>
          <w:lang w:val="en-US"/>
        </w:rPr>
        <w:t>Rhetoric of the family,</w:t>
      </w:r>
      <w:r>
        <w:rPr>
          <w:lang w:val="en-US"/>
        </w:rPr>
        <w:t>”</w:t>
      </w:r>
      <w:r w:rsidRPr="00210A30">
        <w:rPr>
          <w:lang w:val="en-US"/>
        </w:rPr>
        <w:t xml:space="preserve"> </w:t>
      </w:r>
      <w:r>
        <w:rPr>
          <w:lang w:val="en-US"/>
        </w:rPr>
        <w:t>28.</w:t>
      </w:r>
    </w:p>
  </w:footnote>
  <w:footnote w:id="246">
    <w:p w14:paraId="04CD6B47" w14:textId="77777777" w:rsidR="009847E8" w:rsidRPr="00631870" w:rsidRDefault="009847E8" w:rsidP="003D0261">
      <w:pPr>
        <w:pStyle w:val="FootnoteText"/>
      </w:pPr>
      <w:r w:rsidRPr="00631870">
        <w:rPr>
          <w:rStyle w:val="FootnoteReference"/>
        </w:rPr>
        <w:footnoteRef/>
      </w:r>
      <w:r w:rsidRPr="00631870">
        <w:t xml:space="preserve"> Ming, </w:t>
      </w:r>
      <w:r>
        <w:t>“</w:t>
      </w:r>
      <w:r w:rsidRPr="00631870">
        <w:t>Barracks-Concubinage in the Indies</w:t>
      </w:r>
      <w:r>
        <w:t>,</w:t>
      </w:r>
      <w:r>
        <w:t>”</w:t>
      </w:r>
      <w:r w:rsidRPr="00631870">
        <w:t xml:space="preserve"> 72.</w:t>
      </w:r>
    </w:p>
  </w:footnote>
  <w:footnote w:id="247">
    <w:p w14:paraId="579933DF" w14:textId="77777777" w:rsidR="009847E8" w:rsidRPr="00631870" w:rsidRDefault="009847E8" w:rsidP="003D0261">
      <w:pPr>
        <w:pStyle w:val="FootnoteText"/>
      </w:pPr>
      <w:r w:rsidRPr="00631870">
        <w:rPr>
          <w:rStyle w:val="FootnoteReference"/>
        </w:rPr>
        <w:footnoteRef/>
      </w:r>
      <w:r w:rsidRPr="00631870">
        <w:t xml:space="preserve"> Ming, </w:t>
      </w:r>
      <w:r>
        <w:t>“</w:t>
      </w:r>
      <w:r w:rsidRPr="00631870">
        <w:t>Barracks-Concubinage in the Indies</w:t>
      </w:r>
      <w:r>
        <w:t>,</w:t>
      </w:r>
      <w:r>
        <w:t>”</w:t>
      </w:r>
      <w:r w:rsidRPr="00631870">
        <w:t xml:space="preserve"> 72. </w:t>
      </w:r>
    </w:p>
  </w:footnote>
  <w:footnote w:id="248">
    <w:p w14:paraId="2B67CAE1" w14:textId="77777777" w:rsidR="009847E8" w:rsidRPr="00631870" w:rsidRDefault="009847E8" w:rsidP="003D0261">
      <w:pPr>
        <w:pStyle w:val="FootnoteText"/>
      </w:pPr>
      <w:r w:rsidRPr="00631870">
        <w:rPr>
          <w:rStyle w:val="FootnoteReference"/>
        </w:rPr>
        <w:footnoteRef/>
      </w:r>
      <w:r w:rsidRPr="00631870">
        <w:t xml:space="preserve"> </w:t>
      </w:r>
      <w:r w:rsidRPr="00E30012">
        <w:t>Letter from Gen</w:t>
      </w:r>
      <w:r>
        <w:t>eral</w:t>
      </w:r>
      <w:r w:rsidRPr="00E30012">
        <w:t xml:space="preserve"> Boetje to the Governor-General, in Ming, </w:t>
      </w:r>
      <w:r>
        <w:t>“</w:t>
      </w:r>
      <w:r w:rsidRPr="00E30012">
        <w:t>Barracks-Concubinage in the Indies</w:t>
      </w:r>
      <w:r>
        <w:t>,</w:t>
      </w:r>
      <w:r>
        <w:t>”</w:t>
      </w:r>
      <w:r>
        <w:t xml:space="preserve"> 72.</w:t>
      </w:r>
      <w:r w:rsidRPr="00E30012">
        <w:t xml:space="preserve"> </w:t>
      </w:r>
      <w:r w:rsidRPr="00E30012">
        <w:rPr>
          <w:lang w:val="en-US"/>
        </w:rPr>
        <w:t>This remark was written in response to the recommendation by the Commission on Pauperism that the concubine and her unacknowledged child be expelled from the barracks.</w:t>
      </w:r>
    </w:p>
  </w:footnote>
  <w:footnote w:id="249">
    <w:p w14:paraId="47DEDD8C" w14:textId="77777777" w:rsidR="009847E8" w:rsidRPr="009847E8" w:rsidRDefault="009847E8" w:rsidP="003D0261">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28-30. </w:t>
      </w:r>
    </w:p>
  </w:footnote>
  <w:footnote w:id="250">
    <w:p w14:paraId="4BE62C75" w14:textId="77777777" w:rsidR="009847E8" w:rsidRPr="009847E8" w:rsidRDefault="009847E8" w:rsidP="003D0261">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31.</w:t>
      </w:r>
    </w:p>
  </w:footnote>
  <w:footnote w:id="251">
    <w:p w14:paraId="58447439" w14:textId="77777777" w:rsidR="009847E8" w:rsidRPr="009847E8" w:rsidRDefault="009847E8" w:rsidP="003D0261">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31.</w:t>
      </w:r>
    </w:p>
  </w:footnote>
  <w:footnote w:id="252">
    <w:p w14:paraId="552B81E0" w14:textId="77777777" w:rsidR="009847E8" w:rsidRPr="009847E8" w:rsidRDefault="009847E8" w:rsidP="003D0261">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Armenverpleging van Staatswege,</w:t>
      </w:r>
      <w:r w:rsidRPr="009847E8">
        <w:rPr>
          <w:lang w:val="nl-NL"/>
        </w:rPr>
        <w:t>”</w:t>
      </w:r>
      <w:r w:rsidRPr="009847E8">
        <w:rPr>
          <w:lang w:val="nl-NL"/>
        </w:rPr>
        <w:t xml:space="preserve"> 39.</w:t>
      </w:r>
    </w:p>
  </w:footnote>
  <w:footnote w:id="253">
    <w:p w14:paraId="0122600C" w14:textId="77777777" w:rsidR="009847E8" w:rsidRPr="009D1B01" w:rsidRDefault="009847E8" w:rsidP="003D0261">
      <w:pPr>
        <w:pStyle w:val="FootnoteText"/>
        <w:rPr>
          <w:lang w:val="en-US"/>
        </w:rPr>
      </w:pPr>
      <w:r>
        <w:rPr>
          <w:rStyle w:val="FootnoteReference"/>
        </w:rPr>
        <w:footnoteRef/>
      </w:r>
      <w:r>
        <w:t xml:space="preserve"> </w:t>
      </w:r>
      <w:r>
        <w:rPr>
          <w:lang w:val="en-US"/>
        </w:rPr>
        <w:t xml:space="preserve">Letter in response to Mr. Bool, 17 August 1893, no. 1577/1. </w:t>
      </w:r>
    </w:p>
  </w:footnote>
  <w:footnote w:id="254">
    <w:p w14:paraId="1ECB4E87" w14:textId="77777777" w:rsidR="009847E8" w:rsidRPr="009D1B01" w:rsidRDefault="009847E8" w:rsidP="003D0261">
      <w:pPr>
        <w:pStyle w:val="FootnoteText"/>
        <w:rPr>
          <w:lang w:val="en-US"/>
        </w:rPr>
      </w:pPr>
      <w:r>
        <w:rPr>
          <w:rStyle w:val="FootnoteReference"/>
        </w:rPr>
        <w:footnoteRef/>
      </w:r>
      <w:r>
        <w:t xml:space="preserve"> </w:t>
      </w:r>
      <w:r>
        <w:t>“</w:t>
      </w:r>
      <w:r>
        <w:rPr>
          <w:lang w:val="en-US"/>
        </w:rPr>
        <w:t>De Armenverpleging van Staatswege,</w:t>
      </w:r>
      <w:r>
        <w:rPr>
          <w:lang w:val="en-US"/>
        </w:rPr>
        <w:t>”</w:t>
      </w:r>
      <w:r>
        <w:rPr>
          <w:lang w:val="en-US"/>
        </w:rPr>
        <w:t xml:space="preserve"> 40. </w:t>
      </w:r>
    </w:p>
  </w:footnote>
  <w:footnote w:id="255">
    <w:p w14:paraId="78906449" w14:textId="77777777" w:rsidR="009847E8" w:rsidRPr="001841DA" w:rsidRDefault="009847E8">
      <w:pPr>
        <w:pStyle w:val="FootnoteText"/>
        <w:rPr>
          <w:lang w:val="en-US"/>
        </w:rPr>
      </w:pPr>
      <w:r>
        <w:rPr>
          <w:rStyle w:val="FootnoteReference"/>
        </w:rPr>
        <w:footnoteRef/>
      </w:r>
      <w:r>
        <w:t xml:space="preserve"> </w:t>
      </w:r>
      <w:r>
        <w:rPr>
          <w:lang w:val="en-US"/>
        </w:rPr>
        <w:t>As discussed in the previous chapter, I argue, in contrast with Foucault and Stoler, juridical power can be a productive form of power and is important for understanding biopolitical interventions in the colonial state, as the law is used to legitimize such interventions, such as child separation. I will expand on the role of the law in this section.</w:t>
      </w:r>
    </w:p>
  </w:footnote>
  <w:footnote w:id="256">
    <w:p w14:paraId="566448A8" w14:textId="77777777" w:rsidR="009847E8" w:rsidRPr="009847E8" w:rsidRDefault="009847E8" w:rsidP="00DA61CC">
      <w:pPr>
        <w:pStyle w:val="FootnoteText"/>
        <w:rPr>
          <w:lang w:val="nl-NL"/>
        </w:rPr>
      </w:pPr>
      <w:r>
        <w:rPr>
          <w:rStyle w:val="FootnoteReference"/>
        </w:rPr>
        <w:footnoteRef/>
      </w:r>
      <w:r w:rsidRPr="009847E8">
        <w:rPr>
          <w:lang w:val="nl-NL"/>
        </w:rPr>
        <w:t xml:space="preserve"> Article 300, Indies Civil Code, in: </w:t>
      </w:r>
      <w:r w:rsidRPr="009847E8">
        <w:rPr>
          <w:rFonts w:cs="Calibri"/>
          <w:lang w:val="nl-NL"/>
        </w:rPr>
        <w:t>A.E. Pros</w:t>
      </w:r>
      <w:r w:rsidRPr="009847E8">
        <w:rPr>
          <w:rFonts w:cs="Calibri"/>
          <w:lang w:val="nl-NL"/>
        </w:rPr>
        <w:t>é</w:t>
      </w:r>
      <w:r w:rsidRPr="009847E8">
        <w:rPr>
          <w:rFonts w:cs="Calibri"/>
          <w:lang w:val="nl-NL"/>
        </w:rPr>
        <w:t xml:space="preserve">e, </w:t>
      </w:r>
      <w:r w:rsidRPr="009847E8">
        <w:rPr>
          <w:rFonts w:cs="Calibri"/>
          <w:i/>
          <w:iCs/>
          <w:lang w:val="nl-NL"/>
        </w:rPr>
        <w:t>Het burgerlijk wetboek voor Nederlandsch-Indi</w:t>
      </w:r>
      <w:r w:rsidRPr="009847E8">
        <w:rPr>
          <w:rFonts w:cs="Calibri"/>
          <w:i/>
          <w:iCs/>
          <w:lang w:val="nl-NL"/>
        </w:rPr>
        <w:t>ë</w:t>
      </w:r>
      <w:r w:rsidRPr="009847E8">
        <w:rPr>
          <w:rFonts w:cs="Calibri"/>
          <w:i/>
          <w:iCs/>
          <w:lang w:val="nl-NL"/>
        </w:rPr>
        <w:t xml:space="preserve"> : opgehelderd door arresten en beslissingen van den Hoogen Raad der Nederlanden, het Hoog Gerechtshof en de Raden van Justitie van Nederlandsch-Indi</w:t>
      </w:r>
      <w:r w:rsidRPr="009847E8">
        <w:rPr>
          <w:rFonts w:cs="Calibri"/>
          <w:i/>
          <w:iCs/>
          <w:lang w:val="nl-NL"/>
        </w:rPr>
        <w:t>ë</w:t>
      </w:r>
      <w:r w:rsidRPr="009847E8">
        <w:rPr>
          <w:lang w:val="nl-NL"/>
        </w:rPr>
        <w:t xml:space="preserve"> (Weltevreden, 1927), 141.  </w:t>
      </w:r>
    </w:p>
  </w:footnote>
  <w:footnote w:id="257">
    <w:p w14:paraId="60442820" w14:textId="77777777" w:rsidR="009847E8" w:rsidRDefault="009847E8" w:rsidP="00DA61CC">
      <w:pPr>
        <w:pStyle w:val="FootnoteText"/>
      </w:pPr>
      <w:r w:rsidRPr="00B30430">
        <w:rPr>
          <w:rStyle w:val="FootnoteReference"/>
          <w:rFonts w:cs="Calibri"/>
        </w:rPr>
        <w:footnoteRef/>
      </w:r>
      <w:r w:rsidRPr="00B30430">
        <w:rPr>
          <w:rFonts w:cs="Calibri"/>
        </w:rPr>
        <w:t xml:space="preserve"> </w:t>
      </w:r>
      <w:r>
        <w:rPr>
          <w:rFonts w:cs="Calibri"/>
        </w:rPr>
        <w:t xml:space="preserve">Article 284, third paragraph, Indies Civil Code, see </w:t>
      </w:r>
      <w:r>
        <w:rPr>
          <w:lang w:val="en-US"/>
        </w:rPr>
        <w:t>Pros</w:t>
      </w:r>
      <w:r>
        <w:rPr>
          <w:lang w:val="en-US"/>
        </w:rPr>
        <w:t>é</w:t>
      </w:r>
      <w:r>
        <w:rPr>
          <w:lang w:val="en-US"/>
        </w:rPr>
        <w:t xml:space="preserve">e, </w:t>
      </w:r>
      <w:r w:rsidRPr="0035171B">
        <w:rPr>
          <w:i/>
          <w:iCs/>
          <w:lang w:val="en-US"/>
        </w:rPr>
        <w:t>Burgerlijk wetboek</w:t>
      </w:r>
      <w:r>
        <w:rPr>
          <w:lang w:val="en-US"/>
        </w:rPr>
        <w:t xml:space="preserve">, </w:t>
      </w:r>
      <w:r>
        <w:t xml:space="preserve">136. </w:t>
      </w:r>
    </w:p>
  </w:footnote>
  <w:footnote w:id="258">
    <w:p w14:paraId="31C43E53" w14:textId="77777777" w:rsidR="009847E8" w:rsidRPr="001E0274" w:rsidRDefault="009847E8">
      <w:pPr>
        <w:pStyle w:val="FootnoteText"/>
        <w:rPr>
          <w:lang w:val="en-US"/>
        </w:rPr>
      </w:pPr>
      <w:r>
        <w:rPr>
          <w:rStyle w:val="FootnoteReference"/>
        </w:rPr>
        <w:footnoteRef/>
      </w:r>
      <w:r>
        <w:t xml:space="preserve"> According to article 302, Indies Civil Code, see </w:t>
      </w:r>
      <w:r>
        <w:rPr>
          <w:lang w:val="en-US"/>
        </w:rPr>
        <w:t xml:space="preserve">Walsem, </w:t>
      </w:r>
      <w:r>
        <w:rPr>
          <w:lang w:val="en-US"/>
        </w:rPr>
        <w:t>“</w:t>
      </w:r>
      <w:r>
        <w:rPr>
          <w:lang w:val="en-US"/>
        </w:rPr>
        <w:t>Pro Juventute,</w:t>
      </w:r>
      <w:r>
        <w:rPr>
          <w:lang w:val="en-US"/>
        </w:rPr>
        <w:t>”</w:t>
      </w:r>
      <w:r>
        <w:rPr>
          <w:lang w:val="en-US"/>
        </w:rPr>
        <w:t xml:space="preserve"> 7-8. The guardianship may only be appointed to one parent, as decided in the Council of Justice (Semarang) ruling of 30 September 1918, see </w:t>
      </w:r>
      <w:r w:rsidRPr="006F1F48">
        <w:rPr>
          <w:i/>
          <w:iCs/>
          <w:lang w:val="en-US"/>
        </w:rPr>
        <w:t>Indisch Tijdschrift van het Recht</w:t>
      </w:r>
      <w:r>
        <w:rPr>
          <w:lang w:val="en-US"/>
        </w:rPr>
        <w:t xml:space="preserve">, no. 111 (1918), 469, and art. 331, Indies Civil Code. </w:t>
      </w:r>
    </w:p>
  </w:footnote>
  <w:footnote w:id="259">
    <w:p w14:paraId="5097C2CE" w14:textId="77777777" w:rsidR="009847E8" w:rsidRPr="00E42209" w:rsidRDefault="009847E8" w:rsidP="00DA61CC">
      <w:pPr>
        <w:pStyle w:val="FootnoteText"/>
        <w:rPr>
          <w:lang w:val="en-US"/>
        </w:rPr>
      </w:pPr>
      <w:r>
        <w:rPr>
          <w:rStyle w:val="FootnoteReference"/>
        </w:rPr>
        <w:footnoteRef/>
      </w:r>
      <w:r>
        <w:t xml:space="preserve"> </w:t>
      </w:r>
      <w:r>
        <w:rPr>
          <w:lang w:val="en-US"/>
        </w:rPr>
        <w:t>Article 319e, Indies Civil Codes, see Pros</w:t>
      </w:r>
      <w:r>
        <w:rPr>
          <w:lang w:val="en-US"/>
        </w:rPr>
        <w:t>é</w:t>
      </w:r>
      <w:r>
        <w:rPr>
          <w:lang w:val="en-US"/>
        </w:rPr>
        <w:t xml:space="preserve">e, </w:t>
      </w:r>
      <w:r w:rsidRPr="00E42209">
        <w:rPr>
          <w:i/>
          <w:iCs/>
          <w:lang w:val="en-US"/>
        </w:rPr>
        <w:t>Burgerlijk Wetboek</w:t>
      </w:r>
      <w:r>
        <w:rPr>
          <w:lang w:val="en-US"/>
        </w:rPr>
        <w:t xml:space="preserve">, 149-150. </w:t>
      </w:r>
    </w:p>
  </w:footnote>
  <w:footnote w:id="260">
    <w:p w14:paraId="69192BB4" w14:textId="77777777" w:rsidR="009847E8" w:rsidRPr="009847E8" w:rsidRDefault="009847E8" w:rsidP="00DA61CC">
      <w:pPr>
        <w:pStyle w:val="FootnoteText"/>
        <w:rPr>
          <w:lang w:val="nl-NL"/>
        </w:rPr>
      </w:pPr>
      <w:r>
        <w:rPr>
          <w:rStyle w:val="FootnoteReference"/>
        </w:rPr>
        <w:footnoteRef/>
      </w:r>
      <w:r w:rsidRPr="009847E8">
        <w:rPr>
          <w:lang w:val="nl-NL"/>
        </w:rPr>
        <w:t xml:space="preserve"> Article 319b, Indies Civil Code, in Pros</w:t>
      </w:r>
      <w:r w:rsidRPr="009847E8">
        <w:rPr>
          <w:lang w:val="nl-NL"/>
        </w:rPr>
        <w:t>é</w:t>
      </w:r>
      <w:r w:rsidRPr="009847E8">
        <w:rPr>
          <w:lang w:val="nl-NL"/>
        </w:rPr>
        <w:t xml:space="preserve">e, </w:t>
      </w:r>
      <w:r w:rsidRPr="009847E8">
        <w:rPr>
          <w:i/>
          <w:iCs/>
          <w:lang w:val="nl-NL"/>
        </w:rPr>
        <w:t>Burgerlijk Wetboek</w:t>
      </w:r>
      <w:r w:rsidRPr="009847E8">
        <w:rPr>
          <w:lang w:val="nl-NL"/>
        </w:rPr>
        <w:t xml:space="preserve">, 148. </w:t>
      </w:r>
    </w:p>
  </w:footnote>
  <w:footnote w:id="261">
    <w:p w14:paraId="05AE948D" w14:textId="77777777" w:rsidR="009847E8" w:rsidRPr="009847E8" w:rsidRDefault="009847E8" w:rsidP="00DA61CC">
      <w:pPr>
        <w:pStyle w:val="FootnoteText"/>
        <w:rPr>
          <w:lang w:val="nl-NL"/>
        </w:rPr>
      </w:pPr>
      <w:r>
        <w:rPr>
          <w:rStyle w:val="FootnoteReference"/>
        </w:rPr>
        <w:footnoteRef/>
      </w:r>
      <w:r w:rsidRPr="009847E8">
        <w:rPr>
          <w:lang w:val="nl-NL"/>
        </w:rPr>
        <w:t xml:space="preserve"> Pros</w:t>
      </w:r>
      <w:r w:rsidRPr="009847E8">
        <w:rPr>
          <w:lang w:val="nl-NL"/>
        </w:rPr>
        <w:t>é</w:t>
      </w:r>
      <w:r w:rsidRPr="009847E8">
        <w:rPr>
          <w:lang w:val="nl-NL"/>
        </w:rPr>
        <w:t xml:space="preserve">e, </w:t>
      </w:r>
      <w:r w:rsidRPr="009847E8">
        <w:rPr>
          <w:i/>
          <w:iCs/>
          <w:lang w:val="nl-NL"/>
        </w:rPr>
        <w:t>Burgerlijk Wetboek</w:t>
      </w:r>
      <w:r w:rsidRPr="009847E8">
        <w:rPr>
          <w:lang w:val="nl-NL"/>
        </w:rPr>
        <w:t xml:space="preserve">, 140. </w:t>
      </w:r>
    </w:p>
  </w:footnote>
  <w:footnote w:id="262">
    <w:p w14:paraId="158597E1" w14:textId="77777777" w:rsidR="009847E8" w:rsidRPr="009847E8" w:rsidRDefault="009847E8" w:rsidP="00DA61CC">
      <w:pPr>
        <w:pStyle w:val="FootnoteText"/>
        <w:rPr>
          <w:lang w:val="nl-NL"/>
        </w:rPr>
      </w:pPr>
      <w:r>
        <w:rPr>
          <w:rStyle w:val="FootnoteReference"/>
        </w:rPr>
        <w:footnoteRef/>
      </w:r>
      <w:r>
        <w:t xml:space="preserve"> </w:t>
      </w:r>
      <w:r>
        <w:rPr>
          <w:lang w:val="en-US"/>
        </w:rPr>
        <w:t xml:space="preserve">Based on article 380, paragraph 2, sub a and article 382a Indies Civil Code, p. 434. </w:t>
      </w:r>
      <w:r w:rsidRPr="00DA61CC">
        <w:rPr>
          <w:lang w:val="en-US"/>
        </w:rPr>
        <w:t xml:space="preserve">Professor Kollewijn criticizes this habit of the council, arguing that </w:t>
      </w:r>
      <w:r w:rsidRPr="00DA61CC">
        <w:rPr>
          <w:lang w:val="en-US"/>
        </w:rPr>
        <w:t>‘</w:t>
      </w:r>
      <w:r w:rsidRPr="00DA61CC">
        <w:rPr>
          <w:lang w:val="en-US"/>
        </w:rPr>
        <w:t xml:space="preserve">a ruling that deprives a guardian, and especially a parent-guardian, of authority over his or her children is of such great significance to the individuals concerned that one may expect the prosecutor to disclose the facts on which that measure is based. A ruling that contains only legal qualifications cannot be said to be substantiated; it is like </w:t>
      </w:r>
      <w:r>
        <w:rPr>
          <w:lang w:val="en-US"/>
        </w:rPr>
        <w:t xml:space="preserve">a </w:t>
      </w:r>
      <w:r>
        <w:rPr>
          <w:lang w:val="en-US"/>
        </w:rPr>
        <w:t>‘</w:t>
      </w:r>
      <w:r>
        <w:rPr>
          <w:lang w:val="en-US"/>
        </w:rPr>
        <w:t>c</w:t>
      </w:r>
      <w:r w:rsidRPr="00DA61CC">
        <w:rPr>
          <w:lang w:val="en-US"/>
        </w:rPr>
        <w:t>rake in her net</w:t>
      </w:r>
      <w:r w:rsidRPr="00DA61CC">
        <w:rPr>
          <w:lang w:val="en-US"/>
        </w:rPr>
        <w:t>’</w:t>
      </w:r>
      <w:r w:rsidRPr="00DA61CC">
        <w:rPr>
          <w:lang w:val="en-US"/>
        </w:rPr>
        <w:t>, not naked, but not clothed either.</w:t>
      </w:r>
      <w:r w:rsidRPr="00DA61CC">
        <w:rPr>
          <w:lang w:val="en-US"/>
        </w:rPr>
        <w:t>’</w:t>
      </w:r>
      <w:r>
        <w:rPr>
          <w:lang w:val="en-US"/>
        </w:rPr>
        <w:t xml:space="preserve"> </w:t>
      </w:r>
      <w:r w:rsidRPr="009847E8">
        <w:rPr>
          <w:lang w:val="nl-NL"/>
        </w:rPr>
        <w:t xml:space="preserve">See: R.D. Kollewijn, </w:t>
      </w:r>
      <w:r w:rsidRPr="009847E8">
        <w:rPr>
          <w:i/>
          <w:iCs/>
          <w:lang w:val="nl-NL"/>
        </w:rPr>
        <w:t>Indisch Tijdschrift van het Recht</w:t>
      </w:r>
      <w:r w:rsidRPr="009847E8">
        <w:rPr>
          <w:lang w:val="nl-NL"/>
        </w:rPr>
        <w:t>, no. 142 (1935), 435.</w:t>
      </w:r>
    </w:p>
  </w:footnote>
  <w:footnote w:id="263">
    <w:p w14:paraId="41203E1F" w14:textId="77777777" w:rsidR="009847E8" w:rsidRPr="001E0274" w:rsidRDefault="009847E8" w:rsidP="00D4065E">
      <w:pPr>
        <w:pStyle w:val="FootnoteText"/>
        <w:rPr>
          <w:lang w:val="en-US"/>
        </w:rPr>
      </w:pPr>
      <w:r>
        <w:rPr>
          <w:rStyle w:val="FootnoteReference"/>
        </w:rPr>
        <w:footnoteRef/>
      </w:r>
      <w:r>
        <w:t xml:space="preserve"> </w:t>
      </w:r>
      <w:r>
        <w:rPr>
          <w:lang w:val="en-US"/>
        </w:rPr>
        <w:t xml:space="preserve">Walsem, </w:t>
      </w:r>
      <w:r>
        <w:rPr>
          <w:lang w:val="en-US"/>
        </w:rPr>
        <w:t>“</w:t>
      </w:r>
      <w:r>
        <w:rPr>
          <w:lang w:val="en-US"/>
        </w:rPr>
        <w:t>Pro Juventute,</w:t>
      </w:r>
      <w:r>
        <w:rPr>
          <w:lang w:val="en-US"/>
        </w:rPr>
        <w:t>”</w:t>
      </w:r>
      <w:r>
        <w:rPr>
          <w:lang w:val="en-US"/>
        </w:rPr>
        <w:t xml:space="preserve"> 21. </w:t>
      </w:r>
    </w:p>
  </w:footnote>
  <w:footnote w:id="264">
    <w:p w14:paraId="0CFC0B9F" w14:textId="77777777" w:rsidR="009847E8" w:rsidRPr="00BB0260" w:rsidRDefault="009847E8" w:rsidP="003D0261">
      <w:pPr>
        <w:pStyle w:val="FootnoteText"/>
        <w:rPr>
          <w:lang w:val="en-US"/>
        </w:rPr>
      </w:pPr>
      <w:r>
        <w:rPr>
          <w:rStyle w:val="FootnoteReference"/>
        </w:rPr>
        <w:footnoteRef/>
      </w:r>
      <w:r>
        <w:t xml:space="preserve"> </w:t>
      </w:r>
      <w:r w:rsidRPr="00514A67">
        <w:t xml:space="preserve">Supreme Court of the Dutch East Indies (First Chamber), </w:t>
      </w:r>
      <w:r>
        <w:t>23</w:t>
      </w:r>
      <w:r w:rsidRPr="00514A67">
        <w:t xml:space="preserve"> </w:t>
      </w:r>
      <w:r>
        <w:t>April</w:t>
      </w:r>
      <w:r w:rsidRPr="00514A67">
        <w:t xml:space="preserve"> 193</w:t>
      </w:r>
      <w:r>
        <w:t>6</w:t>
      </w:r>
      <w:r w:rsidRPr="00514A67">
        <w:t xml:space="preserve">, </w:t>
      </w:r>
      <w:r w:rsidRPr="00514A67">
        <w:rPr>
          <w:i/>
          <w:iCs/>
          <w:lang w:val="en-US"/>
        </w:rPr>
        <w:t xml:space="preserve">Indisch </w:t>
      </w:r>
      <w:r>
        <w:rPr>
          <w:i/>
          <w:iCs/>
          <w:lang w:val="en-US"/>
        </w:rPr>
        <w:t>T</w:t>
      </w:r>
      <w:r w:rsidRPr="00514A67">
        <w:rPr>
          <w:i/>
          <w:iCs/>
          <w:lang w:val="en-US"/>
        </w:rPr>
        <w:t>ijdschrift van het Recht</w:t>
      </w:r>
      <w:r w:rsidRPr="00514A67">
        <w:rPr>
          <w:lang w:val="en-US"/>
        </w:rPr>
        <w:t xml:space="preserve">, no. </w:t>
      </w:r>
      <w:r>
        <w:rPr>
          <w:lang w:val="en-US"/>
        </w:rPr>
        <w:t xml:space="preserve">143, 656. </w:t>
      </w:r>
      <w:r w:rsidRPr="00BB0260">
        <w:t>If a European parent or a parent of equivalent status died in the Dutch East Indies, the Orphanage Board assumed responsibility for the upbringing of the surviving orphans</w:t>
      </w:r>
      <w:r>
        <w:t xml:space="preserve">. </w:t>
      </w:r>
    </w:p>
  </w:footnote>
  <w:footnote w:id="265">
    <w:p w14:paraId="3C569CDE" w14:textId="77777777" w:rsidR="009847E8" w:rsidRPr="00F818E5" w:rsidRDefault="009847E8" w:rsidP="003D0261">
      <w:pPr>
        <w:pStyle w:val="FootnoteText"/>
        <w:rPr>
          <w:highlight w:val="yellow"/>
          <w:lang w:val="en-US"/>
        </w:rPr>
      </w:pPr>
      <w:r>
        <w:rPr>
          <w:rStyle w:val="FootnoteReference"/>
        </w:rPr>
        <w:footnoteRef/>
      </w:r>
      <w:r>
        <w:t xml:space="preserve"> </w:t>
      </w:r>
      <w:r w:rsidRPr="00514A67">
        <w:t xml:space="preserve">Supreme Court of the Dutch East Indies (First Chamber), 23 April 1936, </w:t>
      </w:r>
      <w:r w:rsidRPr="00514A67">
        <w:rPr>
          <w:i/>
          <w:iCs/>
          <w:lang w:val="en-US"/>
        </w:rPr>
        <w:t xml:space="preserve">Indisch </w:t>
      </w:r>
      <w:r>
        <w:rPr>
          <w:i/>
          <w:iCs/>
          <w:lang w:val="en-US"/>
        </w:rPr>
        <w:t>T</w:t>
      </w:r>
      <w:r w:rsidRPr="00514A67">
        <w:rPr>
          <w:i/>
          <w:iCs/>
          <w:lang w:val="en-US"/>
        </w:rPr>
        <w:t>ijdschrift van het Recht</w:t>
      </w:r>
      <w:r w:rsidRPr="00514A67">
        <w:rPr>
          <w:lang w:val="en-US"/>
        </w:rPr>
        <w:t xml:space="preserve">, no. 143, 658. </w:t>
      </w:r>
    </w:p>
  </w:footnote>
  <w:footnote w:id="266">
    <w:p w14:paraId="61CCBCC6" w14:textId="77777777" w:rsidR="009847E8" w:rsidRPr="00514A67" w:rsidRDefault="009847E8" w:rsidP="00812718">
      <w:pPr>
        <w:pStyle w:val="FootnoteText"/>
        <w:rPr>
          <w:lang w:val="en-US"/>
        </w:rPr>
      </w:pPr>
      <w:r w:rsidRPr="00514A67">
        <w:rPr>
          <w:rStyle w:val="FootnoteReference"/>
        </w:rPr>
        <w:footnoteRef/>
      </w:r>
      <w:r w:rsidRPr="00514A67">
        <w:t xml:space="preserve"> Supreme Court of the Dutch East Indies (First Chamber), 19 December 1935, </w:t>
      </w:r>
      <w:r w:rsidRPr="00514A67">
        <w:rPr>
          <w:i/>
          <w:iCs/>
          <w:lang w:val="en-US"/>
        </w:rPr>
        <w:t xml:space="preserve">Indisch </w:t>
      </w:r>
      <w:r>
        <w:rPr>
          <w:i/>
          <w:iCs/>
          <w:lang w:val="en-US"/>
        </w:rPr>
        <w:t>T</w:t>
      </w:r>
      <w:r w:rsidRPr="00514A67">
        <w:rPr>
          <w:i/>
          <w:iCs/>
          <w:lang w:val="en-US"/>
        </w:rPr>
        <w:t>ijdschrift van het Recht</w:t>
      </w:r>
      <w:r w:rsidRPr="00514A67">
        <w:rPr>
          <w:lang w:val="en-US"/>
        </w:rPr>
        <w:t xml:space="preserve">, no. 143, 72. </w:t>
      </w:r>
    </w:p>
  </w:footnote>
  <w:footnote w:id="267">
    <w:p w14:paraId="0672E6C1" w14:textId="77777777" w:rsidR="009847E8" w:rsidRPr="00F16490" w:rsidRDefault="009847E8" w:rsidP="00812718">
      <w:pPr>
        <w:pStyle w:val="FootnoteText"/>
        <w:rPr>
          <w:lang w:val="en-US"/>
        </w:rPr>
      </w:pPr>
      <w:r w:rsidRPr="00514A67">
        <w:rPr>
          <w:rStyle w:val="FootnoteReference"/>
        </w:rPr>
        <w:footnoteRef/>
      </w:r>
      <w:r w:rsidRPr="00514A67">
        <w:t xml:space="preserve"> Supreme Court</w:t>
      </w:r>
      <w:r>
        <w:t xml:space="preserve"> of the Dutch East Indies (First Chamber), 19 December 1935, </w:t>
      </w:r>
      <w:r w:rsidRPr="00473BEF">
        <w:rPr>
          <w:i/>
          <w:iCs/>
          <w:lang w:val="en-US"/>
        </w:rPr>
        <w:t xml:space="preserve">Indisch </w:t>
      </w:r>
      <w:r>
        <w:rPr>
          <w:i/>
          <w:iCs/>
          <w:lang w:val="en-US"/>
        </w:rPr>
        <w:t>T</w:t>
      </w:r>
      <w:r w:rsidRPr="00473BEF">
        <w:rPr>
          <w:i/>
          <w:iCs/>
          <w:lang w:val="en-US"/>
        </w:rPr>
        <w:t>ijdschrift van het Recht</w:t>
      </w:r>
      <w:r>
        <w:rPr>
          <w:lang w:val="en-US"/>
        </w:rPr>
        <w:t>, no. 143,</w:t>
      </w:r>
      <w:r>
        <w:t xml:space="preserve"> </w:t>
      </w:r>
      <w:r>
        <w:rPr>
          <w:lang w:val="en-US"/>
        </w:rPr>
        <w:t xml:space="preserve">73. </w:t>
      </w:r>
    </w:p>
  </w:footnote>
  <w:footnote w:id="268">
    <w:p w14:paraId="010B2008" w14:textId="77777777" w:rsidR="009847E8" w:rsidRPr="00BB0260" w:rsidRDefault="009847E8" w:rsidP="00812718">
      <w:pPr>
        <w:pStyle w:val="FootnoteText"/>
        <w:rPr>
          <w:lang w:val="en-US"/>
        </w:rPr>
      </w:pPr>
      <w:r>
        <w:rPr>
          <w:rStyle w:val="FootnoteReference"/>
        </w:rPr>
        <w:footnoteRef/>
      </w:r>
      <w:r>
        <w:t xml:space="preserve"> </w:t>
      </w:r>
      <w:r>
        <w:rPr>
          <w:lang w:val="en-US"/>
        </w:rPr>
        <w:t xml:space="preserve">The same argumentation was used in the Council of Justice ruling of 22 January 1936, p. 437-438. </w:t>
      </w:r>
    </w:p>
  </w:footnote>
  <w:footnote w:id="269">
    <w:p w14:paraId="22D882F0" w14:textId="77777777" w:rsidR="009847E8" w:rsidRPr="00E35570" w:rsidRDefault="009847E8">
      <w:pPr>
        <w:pStyle w:val="FootnoteText"/>
        <w:rPr>
          <w:lang w:val="en-US"/>
        </w:rPr>
      </w:pPr>
      <w:r>
        <w:rPr>
          <w:rStyle w:val="FootnoteReference"/>
        </w:rPr>
        <w:footnoteRef/>
      </w:r>
      <w:r>
        <w:t xml:space="preserve"> </w:t>
      </w:r>
      <w:r>
        <w:rPr>
          <w:lang w:val="en-US"/>
        </w:rPr>
        <w:t>In a Supreme Court ruling of 7 September 1922, the Court even assigned guardianship over a European child,  born within a marital relationship, to their European mother, one of the reasons being that the father secretly registered their divorce without the mother</w:t>
      </w:r>
      <w:r>
        <w:rPr>
          <w:lang w:val="en-US"/>
        </w:rPr>
        <w:t>’</w:t>
      </w:r>
      <w:r>
        <w:rPr>
          <w:lang w:val="en-US"/>
        </w:rPr>
        <w:t xml:space="preserve">s knowing. The court considers that </w:t>
      </w:r>
      <w:r>
        <w:rPr>
          <w:lang w:val="en-US"/>
        </w:rPr>
        <w:t>‘</w:t>
      </w:r>
      <w:r w:rsidRPr="00E35570">
        <w:rPr>
          <w:lang w:val="en-US"/>
        </w:rPr>
        <w:t xml:space="preserve">it can be sufficiently concluded from the </w:t>
      </w:r>
      <w:r>
        <w:rPr>
          <w:lang w:val="en-US"/>
        </w:rPr>
        <w:t>father</w:t>
      </w:r>
      <w:r>
        <w:rPr>
          <w:lang w:val="en-US"/>
        </w:rPr>
        <w:t>’</w:t>
      </w:r>
      <w:r>
        <w:rPr>
          <w:lang w:val="en-US"/>
        </w:rPr>
        <w:t>s</w:t>
      </w:r>
      <w:r w:rsidRPr="00E35570">
        <w:rPr>
          <w:lang w:val="en-US"/>
        </w:rPr>
        <w:t xml:space="preserve"> conduct </w:t>
      </w:r>
      <w:r>
        <w:rPr>
          <w:lang w:val="en-US"/>
        </w:rPr>
        <w:t xml:space="preserve">toward his ex-wife - </w:t>
      </w:r>
      <w:r w:rsidRPr="00E35570">
        <w:rPr>
          <w:lang w:val="en-US"/>
        </w:rPr>
        <w:t xml:space="preserve">whom he subjected to the disgrace of a </w:t>
      </w:r>
      <w:r w:rsidRPr="00E35570">
        <w:rPr>
          <w:i/>
          <w:iCs/>
          <w:lang w:val="en-US"/>
        </w:rPr>
        <w:t>de facto concubinage</w:t>
      </w:r>
      <w:r>
        <w:rPr>
          <w:lang w:val="en-US"/>
        </w:rPr>
        <w:t xml:space="preserve"> arrangement</w:t>
      </w:r>
      <w:r w:rsidRPr="00E35570">
        <w:rPr>
          <w:lang w:val="en-US"/>
        </w:rPr>
        <w:t xml:space="preserve"> for six months, entirely without her knowledge</w:t>
      </w:r>
      <w:r>
        <w:rPr>
          <w:lang w:val="en-US"/>
        </w:rPr>
        <w:t xml:space="preserve"> - </w:t>
      </w:r>
      <w:r w:rsidRPr="00E35570">
        <w:rPr>
          <w:lang w:val="en-US"/>
        </w:rPr>
        <w:t xml:space="preserve">that the </w:t>
      </w:r>
      <w:r>
        <w:rPr>
          <w:lang w:val="en-US"/>
        </w:rPr>
        <w:t>father</w:t>
      </w:r>
      <w:r w:rsidRPr="00E35570">
        <w:rPr>
          <w:lang w:val="en-US"/>
        </w:rPr>
        <w:t xml:space="preserve"> possesses a low moral standard.</w:t>
      </w:r>
      <w:r>
        <w:rPr>
          <w:lang w:val="en-US"/>
        </w:rPr>
        <w:t xml:space="preserve"> It would be unfavorable to the child to leave her with her immoral father.</w:t>
      </w:r>
      <w:r>
        <w:rPr>
          <w:lang w:val="en-US"/>
        </w:rPr>
        <w:t>’</w:t>
      </w:r>
      <w:r>
        <w:rPr>
          <w:lang w:val="en-US"/>
        </w:rPr>
        <w:t xml:space="preserve"> See: </w:t>
      </w:r>
      <w:r w:rsidRPr="00E35570">
        <w:rPr>
          <w:i/>
          <w:iCs/>
          <w:lang w:val="en-US"/>
        </w:rPr>
        <w:t>Indisch Tijdschrift van het Recht</w:t>
      </w:r>
      <w:r>
        <w:rPr>
          <w:lang w:val="en-US"/>
        </w:rPr>
        <w:t xml:space="preserve">, no. 116 (1923), 341. </w:t>
      </w:r>
    </w:p>
  </w:footnote>
  <w:footnote w:id="270">
    <w:p w14:paraId="6723F539" w14:textId="77777777" w:rsidR="009847E8" w:rsidRPr="00514A67" w:rsidRDefault="009847E8">
      <w:pPr>
        <w:pStyle w:val="FootnoteText"/>
        <w:rPr>
          <w:lang w:val="en-US"/>
        </w:rPr>
      </w:pPr>
      <w:r>
        <w:rPr>
          <w:rStyle w:val="FootnoteReference"/>
        </w:rPr>
        <w:footnoteRef/>
      </w:r>
      <w:r>
        <w:t xml:space="preserve"> </w:t>
      </w:r>
      <w:r>
        <w:rPr>
          <w:lang w:val="en-US"/>
        </w:rPr>
        <w:t xml:space="preserve">Still, legal intervention in the domestic sphere occurred already at the moment of registration of children born outside of wedlock. A 1829 Government </w:t>
      </w:r>
      <w:r w:rsidRPr="00514A67">
        <w:rPr>
          <w:lang w:val="en-US"/>
        </w:rPr>
        <w:t>Decree stipulates that civil registry officials are required to register children born outside of wedlock when reported by a Christian man, regardless of whether he formally identifies himself as the father, provided that the person making the report must declare that he commits to</w:t>
      </w:r>
      <w:r>
        <w:t xml:space="preserve"> caring for the child and raising it in the Christian faith; second, the mother must consent to the child being cared for and raised in this way. Registration of birth and commitment to Christianity were made inseparable.</w:t>
      </w:r>
    </w:p>
  </w:footnote>
  <w:footnote w:id="271">
    <w:p w14:paraId="69836E59" w14:textId="77777777" w:rsidR="009847E8" w:rsidRPr="009847E8" w:rsidRDefault="009847E8">
      <w:pPr>
        <w:pStyle w:val="FootnoteText"/>
        <w:rPr>
          <w:lang w:val="nl-NL"/>
        </w:rPr>
      </w:pPr>
      <w:r>
        <w:rPr>
          <w:rStyle w:val="FootnoteReference"/>
        </w:rPr>
        <w:footnoteRef/>
      </w:r>
      <w:r>
        <w:t xml:space="preserve"> </w:t>
      </w:r>
      <w:r>
        <w:rPr>
          <w:lang w:val="en-US"/>
        </w:rPr>
        <w:t xml:space="preserve">The statutory text reads: </w:t>
      </w:r>
      <w:r>
        <w:rPr>
          <w:lang w:val="en-US"/>
        </w:rPr>
        <w:t>‘</w:t>
      </w:r>
      <w:r w:rsidRPr="00171F94">
        <w:rPr>
          <w:lang w:val="en-US"/>
        </w:rPr>
        <w:t>The administration of poor relief is a matter of ongoing concern to the Government and is governed by law. The King submits a detailed annual report on the relevant activities to the States General.</w:t>
      </w:r>
      <w:r>
        <w:rPr>
          <w:lang w:val="en-US"/>
        </w:rPr>
        <w:t>’</w:t>
      </w:r>
      <w:r>
        <w:rPr>
          <w:lang w:val="en-US"/>
        </w:rPr>
        <w:t xml:space="preserve"> </w:t>
      </w:r>
      <w:r w:rsidRPr="009847E8">
        <w:rPr>
          <w:lang w:val="nl-NL"/>
        </w:rPr>
        <w:t xml:space="preserve">See: </w:t>
      </w:r>
      <w:hyperlink r:id="rId2" w:history="1">
        <w:r w:rsidRPr="009847E8">
          <w:rPr>
            <w:rStyle w:val="Hyperlink"/>
            <w:lang w:val="nl-NL"/>
          </w:rPr>
          <w:t>https://www.denederlandsegrondwet.nl/indeling/1887/tiende-hoofdstuk-van-het-onderwijs-en-het-armbestuur</w:t>
        </w:r>
      </w:hyperlink>
      <w:r w:rsidRPr="009847E8">
        <w:rPr>
          <w:lang w:val="nl-NL"/>
        </w:rPr>
        <w:t>, mentioned in</w:t>
      </w:r>
      <w:r w:rsidRPr="009847E8">
        <w:rPr>
          <w:i/>
          <w:iCs/>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in: </w:t>
      </w:r>
      <w:r w:rsidRPr="009847E8">
        <w:rPr>
          <w:i/>
          <w:iCs/>
          <w:lang w:val="nl-NL"/>
        </w:rPr>
        <w:t xml:space="preserve">Staatsarmenzorg voor Europeanen, </w:t>
      </w:r>
      <w:r w:rsidRPr="009847E8">
        <w:rPr>
          <w:lang w:val="nl-NL"/>
        </w:rPr>
        <w:t>58</w:t>
      </w:r>
      <w:r w:rsidRPr="009847E8">
        <w:rPr>
          <w:i/>
          <w:iCs/>
          <w:lang w:val="nl-NL"/>
        </w:rPr>
        <w:t xml:space="preserve">. </w:t>
      </w:r>
    </w:p>
  </w:footnote>
  <w:footnote w:id="272">
    <w:p w14:paraId="722D3E5F" w14:textId="77777777" w:rsidR="009847E8" w:rsidRPr="009847E8" w:rsidRDefault="009847E8" w:rsidP="000B4CBD">
      <w:pPr>
        <w:pStyle w:val="FootnoteText"/>
        <w:rPr>
          <w:lang w:val="nl-NL"/>
        </w:rPr>
      </w:pPr>
      <w:r>
        <w:rPr>
          <w:rStyle w:val="FootnoteReference"/>
        </w:rPr>
        <w:footnoteRef/>
      </w:r>
      <w:r w:rsidRPr="009847E8">
        <w:rPr>
          <w:i/>
          <w:iCs/>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60. </w:t>
      </w:r>
    </w:p>
  </w:footnote>
  <w:footnote w:id="273">
    <w:p w14:paraId="4CBEADE2" w14:textId="77777777" w:rsidR="009847E8" w:rsidRPr="009847E8" w:rsidRDefault="009847E8" w:rsidP="00561E9B">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Door den Staat Gesubsidieerde Particuliere Weesinrichtingen,</w:t>
      </w:r>
      <w:r w:rsidRPr="009847E8">
        <w:rPr>
          <w:lang w:val="nl-NL"/>
        </w:rPr>
        <w:t>”</w:t>
      </w:r>
      <w:r w:rsidRPr="009847E8">
        <w:rPr>
          <w:lang w:val="nl-NL"/>
        </w:rPr>
        <w:t xml:space="preserve"> 37. </w:t>
      </w:r>
    </w:p>
  </w:footnote>
  <w:footnote w:id="274">
    <w:p w14:paraId="4A219C2E"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60.</w:t>
      </w:r>
    </w:p>
  </w:footnote>
  <w:footnote w:id="275">
    <w:p w14:paraId="06716BD4"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Door den Staat Gesubsidieerde Particuliere Weesinrichtingen,</w:t>
      </w:r>
      <w:r w:rsidRPr="009847E8">
        <w:rPr>
          <w:lang w:val="nl-NL"/>
        </w:rPr>
        <w:t>”</w:t>
      </w:r>
      <w:r w:rsidRPr="009847E8">
        <w:rPr>
          <w:lang w:val="nl-NL"/>
        </w:rPr>
        <w:t xml:space="preserve"> in: </w:t>
      </w:r>
      <w:r w:rsidRPr="009847E8">
        <w:rPr>
          <w:i/>
          <w:iCs/>
          <w:lang w:val="nl-NL"/>
        </w:rPr>
        <w:t>Staatsarmenzorg voor Europeanen</w:t>
      </w:r>
      <w:r w:rsidRPr="009847E8">
        <w:rPr>
          <w:lang w:val="nl-NL"/>
        </w:rPr>
        <w:t xml:space="preserve">, 15. </w:t>
      </w:r>
    </w:p>
  </w:footnote>
  <w:footnote w:id="276">
    <w:p w14:paraId="484252B2"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62. </w:t>
      </w:r>
    </w:p>
  </w:footnote>
  <w:footnote w:id="277">
    <w:p w14:paraId="336B56B9" w14:textId="77777777" w:rsidR="009847E8" w:rsidRPr="009847E8" w:rsidRDefault="009847E8">
      <w:pPr>
        <w:pStyle w:val="FootnoteText"/>
        <w:rPr>
          <w:lang w:val="nl-NL"/>
        </w:rPr>
      </w:pPr>
      <w:r>
        <w:rPr>
          <w:rStyle w:val="FootnoteReference"/>
        </w:rPr>
        <w:footnoteRef/>
      </w:r>
      <w:r w:rsidRPr="009847E8">
        <w:rPr>
          <w:lang w:val="nl-NL"/>
        </w:rPr>
        <w:t xml:space="preserve"> </w:t>
      </w:r>
      <w:r w:rsidRPr="009847E8">
        <w:rPr>
          <w:lang w:val="nl-NL"/>
        </w:rPr>
        <w:t>“</w:t>
      </w:r>
      <w:r w:rsidRPr="009847E8">
        <w:rPr>
          <w:lang w:val="nl-NL"/>
        </w:rPr>
        <w:t>De Beginselen der Armenzorg van Staatswege,</w:t>
      </w:r>
      <w:r w:rsidRPr="009847E8">
        <w:rPr>
          <w:lang w:val="nl-NL"/>
        </w:rPr>
        <w:t>”</w:t>
      </w:r>
      <w:r w:rsidRPr="009847E8">
        <w:rPr>
          <w:lang w:val="nl-NL"/>
        </w:rPr>
        <w:t xml:space="preserve"> 63. </w:t>
      </w:r>
    </w:p>
  </w:footnote>
  <w:footnote w:id="278">
    <w:p w14:paraId="37EACBCD" w14:textId="77777777" w:rsidR="009847E8" w:rsidRPr="00171F94" w:rsidRDefault="009847E8">
      <w:pPr>
        <w:pStyle w:val="FootnoteText"/>
        <w:rPr>
          <w:lang w:val="en-US"/>
        </w:rPr>
      </w:pPr>
      <w:r>
        <w:rPr>
          <w:rStyle w:val="FootnoteReference"/>
        </w:rPr>
        <w:footnoteRef/>
      </w:r>
      <w:r w:rsidRPr="009847E8">
        <w:rPr>
          <w:lang w:val="nl-NL"/>
        </w:rPr>
        <w:t xml:space="preserve"> Advies Raad van den Nederlandsch-Indi</w:t>
      </w:r>
      <w:r w:rsidRPr="009847E8">
        <w:rPr>
          <w:lang w:val="nl-NL"/>
        </w:rPr>
        <w:t>ë</w:t>
      </w:r>
      <w:r w:rsidRPr="009847E8">
        <w:rPr>
          <w:lang w:val="nl-NL"/>
        </w:rPr>
        <w:t xml:space="preserve">, 20 December 1901, no. </w:t>
      </w:r>
      <w:r>
        <w:t xml:space="preserve">XII, concerning an application for a grant increase, as quoted in </w:t>
      </w:r>
      <w:r>
        <w:t>“</w:t>
      </w:r>
      <w:r>
        <w:t>De Beginselen der Armenzorg van Staatswege,</w:t>
      </w:r>
      <w:r>
        <w:t>”</w:t>
      </w:r>
      <w:r>
        <w:t xml:space="preserve"> </w:t>
      </w:r>
      <w:r>
        <w:rPr>
          <w:lang w:val="en-US"/>
        </w:rPr>
        <w:t xml:space="preserve">63. </w:t>
      </w:r>
    </w:p>
  </w:footnote>
  <w:footnote w:id="279">
    <w:p w14:paraId="45995416" w14:textId="77777777" w:rsidR="009847E8" w:rsidRPr="001E0274" w:rsidRDefault="009847E8">
      <w:pPr>
        <w:pStyle w:val="FootnoteText"/>
        <w:rPr>
          <w:lang w:val="en-US"/>
        </w:rPr>
      </w:pPr>
      <w:r>
        <w:rPr>
          <w:rStyle w:val="FootnoteReference"/>
        </w:rPr>
        <w:footnoteRef/>
      </w:r>
      <w:r>
        <w:t xml:space="preserve"> </w:t>
      </w:r>
      <w:r>
        <w:rPr>
          <w:lang w:val="en-US"/>
        </w:rPr>
        <w:t xml:space="preserve">Walsem, </w:t>
      </w:r>
      <w:r>
        <w:rPr>
          <w:lang w:val="en-US"/>
        </w:rPr>
        <w:t>“</w:t>
      </w:r>
      <w:r>
        <w:rPr>
          <w:lang w:val="en-US"/>
        </w:rPr>
        <w:t>Pro Juventute</w:t>
      </w:r>
      <w:r>
        <w:rPr>
          <w:lang w:val="en-US"/>
        </w:rPr>
        <w:t>”</w:t>
      </w:r>
      <w:r>
        <w:rPr>
          <w:lang w:val="en-US"/>
        </w:rPr>
        <w:t>, 19.</w:t>
      </w:r>
    </w:p>
  </w:footnote>
  <w:footnote w:id="280">
    <w:p w14:paraId="263B96F4" w14:textId="77777777" w:rsidR="009847E8" w:rsidRPr="008F4346" w:rsidRDefault="009847E8" w:rsidP="00DA33F9">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 Society Must Be Defended</w:t>
      </w:r>
      <w:r w:rsidRPr="00620FB6">
        <w:rPr>
          <w:lang w:val="en-US"/>
        </w:rPr>
        <w:t xml:space="preserve">, </w:t>
      </w:r>
      <w:r>
        <w:rPr>
          <w:lang w:val="en-US"/>
        </w:rPr>
        <w:t>39.</w:t>
      </w:r>
    </w:p>
  </w:footnote>
  <w:footnote w:id="281">
    <w:p w14:paraId="571AC2A4" w14:textId="77777777" w:rsidR="009847E8" w:rsidRPr="00160BD2" w:rsidRDefault="009847E8" w:rsidP="001E0274">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w:t>
      </w:r>
      <w:r>
        <w:rPr>
          <w:i/>
          <w:iCs/>
          <w:lang w:val="en-US"/>
        </w:rPr>
        <w:t xml:space="preserve"> History of Sexuality, </w:t>
      </w:r>
      <w:r>
        <w:rPr>
          <w:lang w:val="en-US"/>
        </w:rPr>
        <w:t xml:space="preserve">95. </w:t>
      </w:r>
    </w:p>
  </w:footnote>
  <w:footnote w:id="282">
    <w:p w14:paraId="38A9E9AA" w14:textId="77777777" w:rsidR="009847E8" w:rsidRPr="00160BD2" w:rsidRDefault="009847E8" w:rsidP="001E0274">
      <w:pPr>
        <w:pStyle w:val="FootnoteText"/>
        <w:rPr>
          <w:lang w:val="en-US"/>
        </w:rPr>
      </w:pPr>
      <w:r>
        <w:rPr>
          <w:rStyle w:val="FootnoteReference"/>
        </w:rPr>
        <w:footnoteRef/>
      </w:r>
      <w:r w:rsidRPr="002F66D9">
        <w:rPr>
          <w:lang w:val="en-US"/>
        </w:rPr>
        <w:t xml:space="preserve"> </w:t>
      </w:r>
      <w:r w:rsidRPr="00620FB6">
        <w:rPr>
          <w:lang w:val="en-US"/>
        </w:rPr>
        <w:t>Foucault</w:t>
      </w:r>
      <w:r w:rsidRPr="00620FB6">
        <w:rPr>
          <w:i/>
          <w:iCs/>
          <w:lang w:val="en-US"/>
        </w:rPr>
        <w:t>,</w:t>
      </w:r>
      <w:r>
        <w:rPr>
          <w:i/>
          <w:iCs/>
          <w:lang w:val="en-US"/>
        </w:rPr>
        <w:t xml:space="preserve"> History of Sexuality, </w:t>
      </w:r>
      <w:r>
        <w:rPr>
          <w:lang w:val="en-US"/>
        </w:rPr>
        <w:t>95.</w:t>
      </w:r>
    </w:p>
  </w:footnote>
  <w:footnote w:id="283">
    <w:p w14:paraId="697601A9" w14:textId="77777777" w:rsidR="009847E8" w:rsidRPr="002F66D9" w:rsidRDefault="009847E8" w:rsidP="001E0274">
      <w:pPr>
        <w:pStyle w:val="FootnoteText"/>
        <w:rPr>
          <w:lang w:val="en-US"/>
        </w:rPr>
      </w:pPr>
      <w:r>
        <w:rPr>
          <w:rStyle w:val="FootnoteReference"/>
        </w:rPr>
        <w:footnoteRef/>
      </w:r>
      <w:r w:rsidRPr="002F66D9">
        <w:rPr>
          <w:lang w:val="en-US"/>
        </w:rPr>
        <w:t xml:space="preserve"> Michel Foucault, </w:t>
      </w:r>
      <w:r w:rsidRPr="002F66D9">
        <w:rPr>
          <w:i/>
          <w:iCs/>
          <w:lang w:val="en-US"/>
        </w:rPr>
        <w:t xml:space="preserve">Politics, Philosophy, Culture, 122. </w:t>
      </w:r>
    </w:p>
  </w:footnote>
  <w:footnote w:id="284">
    <w:p w14:paraId="6F2AA79A" w14:textId="77777777" w:rsidR="009847E8" w:rsidRPr="003251F0" w:rsidRDefault="009847E8" w:rsidP="001E0274">
      <w:pPr>
        <w:pStyle w:val="FootnoteText"/>
        <w:rPr>
          <w:lang w:val="en-US"/>
        </w:rPr>
      </w:pPr>
      <w:r>
        <w:rPr>
          <w:rStyle w:val="FootnoteReference"/>
        </w:rPr>
        <w:footnoteRef/>
      </w:r>
      <w:r>
        <w:t xml:space="preserve"> </w:t>
      </w:r>
      <w:r>
        <w:rPr>
          <w:lang w:val="en-US"/>
        </w:rPr>
        <w:t xml:space="preserve">Nancy Jouwe, </w:t>
      </w:r>
      <w:r>
        <w:rPr>
          <w:lang w:val="en-US"/>
        </w:rPr>
        <w:t>“</w:t>
      </w:r>
      <w:r>
        <w:rPr>
          <w:lang w:val="en-US"/>
        </w:rPr>
        <w:t>Slavery, the Concubine, and the Nyai,</w:t>
      </w:r>
      <w:r>
        <w:rPr>
          <w:lang w:val="en-US"/>
        </w:rPr>
        <w:t>”</w:t>
      </w:r>
      <w:r>
        <w:rPr>
          <w:lang w:val="en-US"/>
        </w:rPr>
        <w:t xml:space="preserve"> 227. </w:t>
      </w:r>
    </w:p>
  </w:footnote>
  <w:footnote w:id="285">
    <w:p w14:paraId="526CBEC6" w14:textId="77777777" w:rsidR="009847E8" w:rsidRPr="009847E8" w:rsidRDefault="009847E8" w:rsidP="00193C3D">
      <w:pPr>
        <w:pStyle w:val="FootnoteText"/>
        <w:rPr>
          <w:rFonts w:cs="Calibri"/>
          <w:lang w:val="nl-NL"/>
        </w:rPr>
      </w:pPr>
      <w:r w:rsidRPr="003142D2">
        <w:rPr>
          <w:rStyle w:val="FootnoteReference"/>
          <w:rFonts w:cs="Calibri"/>
        </w:rPr>
        <w:footnoteRef/>
      </w:r>
      <w:r w:rsidRPr="003142D2">
        <w:rPr>
          <w:rFonts w:cs="Calibri"/>
        </w:rPr>
        <w:t xml:space="preserve"> See, for instance the stories about njai</w:t>
      </w:r>
      <w:r>
        <w:rPr>
          <w:rFonts w:cs="Calibri"/>
        </w:rPr>
        <w:t>’</w:t>
      </w:r>
      <w:r>
        <w:rPr>
          <w:rFonts w:cs="Calibri"/>
        </w:rPr>
        <w:t xml:space="preserve">s </w:t>
      </w:r>
      <w:r w:rsidRPr="003142D2">
        <w:rPr>
          <w:rFonts w:cs="Calibri"/>
        </w:rPr>
        <w:t xml:space="preserve">included in Baay, </w:t>
      </w:r>
      <w:r w:rsidRPr="003142D2">
        <w:rPr>
          <w:rFonts w:cs="Calibri"/>
          <w:i/>
          <w:iCs/>
        </w:rPr>
        <w:t>De Njai</w:t>
      </w:r>
      <w:r w:rsidRPr="003142D2">
        <w:rPr>
          <w:rFonts w:cs="Calibri"/>
        </w:rPr>
        <w:t>; Suze Zijlstra,</w:t>
      </w:r>
      <w:r w:rsidRPr="003142D2">
        <w:rPr>
          <w:rFonts w:cs="Calibri"/>
          <w:i/>
          <w:iCs/>
        </w:rPr>
        <w:t xml:space="preserve"> De Voormoeders</w:t>
      </w:r>
      <w:r>
        <w:rPr>
          <w:rFonts w:cs="Calibri"/>
          <w:i/>
          <w:iCs/>
        </w:rPr>
        <w:t xml:space="preserve"> </w:t>
      </w:r>
      <w:r>
        <w:rPr>
          <w:rFonts w:cs="Calibri"/>
        </w:rPr>
        <w:t>(Ambo|Anthos, 2021).</w:t>
      </w:r>
      <w:r w:rsidRPr="003142D2">
        <w:rPr>
          <w:rFonts w:cs="Calibri"/>
        </w:rPr>
        <w:t xml:space="preserve"> </w:t>
      </w:r>
      <w:r w:rsidRPr="003142D2">
        <w:rPr>
          <w:rFonts w:cs="Calibri"/>
          <w:lang w:val="en-US"/>
        </w:rPr>
        <w:t>Another example of historical storytelling</w:t>
      </w:r>
      <w:r w:rsidRPr="003142D2">
        <w:rPr>
          <w:rFonts w:cs="Calibri"/>
        </w:rPr>
        <w:t xml:space="preserve"> are the novels of Lin Scholte (1921-1997), </w:t>
      </w:r>
      <w:r w:rsidRPr="003142D2">
        <w:rPr>
          <w:rFonts w:cs="Calibri"/>
          <w:lang w:val="en-US"/>
        </w:rPr>
        <w:t xml:space="preserve">an Indo-European woman who was born into the </w:t>
      </w:r>
      <w:r w:rsidRPr="003142D2">
        <w:rPr>
          <w:rFonts w:cs="Calibri"/>
          <w:i/>
          <w:iCs/>
          <w:lang w:val="en-US"/>
        </w:rPr>
        <w:t>tangsi</w:t>
      </w:r>
      <w:r w:rsidRPr="003142D2">
        <w:rPr>
          <w:rFonts w:cs="Calibri"/>
          <w:lang w:val="en-US"/>
        </w:rPr>
        <w:t xml:space="preserve"> </w:t>
      </w:r>
      <w:r>
        <w:rPr>
          <w:rFonts w:cs="Calibri"/>
          <w:lang w:val="en-US"/>
        </w:rPr>
        <w:t xml:space="preserve">and </w:t>
      </w:r>
      <w:r w:rsidRPr="003142D2">
        <w:rPr>
          <w:rFonts w:cs="Calibri"/>
          <w:lang w:val="en-US"/>
        </w:rPr>
        <w:t>wrote extensively about her life in Indonesia, and the stories of strong Indonesian women in her family tree which were passed on to her.</w:t>
      </w:r>
      <w:r w:rsidRPr="003142D2">
        <w:rPr>
          <w:rFonts w:cs="Calibri"/>
        </w:rPr>
        <w:t xml:space="preserve"> </w:t>
      </w:r>
      <w:r w:rsidRPr="009847E8">
        <w:rPr>
          <w:rFonts w:cs="Calibri"/>
          <w:lang w:val="nl-NL"/>
        </w:rPr>
        <w:t xml:space="preserve">See: Van de Loo, </w:t>
      </w:r>
      <w:r w:rsidRPr="009847E8">
        <w:rPr>
          <w:rFonts w:cs="Calibri"/>
          <w:i/>
          <w:iCs/>
          <w:lang w:val="nl-NL"/>
        </w:rPr>
        <w:t>Verzamelde romans en verhalen van Lin Scholte</w:t>
      </w:r>
      <w:r w:rsidRPr="009847E8">
        <w:rPr>
          <w:rFonts w:cs="Calibri"/>
          <w:lang w:val="nl-NL"/>
        </w:rPr>
        <w:t xml:space="preserve">. </w:t>
      </w:r>
    </w:p>
  </w:footnote>
  <w:footnote w:id="286">
    <w:p w14:paraId="30DF8746" w14:textId="77777777" w:rsidR="009847E8" w:rsidRPr="009847E8" w:rsidRDefault="009847E8" w:rsidP="00193C3D">
      <w:pPr>
        <w:pStyle w:val="FootnoteText"/>
        <w:rPr>
          <w:rFonts w:cs="Calibri"/>
          <w:lang w:val="nl-NL"/>
        </w:rPr>
      </w:pPr>
      <w:r w:rsidRPr="003142D2">
        <w:rPr>
          <w:rStyle w:val="FootnoteReference"/>
          <w:rFonts w:cs="Calibri"/>
        </w:rPr>
        <w:footnoteRef/>
      </w:r>
      <w:r w:rsidRPr="009847E8">
        <w:rPr>
          <w:rFonts w:cs="Calibri"/>
          <w:lang w:val="nl-NL"/>
        </w:rPr>
        <w:t xml:space="preserve"> Zijlstra, </w:t>
      </w:r>
      <w:r w:rsidRPr="009847E8">
        <w:rPr>
          <w:rFonts w:cs="Calibri"/>
          <w:i/>
          <w:iCs/>
          <w:lang w:val="nl-NL"/>
        </w:rPr>
        <w:t>De Voormoeders</w:t>
      </w:r>
      <w:r w:rsidRPr="009847E8">
        <w:rPr>
          <w:rFonts w:cs="Calibri"/>
          <w:lang w:val="nl-NL"/>
        </w:rPr>
        <w:t>, 19.</w:t>
      </w:r>
    </w:p>
  </w:footnote>
  <w:footnote w:id="287">
    <w:p w14:paraId="0A555E00" w14:textId="77777777" w:rsidR="009847E8" w:rsidRPr="009847E8" w:rsidRDefault="009847E8" w:rsidP="00193C3D">
      <w:pPr>
        <w:pStyle w:val="FootnoteText"/>
        <w:rPr>
          <w:lang w:val="nl-NL"/>
        </w:rPr>
      </w:pPr>
      <w:r w:rsidRPr="003142D2">
        <w:rPr>
          <w:rStyle w:val="FootnoteReference"/>
          <w:rFonts w:cs="Calibri"/>
        </w:rPr>
        <w:footnoteRef/>
      </w:r>
      <w:r w:rsidRPr="009847E8">
        <w:rPr>
          <w:rFonts w:cs="Calibri"/>
          <w:lang w:val="nl-NL"/>
        </w:rPr>
        <w:t xml:space="preserve"> Zijlstra, </w:t>
      </w:r>
      <w:r w:rsidRPr="009847E8">
        <w:rPr>
          <w:rFonts w:cs="Calibri"/>
          <w:i/>
          <w:iCs/>
          <w:lang w:val="nl-NL"/>
        </w:rPr>
        <w:t>De Voormoeders</w:t>
      </w:r>
      <w:r w:rsidRPr="009847E8">
        <w:rPr>
          <w:rFonts w:cs="Calibri"/>
          <w:lang w:val="nl-NL"/>
        </w:rPr>
        <w:t>, 19.</w:t>
      </w:r>
      <w:r w:rsidRPr="009847E8">
        <w:rPr>
          <w:lang w:val="nl-NL"/>
        </w:rPr>
        <w:t xml:space="preserve"> </w:t>
      </w:r>
    </w:p>
  </w:footnote>
  <w:footnote w:id="288">
    <w:p w14:paraId="0803EA1D" w14:textId="77777777" w:rsidR="009847E8" w:rsidRPr="003142D2" w:rsidRDefault="009847E8" w:rsidP="00193C3D">
      <w:pPr>
        <w:pStyle w:val="FootnoteText"/>
        <w:rPr>
          <w:lang w:val="en-US"/>
        </w:rPr>
      </w:pPr>
      <w:r w:rsidRPr="003142D2">
        <w:rPr>
          <w:rStyle w:val="FootnoteReference"/>
        </w:rPr>
        <w:footnoteRef/>
      </w:r>
      <w:r w:rsidRPr="003142D2">
        <w:t xml:space="preserve"> </w:t>
      </w:r>
      <w:r w:rsidRPr="003142D2">
        <w:rPr>
          <w:lang w:val="en-US"/>
        </w:rPr>
        <w:t xml:space="preserve">Hartman, </w:t>
      </w:r>
      <w:r>
        <w:rPr>
          <w:lang w:val="en-US"/>
        </w:rPr>
        <w:t>“</w:t>
      </w:r>
      <w:r w:rsidRPr="003142D2">
        <w:rPr>
          <w:lang w:val="en-US"/>
        </w:rPr>
        <w:t>Venus in Two Acts</w:t>
      </w:r>
      <w:r>
        <w:rPr>
          <w:lang w:val="en-US"/>
        </w:rPr>
        <w:t>,</w:t>
      </w:r>
      <w:r>
        <w:rPr>
          <w:lang w:val="en-US"/>
        </w:rPr>
        <w:t>”</w:t>
      </w:r>
      <w:r>
        <w:rPr>
          <w:lang w:val="en-US"/>
        </w:rPr>
        <w:t xml:space="preserve"> </w:t>
      </w:r>
      <w:r w:rsidRPr="003142D2">
        <w:rPr>
          <w:lang w:val="en-US"/>
        </w:rPr>
        <w:t>11.</w:t>
      </w:r>
    </w:p>
  </w:footnote>
  <w:footnote w:id="289">
    <w:p w14:paraId="19391249" w14:textId="77777777" w:rsidR="009847E8" w:rsidRPr="002A2ACF" w:rsidRDefault="009847E8" w:rsidP="00706C5E">
      <w:pPr>
        <w:pStyle w:val="FootnoteText"/>
        <w:rPr>
          <w:rFonts w:cs="Calibri"/>
        </w:rPr>
      </w:pPr>
      <w:r w:rsidRPr="0057274E">
        <w:rPr>
          <w:rStyle w:val="FootnoteReference"/>
          <w:lang w:val="en-US"/>
        </w:rPr>
        <w:footnoteRef/>
      </w:r>
      <w:r w:rsidRPr="0057274E">
        <w:rPr>
          <w:lang w:val="en-US"/>
        </w:rPr>
        <w:t xml:space="preserve"> </w:t>
      </w:r>
      <w:r w:rsidRPr="0057274E">
        <w:rPr>
          <w:rFonts w:cs="Calibri"/>
          <w:lang w:val="en-US"/>
        </w:rPr>
        <w:t xml:space="preserve">Stoler, </w:t>
      </w:r>
      <w:r w:rsidRPr="0057274E">
        <w:rPr>
          <w:rFonts w:cs="Calibri"/>
          <w:i/>
          <w:iCs/>
          <w:lang w:val="en-US"/>
        </w:rPr>
        <w:t>Race and the Education of Desire</w:t>
      </w:r>
      <w:r w:rsidRPr="0057274E">
        <w:rPr>
          <w:rFonts w:cs="Calibri"/>
          <w:lang w:val="en-US"/>
        </w:rPr>
        <w:t>, 62.</w:t>
      </w:r>
      <w:r>
        <w:rPr>
          <w:rFonts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346CD"/>
    <w:multiLevelType w:val="hybridMultilevel"/>
    <w:tmpl w:val="E7BA7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D11313"/>
    <w:multiLevelType w:val="multilevel"/>
    <w:tmpl w:val="514060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077659"/>
    <w:multiLevelType w:val="hybridMultilevel"/>
    <w:tmpl w:val="24D2D39A"/>
    <w:lvl w:ilvl="0" w:tplc="63AADA0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4EC8FC">
      <w:start w:val="1"/>
      <w:numFmt w:val="bullet"/>
      <w:lvlText w:val="o"/>
      <w:lvlJc w:val="left"/>
      <w:pPr>
        <w:ind w:left="1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868856">
      <w:start w:val="1"/>
      <w:numFmt w:val="bullet"/>
      <w:lvlText w:val="▪"/>
      <w:lvlJc w:val="left"/>
      <w:pPr>
        <w:ind w:left="1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08FAB2">
      <w:start w:val="1"/>
      <w:numFmt w:val="bullet"/>
      <w:lvlText w:val="•"/>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D4A162">
      <w:start w:val="1"/>
      <w:numFmt w:val="bullet"/>
      <w:lvlText w:val="o"/>
      <w:lvlJc w:val="left"/>
      <w:pPr>
        <w:ind w:left="3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8EF2A6">
      <w:start w:val="1"/>
      <w:numFmt w:val="bullet"/>
      <w:lvlText w:val="▪"/>
      <w:lvlJc w:val="left"/>
      <w:pPr>
        <w:ind w:left="3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485CCE">
      <w:start w:val="1"/>
      <w:numFmt w:val="bullet"/>
      <w:lvlText w:val="•"/>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F49C84">
      <w:start w:val="1"/>
      <w:numFmt w:val="bullet"/>
      <w:lvlText w:val="o"/>
      <w:lvlJc w:val="left"/>
      <w:pPr>
        <w:ind w:left="5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726124">
      <w:start w:val="1"/>
      <w:numFmt w:val="bullet"/>
      <w:lvlText w:val="▪"/>
      <w:lvlJc w:val="left"/>
      <w:pPr>
        <w:ind w:left="6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8C745E5"/>
    <w:multiLevelType w:val="hybridMultilevel"/>
    <w:tmpl w:val="88EAEC9E"/>
    <w:lvl w:ilvl="0" w:tplc="195AE374">
      <w:start w:val="1"/>
      <w:numFmt w:val="decimal"/>
      <w:pStyle w:val="TOC1"/>
      <w:lvlText w:val="%1."/>
      <w:lvlJc w:val="left"/>
      <w:pPr>
        <w:ind w:left="720" w:hanging="360"/>
      </w:pPr>
      <w:rPr>
        <w:rFonts w:ascii="Palatino Linotype" w:eastAsia="Palatino Linotype" w:hAnsi="Palatino Linotype" w:cs="Times New Roman"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60AE5194"/>
    <w:multiLevelType w:val="multilevel"/>
    <w:tmpl w:val="4E849C2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1C34002"/>
    <w:multiLevelType w:val="multilevel"/>
    <w:tmpl w:val="5B206412"/>
    <w:styleLink w:val="CurrentList1"/>
    <w:lvl w:ilvl="0">
      <w:start w:val="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1604918602">
    <w:abstractNumId w:val="5"/>
  </w:num>
  <w:num w:numId="2" w16cid:durableId="1566335121">
    <w:abstractNumId w:val="3"/>
  </w:num>
  <w:num w:numId="3" w16cid:durableId="120198566">
    <w:abstractNumId w:val="2"/>
  </w:num>
  <w:num w:numId="4" w16cid:durableId="1926184265">
    <w:abstractNumId w:val="4"/>
  </w:num>
  <w:num w:numId="5" w16cid:durableId="264073867">
    <w:abstractNumId w:val="1"/>
  </w:num>
  <w:num w:numId="6" w16cid:durableId="1727102003">
    <w:abstractNumId w:val="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BB0"/>
    <w:rsid w:val="000D6527"/>
    <w:rsid w:val="00287DD0"/>
    <w:rsid w:val="00365EA9"/>
    <w:rsid w:val="003A013D"/>
    <w:rsid w:val="00402996"/>
    <w:rsid w:val="007E2F4E"/>
    <w:rsid w:val="008E6225"/>
    <w:rsid w:val="00906BB0"/>
    <w:rsid w:val="009847E8"/>
    <w:rsid w:val="00C27EF8"/>
    <w:rsid w:val="00DA09A2"/>
    <w:rsid w:val="00E92A51"/>
    <w:rsid w:val="00F2319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9591"/>
  <w15:chartTrackingRefBased/>
  <w15:docId w15:val="{BAA3A2E0-19B3-8D4C-9AC7-91F2A0B6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6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6B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06B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06B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06B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06B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06B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06B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B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6B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6B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06B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B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B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B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B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BB0"/>
    <w:rPr>
      <w:rFonts w:eastAsiaTheme="majorEastAsia" w:cstheme="majorBidi"/>
      <w:color w:val="272727" w:themeColor="text1" w:themeTint="D8"/>
    </w:rPr>
  </w:style>
  <w:style w:type="paragraph" w:styleId="Title">
    <w:name w:val="Title"/>
    <w:basedOn w:val="Normal"/>
    <w:next w:val="Normal"/>
    <w:link w:val="TitleChar"/>
    <w:uiPriority w:val="10"/>
    <w:qFormat/>
    <w:rsid w:val="00906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B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B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B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BB0"/>
    <w:pPr>
      <w:spacing w:before="160"/>
      <w:jc w:val="center"/>
    </w:pPr>
    <w:rPr>
      <w:i/>
      <w:iCs/>
      <w:color w:val="404040" w:themeColor="text1" w:themeTint="BF"/>
    </w:rPr>
  </w:style>
  <w:style w:type="character" w:customStyle="1" w:styleId="QuoteChar">
    <w:name w:val="Quote Char"/>
    <w:basedOn w:val="DefaultParagraphFont"/>
    <w:link w:val="Quote"/>
    <w:uiPriority w:val="29"/>
    <w:rsid w:val="00906BB0"/>
    <w:rPr>
      <w:i/>
      <w:iCs/>
      <w:color w:val="404040" w:themeColor="text1" w:themeTint="BF"/>
    </w:rPr>
  </w:style>
  <w:style w:type="paragraph" w:styleId="ListParagraph">
    <w:name w:val="List Paragraph"/>
    <w:basedOn w:val="Normal"/>
    <w:uiPriority w:val="34"/>
    <w:qFormat/>
    <w:rsid w:val="00906BB0"/>
    <w:pPr>
      <w:ind w:left="720"/>
      <w:contextualSpacing/>
    </w:pPr>
  </w:style>
  <w:style w:type="character" w:styleId="IntenseEmphasis">
    <w:name w:val="Intense Emphasis"/>
    <w:basedOn w:val="DefaultParagraphFont"/>
    <w:uiPriority w:val="21"/>
    <w:qFormat/>
    <w:rsid w:val="00906BB0"/>
    <w:rPr>
      <w:i/>
      <w:iCs/>
      <w:color w:val="0F4761" w:themeColor="accent1" w:themeShade="BF"/>
    </w:rPr>
  </w:style>
  <w:style w:type="paragraph" w:styleId="IntenseQuote">
    <w:name w:val="Intense Quote"/>
    <w:basedOn w:val="Normal"/>
    <w:next w:val="Normal"/>
    <w:link w:val="IntenseQuoteChar"/>
    <w:uiPriority w:val="30"/>
    <w:qFormat/>
    <w:rsid w:val="00906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BB0"/>
    <w:rPr>
      <w:i/>
      <w:iCs/>
      <w:color w:val="0F4761" w:themeColor="accent1" w:themeShade="BF"/>
    </w:rPr>
  </w:style>
  <w:style w:type="character" w:styleId="IntenseReference">
    <w:name w:val="Intense Reference"/>
    <w:basedOn w:val="DefaultParagraphFont"/>
    <w:uiPriority w:val="32"/>
    <w:qFormat/>
    <w:rsid w:val="00906BB0"/>
    <w:rPr>
      <w:b/>
      <w:bCs/>
      <w:smallCaps/>
      <w:color w:val="0F4761" w:themeColor="accent1" w:themeShade="BF"/>
      <w:spacing w:val="5"/>
    </w:rPr>
  </w:style>
  <w:style w:type="paragraph" w:styleId="Caption">
    <w:name w:val="caption"/>
    <w:aliases w:val="Table title"/>
    <w:basedOn w:val="Normal"/>
    <w:next w:val="Normal"/>
    <w:uiPriority w:val="35"/>
    <w:qFormat/>
    <w:rsid w:val="00906BB0"/>
    <w:pPr>
      <w:spacing w:after="0" w:line="240" w:lineRule="auto"/>
    </w:pPr>
    <w:rPr>
      <w:rFonts w:ascii="Palatino Linotype" w:eastAsia="Palatino Linotype" w:hAnsi="Palatino Linotype" w:cs="Times New Roman"/>
      <w:b/>
      <w:bCs/>
      <w:color w:val="4F81BD"/>
      <w:kern w:val="0"/>
      <w:sz w:val="18"/>
      <w:szCs w:val="18"/>
      <w:lang w:val="en-GB" w:eastAsia="nl-NL"/>
      <w14:ligatures w14:val="none"/>
    </w:rPr>
  </w:style>
  <w:style w:type="character" w:styleId="Strong">
    <w:name w:val="Strong"/>
    <w:uiPriority w:val="22"/>
    <w:qFormat/>
    <w:rsid w:val="00906BB0"/>
    <w:rPr>
      <w:b/>
      <w:bCs/>
    </w:rPr>
  </w:style>
  <w:style w:type="character" w:styleId="Emphasis">
    <w:name w:val="Emphasis"/>
    <w:uiPriority w:val="20"/>
    <w:qFormat/>
    <w:rsid w:val="00906BB0"/>
    <w:rPr>
      <w:i/>
      <w:iCs/>
    </w:rPr>
  </w:style>
  <w:style w:type="paragraph" w:customStyle="1" w:styleId="MediumShading1-Accent11">
    <w:name w:val="Medium Shading 1 - Accent 11"/>
    <w:uiPriority w:val="1"/>
    <w:qFormat/>
    <w:rsid w:val="00906BB0"/>
    <w:pPr>
      <w:spacing w:after="0" w:line="240" w:lineRule="auto"/>
    </w:pPr>
    <w:rPr>
      <w:rFonts w:ascii="Palatino Linotype" w:eastAsia="Times New Roman" w:hAnsi="Times New Roman" w:cs="Times New Roman"/>
      <w:kern w:val="0"/>
      <w:sz w:val="22"/>
      <w:szCs w:val="22"/>
      <w:lang w:val="en-GB" w:eastAsia="en-GB"/>
      <w14:ligatures w14:val="none"/>
    </w:rPr>
  </w:style>
  <w:style w:type="paragraph" w:customStyle="1" w:styleId="MediumGrid1-Accent21">
    <w:name w:val="Medium Grid 1 - Accent 21"/>
    <w:basedOn w:val="Normal"/>
    <w:uiPriority w:val="34"/>
    <w:qFormat/>
    <w:rsid w:val="00906BB0"/>
    <w:pPr>
      <w:spacing w:after="0" w:line="240" w:lineRule="auto"/>
      <w:ind w:left="720"/>
      <w:contextualSpacing/>
    </w:pPr>
    <w:rPr>
      <w:rFonts w:ascii="Palatino Linotype" w:eastAsia="Palatino Linotype" w:hAnsi="Palatino Linotype" w:cs="Times New Roman"/>
      <w:kern w:val="0"/>
      <w:sz w:val="22"/>
      <w:szCs w:val="22"/>
      <w:lang w:val="en-GB" w:eastAsia="nl-NL"/>
      <w14:ligatures w14:val="none"/>
    </w:rPr>
  </w:style>
  <w:style w:type="paragraph" w:customStyle="1" w:styleId="MediumGrid2-Accent21">
    <w:name w:val="Medium Grid 2 - Accent 21"/>
    <w:basedOn w:val="Normal"/>
    <w:next w:val="Normal"/>
    <w:link w:val="MediumGrid2-Accent2Char"/>
    <w:uiPriority w:val="29"/>
    <w:qFormat/>
    <w:rsid w:val="00906BB0"/>
    <w:pPr>
      <w:spacing w:after="0" w:line="240" w:lineRule="auto"/>
    </w:pPr>
    <w:rPr>
      <w:rFonts w:ascii="Palatino Linotype" w:eastAsia="Palatino Linotype" w:hAnsi="Palatino Linotype" w:cs="Times New Roman"/>
      <w:i/>
      <w:iCs/>
      <w:color w:val="000000"/>
      <w:kern w:val="0"/>
      <w:sz w:val="22"/>
      <w:szCs w:val="22"/>
      <w:lang w:val="en-GB" w:eastAsia="nl-NL"/>
      <w14:ligatures w14:val="none"/>
    </w:rPr>
  </w:style>
  <w:style w:type="character" w:customStyle="1" w:styleId="MediumGrid2-Accent2Char">
    <w:name w:val="Medium Grid 2 - Accent 2 Char"/>
    <w:link w:val="MediumGrid2-Accent21"/>
    <w:uiPriority w:val="29"/>
    <w:rsid w:val="00906BB0"/>
    <w:rPr>
      <w:rFonts w:ascii="Palatino Linotype" w:eastAsia="Palatino Linotype" w:hAnsi="Palatino Linotype" w:cs="Times New Roman"/>
      <w:i/>
      <w:iCs/>
      <w:color w:val="000000"/>
      <w:kern w:val="0"/>
      <w:sz w:val="22"/>
      <w:szCs w:val="22"/>
      <w:lang w:val="en-GB" w:eastAsia="nl-NL"/>
      <w14:ligatures w14:val="none"/>
    </w:rPr>
  </w:style>
  <w:style w:type="paragraph" w:customStyle="1" w:styleId="MediumGrid3-Accent21">
    <w:name w:val="Medium Grid 3 - Accent 21"/>
    <w:basedOn w:val="Normal"/>
    <w:next w:val="Normal"/>
    <w:link w:val="MediumGrid3-Accent2Char"/>
    <w:uiPriority w:val="30"/>
    <w:qFormat/>
    <w:rsid w:val="00906BB0"/>
    <w:pPr>
      <w:pBdr>
        <w:bottom w:val="single" w:sz="4" w:space="4" w:color="4F81BD"/>
      </w:pBdr>
      <w:spacing w:before="200" w:after="280" w:line="240" w:lineRule="auto"/>
      <w:ind w:left="936" w:right="936"/>
    </w:pPr>
    <w:rPr>
      <w:rFonts w:ascii="Palatino Linotype" w:eastAsia="Palatino Linotype" w:hAnsi="Palatino Linotype" w:cs="Times New Roman"/>
      <w:b/>
      <w:bCs/>
      <w:i/>
      <w:iCs/>
      <w:color w:val="4F81BD"/>
      <w:kern w:val="0"/>
      <w:sz w:val="22"/>
      <w:szCs w:val="22"/>
      <w:lang w:val="en-GB" w:eastAsia="nl-NL"/>
      <w14:ligatures w14:val="none"/>
    </w:rPr>
  </w:style>
  <w:style w:type="character" w:customStyle="1" w:styleId="MediumGrid3-Accent2Char">
    <w:name w:val="Medium Grid 3 - Accent 2 Char"/>
    <w:link w:val="MediumGrid3-Accent21"/>
    <w:uiPriority w:val="30"/>
    <w:rsid w:val="00906BB0"/>
    <w:rPr>
      <w:rFonts w:ascii="Palatino Linotype" w:eastAsia="Palatino Linotype" w:hAnsi="Palatino Linotype" w:cs="Times New Roman"/>
      <w:b/>
      <w:bCs/>
      <w:i/>
      <w:iCs/>
      <w:color w:val="4F81BD"/>
      <w:kern w:val="0"/>
      <w:sz w:val="22"/>
      <w:szCs w:val="22"/>
      <w:lang w:val="en-GB" w:eastAsia="nl-NL"/>
      <w14:ligatures w14:val="none"/>
    </w:rPr>
  </w:style>
  <w:style w:type="character" w:customStyle="1" w:styleId="PlainTable31">
    <w:name w:val="Plain Table 31"/>
    <w:uiPriority w:val="19"/>
    <w:qFormat/>
    <w:rsid w:val="00906BB0"/>
    <w:rPr>
      <w:i/>
      <w:iCs/>
      <w:color w:val="808080"/>
    </w:rPr>
  </w:style>
  <w:style w:type="character" w:customStyle="1" w:styleId="PlainTable41">
    <w:name w:val="Plain Table 41"/>
    <w:uiPriority w:val="21"/>
    <w:qFormat/>
    <w:rsid w:val="00906BB0"/>
    <w:rPr>
      <w:b/>
      <w:bCs/>
      <w:i/>
      <w:iCs/>
      <w:color w:val="4F81BD"/>
    </w:rPr>
  </w:style>
  <w:style w:type="character" w:customStyle="1" w:styleId="PlainTable51">
    <w:name w:val="Plain Table 51"/>
    <w:uiPriority w:val="31"/>
    <w:qFormat/>
    <w:rsid w:val="00906BB0"/>
    <w:rPr>
      <w:smallCaps/>
      <w:color w:val="C0504D"/>
      <w:u w:val="single"/>
    </w:rPr>
  </w:style>
  <w:style w:type="character" w:customStyle="1" w:styleId="TableGridLight1">
    <w:name w:val="Table Grid Light1"/>
    <w:uiPriority w:val="32"/>
    <w:qFormat/>
    <w:rsid w:val="00906BB0"/>
    <w:rPr>
      <w:b/>
      <w:bCs/>
      <w:smallCaps/>
      <w:color w:val="C0504D"/>
      <w:spacing w:val="5"/>
      <w:u w:val="single"/>
    </w:rPr>
  </w:style>
  <w:style w:type="character" w:customStyle="1" w:styleId="GridTable1Light1">
    <w:name w:val="Grid Table 1 Light1"/>
    <w:uiPriority w:val="33"/>
    <w:qFormat/>
    <w:rsid w:val="00906BB0"/>
    <w:rPr>
      <w:b/>
      <w:bCs/>
      <w:smallCaps/>
      <w:spacing w:val="5"/>
    </w:rPr>
  </w:style>
  <w:style w:type="paragraph" w:customStyle="1" w:styleId="GridTable31">
    <w:name w:val="Grid Table 31"/>
    <w:basedOn w:val="Heading1"/>
    <w:next w:val="Normal"/>
    <w:uiPriority w:val="39"/>
    <w:semiHidden/>
    <w:unhideWhenUsed/>
    <w:qFormat/>
    <w:rsid w:val="00906BB0"/>
    <w:pPr>
      <w:spacing w:before="480" w:after="0" w:line="240" w:lineRule="auto"/>
      <w:outlineLvl w:val="9"/>
    </w:pPr>
    <w:rPr>
      <w:rFonts w:ascii="Calibri Light" w:eastAsia="Palatino Linotype" w:hAnsi="Calibri Light" w:cs="Times New Roman"/>
      <w:b/>
      <w:bCs/>
      <w:color w:val="365F91"/>
      <w:kern w:val="0"/>
      <w:sz w:val="28"/>
      <w:szCs w:val="28"/>
      <w:lang w:val="en-GB" w:eastAsia="nl-NL"/>
      <w14:ligatures w14:val="none"/>
    </w:r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A Fu?notentext,Footnote Text Char Char,ft"/>
    <w:basedOn w:val="Normal"/>
    <w:link w:val="FootnoteTextChar"/>
    <w:uiPriority w:val="99"/>
    <w:unhideWhenUsed/>
    <w:qFormat/>
    <w:rsid w:val="00906BB0"/>
    <w:pPr>
      <w:spacing w:after="0" w:line="240" w:lineRule="auto"/>
    </w:pPr>
    <w:rPr>
      <w:rFonts w:ascii="Palatino Linotype" w:eastAsia="Times New Roman" w:hAnsi="Times New Roman" w:cs="Times New Roman"/>
      <w:kern w:val="0"/>
      <w:sz w:val="20"/>
      <w:szCs w:val="20"/>
      <w:lang w:val="en-GB" w:eastAsia="en-GB"/>
      <w14:ligatures w14:val="none"/>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ft Char"/>
    <w:basedOn w:val="DefaultParagraphFont"/>
    <w:link w:val="FootnoteText"/>
    <w:uiPriority w:val="99"/>
    <w:rsid w:val="00906BB0"/>
    <w:rPr>
      <w:rFonts w:ascii="Palatino Linotype" w:eastAsia="Times New Roman" w:hAnsi="Times New Roman" w:cs="Times New Roman"/>
      <w:kern w:val="0"/>
      <w:sz w:val="20"/>
      <w:szCs w:val="20"/>
      <w:lang w:val="en-GB" w:eastAsia="en-GB"/>
      <w14:ligatures w14:val="none"/>
    </w:rPr>
  </w:style>
  <w:style w:type="character" w:styleId="FootnoteReference">
    <w:name w:val="footnote reference"/>
    <w:aliases w:val="Footnotes refss,Texto de nota al pie,Appel note de bas de page,f,ftref Char Car Char Car Char Char Carattere Char Char Carattere Char,Ref,de nota al pie,註腳內容,de nota al pie + (Asian) MS Mincho,11 pt,4_G,ftref,a Footnote Reference,FZ"/>
    <w:link w:val="ftrefCharCarCharCarCharCharCarattereCharCharCarattere"/>
    <w:uiPriority w:val="99"/>
    <w:unhideWhenUsed/>
    <w:rsid w:val="00906BB0"/>
    <w:rPr>
      <w:vertAlign w:val="superscript"/>
    </w:rPr>
  </w:style>
  <w:style w:type="character" w:styleId="Hyperlink">
    <w:name w:val="Hyperlink"/>
    <w:uiPriority w:val="99"/>
    <w:unhideWhenUsed/>
    <w:rsid w:val="00906BB0"/>
    <w:rPr>
      <w:color w:val="0000FF"/>
      <w:u w:val="single"/>
    </w:rPr>
  </w:style>
  <w:style w:type="character" w:styleId="CommentReference">
    <w:name w:val="annotation reference"/>
    <w:uiPriority w:val="99"/>
    <w:semiHidden/>
    <w:unhideWhenUsed/>
    <w:rsid w:val="00906BB0"/>
    <w:rPr>
      <w:sz w:val="16"/>
      <w:szCs w:val="16"/>
    </w:rPr>
  </w:style>
  <w:style w:type="paragraph" w:styleId="CommentText">
    <w:name w:val="annotation text"/>
    <w:basedOn w:val="Normal"/>
    <w:link w:val="CommentTextChar"/>
    <w:uiPriority w:val="99"/>
    <w:unhideWhenUsed/>
    <w:rsid w:val="00906BB0"/>
    <w:pPr>
      <w:spacing w:after="0" w:line="240" w:lineRule="auto"/>
    </w:pPr>
    <w:rPr>
      <w:rFonts w:ascii="Palatino Linotype" w:eastAsia="Palatino Linotype" w:hAnsi="Palatino Linotype" w:cs="Times New Roman"/>
      <w:kern w:val="0"/>
      <w:sz w:val="20"/>
      <w:szCs w:val="20"/>
      <w:lang w:val="en-GB" w:eastAsia="nl-NL"/>
      <w14:ligatures w14:val="none"/>
    </w:rPr>
  </w:style>
  <w:style w:type="character" w:customStyle="1" w:styleId="CommentTextChar">
    <w:name w:val="Comment Text Char"/>
    <w:basedOn w:val="DefaultParagraphFont"/>
    <w:link w:val="CommentText"/>
    <w:uiPriority w:val="99"/>
    <w:rsid w:val="00906BB0"/>
    <w:rPr>
      <w:rFonts w:ascii="Palatino Linotype" w:eastAsia="Palatino Linotype" w:hAnsi="Palatino Linotype" w:cs="Times New Roman"/>
      <w:kern w:val="0"/>
      <w:sz w:val="20"/>
      <w:szCs w:val="20"/>
      <w:lang w:val="en-GB" w:eastAsia="nl-NL"/>
      <w14:ligatures w14:val="none"/>
    </w:rPr>
  </w:style>
  <w:style w:type="paragraph" w:styleId="CommentSubject">
    <w:name w:val="annotation subject"/>
    <w:basedOn w:val="CommentText"/>
    <w:next w:val="CommentText"/>
    <w:link w:val="CommentSubjectChar"/>
    <w:uiPriority w:val="99"/>
    <w:semiHidden/>
    <w:unhideWhenUsed/>
    <w:rsid w:val="00906BB0"/>
    <w:rPr>
      <w:b/>
      <w:bCs/>
    </w:rPr>
  </w:style>
  <w:style w:type="character" w:customStyle="1" w:styleId="CommentSubjectChar">
    <w:name w:val="Comment Subject Char"/>
    <w:basedOn w:val="CommentTextChar"/>
    <w:link w:val="CommentSubject"/>
    <w:uiPriority w:val="99"/>
    <w:semiHidden/>
    <w:rsid w:val="00906BB0"/>
    <w:rPr>
      <w:rFonts w:ascii="Palatino Linotype" w:eastAsia="Palatino Linotype" w:hAnsi="Palatino Linotype" w:cs="Times New Roman"/>
      <w:b/>
      <w:bCs/>
      <w:kern w:val="0"/>
      <w:sz w:val="20"/>
      <w:szCs w:val="20"/>
      <w:lang w:val="en-GB" w:eastAsia="nl-NL"/>
      <w14:ligatures w14:val="none"/>
    </w:rPr>
  </w:style>
  <w:style w:type="paragraph" w:styleId="BalloonText">
    <w:name w:val="Balloon Text"/>
    <w:basedOn w:val="Normal"/>
    <w:link w:val="BalloonTextChar"/>
    <w:uiPriority w:val="99"/>
    <w:semiHidden/>
    <w:unhideWhenUsed/>
    <w:rsid w:val="00906BB0"/>
    <w:pPr>
      <w:spacing w:after="0" w:line="240" w:lineRule="auto"/>
    </w:pPr>
    <w:rPr>
      <w:rFonts w:ascii="Segoe UI" w:eastAsia="Palatino Linotype" w:hAnsi="Segoe UI" w:cs="Segoe UI"/>
      <w:kern w:val="0"/>
      <w:sz w:val="18"/>
      <w:szCs w:val="18"/>
      <w:lang w:val="en-GB" w:eastAsia="nl-NL"/>
      <w14:ligatures w14:val="none"/>
    </w:rPr>
  </w:style>
  <w:style w:type="character" w:customStyle="1" w:styleId="BalloonTextChar">
    <w:name w:val="Balloon Text Char"/>
    <w:basedOn w:val="DefaultParagraphFont"/>
    <w:link w:val="BalloonText"/>
    <w:uiPriority w:val="99"/>
    <w:semiHidden/>
    <w:rsid w:val="00906BB0"/>
    <w:rPr>
      <w:rFonts w:ascii="Segoe UI" w:eastAsia="Palatino Linotype" w:hAnsi="Segoe UI" w:cs="Segoe UI"/>
      <w:kern w:val="0"/>
      <w:sz w:val="18"/>
      <w:szCs w:val="18"/>
      <w:lang w:val="en-GB" w:eastAsia="nl-NL"/>
      <w14:ligatures w14:val="none"/>
    </w:rPr>
  </w:style>
  <w:style w:type="paragraph" w:customStyle="1" w:styleId="paragraph">
    <w:name w:val="paragraph"/>
    <w:basedOn w:val="Normal"/>
    <w:rsid w:val="00906BB0"/>
    <w:pPr>
      <w:spacing w:before="100" w:beforeAutospacing="1" w:after="100" w:afterAutospacing="1" w:line="240" w:lineRule="auto"/>
    </w:pPr>
    <w:rPr>
      <w:rFonts w:ascii="Times New Roman" w:eastAsia="Times New Roman" w:hAnsi="Times New Roman" w:cs="Times New Roman"/>
      <w:kern w:val="0"/>
      <w:lang w:val="en-GB" w:eastAsia="nl-NL"/>
      <w14:ligatures w14:val="none"/>
    </w:rPr>
  </w:style>
  <w:style w:type="character" w:customStyle="1" w:styleId="normaltextrun">
    <w:name w:val="normaltextrun"/>
    <w:basedOn w:val="DefaultParagraphFont"/>
    <w:rsid w:val="00906BB0"/>
  </w:style>
  <w:style w:type="character" w:customStyle="1" w:styleId="eop">
    <w:name w:val="eop"/>
    <w:basedOn w:val="DefaultParagraphFont"/>
    <w:rsid w:val="00906BB0"/>
  </w:style>
  <w:style w:type="character" w:customStyle="1" w:styleId="UnresolvedMention1">
    <w:name w:val="Unresolved Mention1"/>
    <w:uiPriority w:val="99"/>
    <w:semiHidden/>
    <w:unhideWhenUsed/>
    <w:rsid w:val="00906BB0"/>
    <w:rPr>
      <w:color w:val="605E5C"/>
      <w:shd w:val="clear" w:color="auto" w:fill="E1DFDD"/>
    </w:rPr>
  </w:style>
  <w:style w:type="paragraph" w:styleId="NormalWeb">
    <w:name w:val="Normal (Web)"/>
    <w:basedOn w:val="Normal"/>
    <w:uiPriority w:val="99"/>
    <w:unhideWhenUsed/>
    <w:rsid w:val="00906BB0"/>
    <w:pPr>
      <w:spacing w:before="100" w:beforeAutospacing="1" w:after="100" w:afterAutospacing="1" w:line="240" w:lineRule="auto"/>
    </w:pPr>
    <w:rPr>
      <w:rFonts w:ascii="Times New Roman" w:eastAsia="Palatino Linotype" w:hAnsi="Times New Roman" w:cs="Times New Roman"/>
      <w:kern w:val="0"/>
      <w:lang w:val="en-GB" w:eastAsia="nl-NL"/>
      <w14:ligatures w14:val="none"/>
    </w:rPr>
  </w:style>
  <w:style w:type="character" w:customStyle="1" w:styleId="UnresolvedMention2">
    <w:name w:val="Unresolved Mention2"/>
    <w:uiPriority w:val="99"/>
    <w:semiHidden/>
    <w:unhideWhenUsed/>
    <w:rsid w:val="00906BB0"/>
    <w:rPr>
      <w:color w:val="605E5C"/>
      <w:shd w:val="clear" w:color="auto" w:fill="E1DFDD"/>
    </w:rPr>
  </w:style>
  <w:style w:type="paragraph" w:styleId="Header">
    <w:name w:val="header"/>
    <w:basedOn w:val="Normal"/>
    <w:link w:val="HeaderChar"/>
    <w:uiPriority w:val="99"/>
    <w:unhideWhenUsed/>
    <w:rsid w:val="00906BB0"/>
    <w:pPr>
      <w:tabs>
        <w:tab w:val="center" w:pos="4513"/>
        <w:tab w:val="right" w:pos="9026"/>
      </w:tabs>
      <w:spacing w:after="0" w:line="240" w:lineRule="auto"/>
    </w:pPr>
    <w:rPr>
      <w:rFonts w:ascii="Palatino Linotype" w:eastAsia="Palatino Linotype" w:hAnsi="Palatino Linotype" w:cs="Times New Roman"/>
      <w:kern w:val="0"/>
      <w:sz w:val="22"/>
      <w:szCs w:val="22"/>
      <w:lang w:val="en-GB" w:eastAsia="nl-NL"/>
      <w14:ligatures w14:val="none"/>
    </w:rPr>
  </w:style>
  <w:style w:type="character" w:customStyle="1" w:styleId="HeaderChar">
    <w:name w:val="Header Char"/>
    <w:basedOn w:val="DefaultParagraphFont"/>
    <w:link w:val="Header"/>
    <w:uiPriority w:val="99"/>
    <w:rsid w:val="00906BB0"/>
    <w:rPr>
      <w:rFonts w:ascii="Palatino Linotype" w:eastAsia="Palatino Linotype" w:hAnsi="Palatino Linotype" w:cs="Times New Roman"/>
      <w:kern w:val="0"/>
      <w:sz w:val="22"/>
      <w:szCs w:val="22"/>
      <w:lang w:val="en-GB" w:eastAsia="nl-NL"/>
      <w14:ligatures w14:val="none"/>
    </w:rPr>
  </w:style>
  <w:style w:type="paragraph" w:styleId="Footer">
    <w:name w:val="footer"/>
    <w:basedOn w:val="Normal"/>
    <w:link w:val="FooterChar"/>
    <w:uiPriority w:val="99"/>
    <w:unhideWhenUsed/>
    <w:qFormat/>
    <w:rsid w:val="00906BB0"/>
    <w:pPr>
      <w:tabs>
        <w:tab w:val="center" w:pos="4513"/>
        <w:tab w:val="right" w:pos="9026"/>
      </w:tabs>
      <w:spacing w:after="0" w:line="240" w:lineRule="auto"/>
    </w:pPr>
    <w:rPr>
      <w:rFonts w:ascii="Palatino Linotype" w:eastAsia="Palatino Linotype" w:hAnsi="Palatino Linotype" w:cs="Times New Roman"/>
      <w:kern w:val="0"/>
      <w:sz w:val="22"/>
      <w:szCs w:val="22"/>
      <w:lang w:val="en-GB" w:eastAsia="nl-NL"/>
      <w14:ligatures w14:val="none"/>
    </w:rPr>
  </w:style>
  <w:style w:type="character" w:customStyle="1" w:styleId="FooterChar">
    <w:name w:val="Footer Char"/>
    <w:basedOn w:val="DefaultParagraphFont"/>
    <w:link w:val="Footer"/>
    <w:uiPriority w:val="99"/>
    <w:rsid w:val="00906BB0"/>
    <w:rPr>
      <w:rFonts w:ascii="Palatino Linotype" w:eastAsia="Palatino Linotype" w:hAnsi="Palatino Linotype" w:cs="Times New Roman"/>
      <w:kern w:val="0"/>
      <w:sz w:val="22"/>
      <w:szCs w:val="22"/>
      <w:lang w:val="en-GB" w:eastAsia="nl-NL"/>
      <w14:ligatures w14:val="none"/>
    </w:rPr>
  </w:style>
  <w:style w:type="paragraph" w:styleId="TOC1">
    <w:name w:val="toc 1"/>
    <w:basedOn w:val="Normal"/>
    <w:next w:val="Normal"/>
    <w:autoRedefine/>
    <w:uiPriority w:val="39"/>
    <w:unhideWhenUsed/>
    <w:rsid w:val="00906BB0"/>
    <w:pPr>
      <w:numPr>
        <w:numId w:val="2"/>
      </w:numPr>
      <w:tabs>
        <w:tab w:val="left" w:pos="440"/>
        <w:tab w:val="right" w:leader="dot" w:pos="9016"/>
      </w:tabs>
      <w:spacing w:before="120" w:after="0" w:line="240" w:lineRule="auto"/>
      <w:ind w:left="284"/>
    </w:pPr>
    <w:rPr>
      <w:rFonts w:ascii="Palatino Linotype" w:eastAsia="Palatino Linotype" w:hAnsi="Palatino Linotype" w:cs="Times New Roman"/>
      <w:b/>
      <w:bCs/>
      <w:iCs/>
      <w:kern w:val="0"/>
      <w:lang w:val="en-GB" w:eastAsia="nl-NL"/>
      <w14:ligatures w14:val="none"/>
    </w:rPr>
  </w:style>
  <w:style w:type="paragraph" w:styleId="TOC2">
    <w:name w:val="toc 2"/>
    <w:basedOn w:val="Normal"/>
    <w:next w:val="Normal"/>
    <w:autoRedefine/>
    <w:uiPriority w:val="39"/>
    <w:unhideWhenUsed/>
    <w:rsid w:val="00906BB0"/>
    <w:pPr>
      <w:spacing w:before="120" w:after="0" w:line="240" w:lineRule="auto"/>
      <w:ind w:left="220"/>
    </w:pPr>
    <w:rPr>
      <w:rFonts w:ascii="Palatino Linotype" w:eastAsia="Palatino Linotype" w:hAnsi="Palatino Linotype" w:cs="Times New Roman"/>
      <w:b/>
      <w:bCs/>
      <w:kern w:val="0"/>
      <w:szCs w:val="22"/>
      <w:lang w:val="en-GB" w:eastAsia="nl-NL"/>
      <w14:ligatures w14:val="none"/>
    </w:rPr>
  </w:style>
  <w:style w:type="character" w:customStyle="1" w:styleId="LightGrid-Accent11">
    <w:name w:val="Light Grid - Accent 11"/>
    <w:uiPriority w:val="99"/>
    <w:semiHidden/>
    <w:rsid w:val="00906BB0"/>
    <w:rPr>
      <w:color w:val="808080"/>
    </w:rPr>
  </w:style>
  <w:style w:type="character" w:styleId="UnresolvedMention">
    <w:name w:val="Unresolved Mention"/>
    <w:uiPriority w:val="99"/>
    <w:semiHidden/>
    <w:unhideWhenUsed/>
    <w:rsid w:val="00906BB0"/>
    <w:rPr>
      <w:color w:val="605E5C"/>
      <w:shd w:val="clear" w:color="auto" w:fill="E1DFDD"/>
    </w:rPr>
  </w:style>
  <w:style w:type="character" w:styleId="FollowedHyperlink">
    <w:name w:val="FollowedHyperlink"/>
    <w:uiPriority w:val="99"/>
    <w:semiHidden/>
    <w:unhideWhenUsed/>
    <w:rsid w:val="00906BB0"/>
    <w:rPr>
      <w:color w:val="800080"/>
      <w:u w:val="single"/>
    </w:rPr>
  </w:style>
  <w:style w:type="paragraph" w:styleId="TOC3">
    <w:name w:val="toc 3"/>
    <w:basedOn w:val="Normal"/>
    <w:next w:val="Normal"/>
    <w:autoRedefine/>
    <w:uiPriority w:val="39"/>
    <w:unhideWhenUsed/>
    <w:rsid w:val="00906BB0"/>
    <w:pPr>
      <w:tabs>
        <w:tab w:val="left" w:pos="1100"/>
        <w:tab w:val="right" w:leader="dot" w:pos="9016"/>
      </w:tabs>
      <w:spacing w:after="0" w:line="240" w:lineRule="auto"/>
      <w:ind w:left="440"/>
    </w:pPr>
    <w:rPr>
      <w:rFonts w:ascii="Palatino Linotype" w:eastAsia="Palatino Linotype" w:hAnsi="Palatino Linotype" w:cs="Times New Roman"/>
      <w:kern w:val="0"/>
      <w:szCs w:val="20"/>
      <w:lang w:val="en-GB" w:eastAsia="nl-NL"/>
      <w14:ligatures w14:val="none"/>
    </w:rPr>
  </w:style>
  <w:style w:type="paragraph" w:styleId="TOC4">
    <w:name w:val="toc 4"/>
    <w:basedOn w:val="Normal"/>
    <w:next w:val="Normal"/>
    <w:autoRedefine/>
    <w:uiPriority w:val="39"/>
    <w:unhideWhenUsed/>
    <w:rsid w:val="00906BB0"/>
    <w:pPr>
      <w:spacing w:after="0" w:line="240" w:lineRule="auto"/>
      <w:ind w:left="660"/>
    </w:pPr>
    <w:rPr>
      <w:rFonts w:ascii="Palatino Linotype" w:eastAsia="Palatino Linotype" w:hAnsi="Palatino Linotype" w:cs="Times New Roman"/>
      <w:kern w:val="0"/>
      <w:sz w:val="20"/>
      <w:szCs w:val="20"/>
      <w:lang w:val="en-GB" w:eastAsia="nl-NL"/>
      <w14:ligatures w14:val="none"/>
    </w:rPr>
  </w:style>
  <w:style w:type="paragraph" w:styleId="TOC5">
    <w:name w:val="toc 5"/>
    <w:basedOn w:val="Normal"/>
    <w:next w:val="Normal"/>
    <w:autoRedefine/>
    <w:uiPriority w:val="39"/>
    <w:unhideWhenUsed/>
    <w:rsid w:val="00906BB0"/>
    <w:pPr>
      <w:spacing w:after="0" w:line="240" w:lineRule="auto"/>
      <w:ind w:left="880"/>
    </w:pPr>
    <w:rPr>
      <w:rFonts w:ascii="Palatino Linotype" w:eastAsia="Palatino Linotype" w:hAnsi="Palatino Linotype" w:cs="Times New Roman"/>
      <w:kern w:val="0"/>
      <w:sz w:val="20"/>
      <w:szCs w:val="20"/>
      <w:lang w:val="en-GB" w:eastAsia="nl-NL"/>
      <w14:ligatures w14:val="none"/>
    </w:rPr>
  </w:style>
  <w:style w:type="paragraph" w:styleId="TOC6">
    <w:name w:val="toc 6"/>
    <w:basedOn w:val="Normal"/>
    <w:next w:val="Normal"/>
    <w:autoRedefine/>
    <w:uiPriority w:val="39"/>
    <w:unhideWhenUsed/>
    <w:rsid w:val="00906BB0"/>
    <w:pPr>
      <w:spacing w:after="0" w:line="240" w:lineRule="auto"/>
      <w:ind w:left="1100"/>
    </w:pPr>
    <w:rPr>
      <w:rFonts w:ascii="Palatino Linotype" w:eastAsia="Palatino Linotype" w:hAnsi="Palatino Linotype" w:cs="Times New Roman"/>
      <w:kern w:val="0"/>
      <w:sz w:val="20"/>
      <w:szCs w:val="20"/>
      <w:lang w:val="en-GB" w:eastAsia="nl-NL"/>
      <w14:ligatures w14:val="none"/>
    </w:rPr>
  </w:style>
  <w:style w:type="paragraph" w:styleId="TOC7">
    <w:name w:val="toc 7"/>
    <w:basedOn w:val="Normal"/>
    <w:next w:val="Normal"/>
    <w:autoRedefine/>
    <w:uiPriority w:val="39"/>
    <w:unhideWhenUsed/>
    <w:rsid w:val="00906BB0"/>
    <w:pPr>
      <w:spacing w:after="0" w:line="240" w:lineRule="auto"/>
      <w:ind w:left="1320"/>
    </w:pPr>
    <w:rPr>
      <w:rFonts w:ascii="Palatino Linotype" w:eastAsia="Palatino Linotype" w:hAnsi="Palatino Linotype" w:cs="Times New Roman"/>
      <w:kern w:val="0"/>
      <w:sz w:val="20"/>
      <w:szCs w:val="20"/>
      <w:lang w:val="en-GB" w:eastAsia="nl-NL"/>
      <w14:ligatures w14:val="none"/>
    </w:rPr>
  </w:style>
  <w:style w:type="paragraph" w:styleId="TOC8">
    <w:name w:val="toc 8"/>
    <w:basedOn w:val="Normal"/>
    <w:next w:val="Normal"/>
    <w:autoRedefine/>
    <w:uiPriority w:val="39"/>
    <w:unhideWhenUsed/>
    <w:rsid w:val="00906BB0"/>
    <w:pPr>
      <w:spacing w:after="0" w:line="240" w:lineRule="auto"/>
      <w:ind w:left="1540"/>
    </w:pPr>
    <w:rPr>
      <w:rFonts w:ascii="Palatino Linotype" w:eastAsia="Palatino Linotype" w:hAnsi="Palatino Linotype" w:cs="Times New Roman"/>
      <w:kern w:val="0"/>
      <w:sz w:val="20"/>
      <w:szCs w:val="20"/>
      <w:lang w:val="en-GB" w:eastAsia="nl-NL"/>
      <w14:ligatures w14:val="none"/>
    </w:rPr>
  </w:style>
  <w:style w:type="paragraph" w:styleId="TOC9">
    <w:name w:val="toc 9"/>
    <w:basedOn w:val="Normal"/>
    <w:next w:val="Normal"/>
    <w:autoRedefine/>
    <w:uiPriority w:val="39"/>
    <w:unhideWhenUsed/>
    <w:rsid w:val="00906BB0"/>
    <w:pPr>
      <w:spacing w:after="0" w:line="240" w:lineRule="auto"/>
      <w:ind w:left="1760"/>
    </w:pPr>
    <w:rPr>
      <w:rFonts w:ascii="Palatino Linotype" w:eastAsia="Palatino Linotype" w:hAnsi="Palatino Linotype" w:cs="Times New Roman"/>
      <w:kern w:val="0"/>
      <w:sz w:val="20"/>
      <w:szCs w:val="20"/>
      <w:lang w:val="en-GB" w:eastAsia="nl-NL"/>
      <w14:ligatures w14:val="none"/>
    </w:rPr>
  </w:style>
  <w:style w:type="paragraph" w:customStyle="1" w:styleId="MediumList2-Accent21">
    <w:name w:val="Medium List 2 - Accent 21"/>
    <w:hidden/>
    <w:uiPriority w:val="99"/>
    <w:semiHidden/>
    <w:rsid w:val="00906BB0"/>
    <w:pPr>
      <w:spacing w:after="0" w:line="240" w:lineRule="auto"/>
    </w:pPr>
    <w:rPr>
      <w:rFonts w:ascii="Calibri" w:eastAsia="Palatino Linotype" w:hAnsi="Calibri" w:cs="Times New Roman"/>
      <w:kern w:val="0"/>
      <w:sz w:val="22"/>
      <w:szCs w:val="22"/>
      <w:lang w:val="en-GB" w:eastAsia="nl-NL"/>
      <w14:ligatures w14:val="none"/>
    </w:rPr>
  </w:style>
  <w:style w:type="paragraph" w:styleId="Revision">
    <w:name w:val="Revision"/>
    <w:hidden/>
    <w:uiPriority w:val="99"/>
    <w:rsid w:val="00906BB0"/>
    <w:pPr>
      <w:spacing w:after="0" w:line="240" w:lineRule="auto"/>
    </w:pPr>
    <w:rPr>
      <w:rFonts w:ascii="Calibri" w:eastAsia="Palatino Linotype" w:hAnsi="Calibri" w:cs="Times New Roman"/>
      <w:kern w:val="0"/>
      <w:sz w:val="22"/>
      <w:szCs w:val="22"/>
      <w:lang w:val="en-GB" w:eastAsia="nl-NL"/>
      <w14:ligatures w14:val="none"/>
    </w:rPr>
  </w:style>
  <w:style w:type="character" w:styleId="SubtleReference">
    <w:name w:val="Subtle Reference"/>
    <w:basedOn w:val="DefaultParagraphFont"/>
    <w:uiPriority w:val="31"/>
    <w:qFormat/>
    <w:rsid w:val="00906BB0"/>
    <w:rPr>
      <w:rFonts w:ascii="Palatino Linotype" w:hAnsi="Palatino Linotype"/>
      <w:smallCaps/>
      <w:color w:val="5A5A5A" w:themeColor="text1" w:themeTint="A5"/>
    </w:rPr>
  </w:style>
  <w:style w:type="paragraph" w:customStyle="1" w:styleId="GvdeA">
    <w:name w:val="Gövde A"/>
    <w:rsid w:val="00906BB0"/>
    <w:pPr>
      <w:shd w:val="clear" w:color="auto" w:fill="FFFFFF"/>
      <w:tabs>
        <w:tab w:val="left" w:pos="720"/>
      </w:tabs>
      <w:spacing w:after="0" w:line="240" w:lineRule="auto"/>
      <w:jc w:val="both"/>
    </w:pPr>
    <w:rPr>
      <w:rFonts w:ascii="Times New Roman" w:eastAsia="Arial Unicode MS" w:hAnsi="Times New Roman" w:cs="Arial Unicode MS"/>
      <w:color w:val="000000"/>
      <w:kern w:val="0"/>
      <w:u w:color="000000"/>
      <w:lang w:val="en-US" w:eastAsia="tr-TR"/>
      <w14:ligatures w14:val="none"/>
    </w:rPr>
  </w:style>
  <w:style w:type="character" w:customStyle="1" w:styleId="Yok">
    <w:name w:val="Yok"/>
    <w:rsid w:val="00906BB0"/>
  </w:style>
  <w:style w:type="paragraph" w:customStyle="1" w:styleId="ftrefCharCarCharCarCharCharCarattereCharCharCarattere">
    <w:name w:val="ftref Char Car Char Car Char Char Carattere Char Char Carattere"/>
    <w:aliases w:val="ftref Char Car Char Car Char Car Car Char Car Car Char Car Char Car Char Char Carattere Char Char Carattere"/>
    <w:basedOn w:val="Normal"/>
    <w:link w:val="FootnoteReference"/>
    <w:uiPriority w:val="99"/>
    <w:rsid w:val="00906BB0"/>
    <w:pPr>
      <w:spacing w:after="0" w:line="240" w:lineRule="exact"/>
    </w:pPr>
    <w:rPr>
      <w:vertAlign w:val="superscript"/>
    </w:rPr>
  </w:style>
  <w:style w:type="character" w:customStyle="1" w:styleId="fontstyle01">
    <w:name w:val="fontstyle01"/>
    <w:basedOn w:val="DefaultParagraphFont"/>
    <w:rsid w:val="00906BB0"/>
    <w:rPr>
      <w:rFonts w:ascii="ECSquareSansPro" w:hAnsi="ECSquareSansPro" w:hint="default"/>
      <w:b w:val="0"/>
      <w:bCs w:val="0"/>
      <w:i w:val="0"/>
      <w:iCs w:val="0"/>
      <w:color w:val="242021"/>
      <w:sz w:val="12"/>
      <w:szCs w:val="12"/>
    </w:rPr>
  </w:style>
  <w:style w:type="paragraph" w:styleId="NoSpacing">
    <w:name w:val="No Spacing"/>
    <w:uiPriority w:val="1"/>
    <w:qFormat/>
    <w:rsid w:val="00906BB0"/>
    <w:pPr>
      <w:spacing w:after="0" w:line="240" w:lineRule="auto"/>
    </w:pPr>
    <w:rPr>
      <w:rFonts w:eastAsia="Times New Roman" w:hAnsi="Times New Roman" w:cs="Times New Roman"/>
      <w:kern w:val="0"/>
      <w:sz w:val="22"/>
      <w:szCs w:val="22"/>
      <w:lang w:val="en-GB" w:eastAsia="en-GB"/>
      <w14:ligatures w14:val="none"/>
    </w:rPr>
  </w:style>
  <w:style w:type="character" w:styleId="SubtleEmphasis">
    <w:name w:val="Subtle Emphasis"/>
    <w:basedOn w:val="DefaultParagraphFont"/>
    <w:uiPriority w:val="19"/>
    <w:qFormat/>
    <w:rsid w:val="00906BB0"/>
    <w:rPr>
      <w:rFonts w:cs="Times New Roman"/>
      <w:i/>
      <w:iCs/>
      <w:color w:val="808080" w:themeColor="text1" w:themeTint="7F"/>
    </w:rPr>
  </w:style>
  <w:style w:type="character" w:styleId="BookTitle">
    <w:name w:val="Book Title"/>
    <w:basedOn w:val="DefaultParagraphFont"/>
    <w:uiPriority w:val="33"/>
    <w:qFormat/>
    <w:rsid w:val="00906BB0"/>
    <w:rPr>
      <w:rFonts w:cs="Times New Roman"/>
      <w:b/>
      <w:bCs/>
      <w:smallCaps/>
      <w:spacing w:val="5"/>
    </w:rPr>
  </w:style>
  <w:style w:type="paragraph" w:styleId="TOCHeading">
    <w:name w:val="TOC Heading"/>
    <w:basedOn w:val="Heading1"/>
    <w:next w:val="Normal"/>
    <w:uiPriority w:val="39"/>
    <w:unhideWhenUsed/>
    <w:qFormat/>
    <w:rsid w:val="00906BB0"/>
    <w:pPr>
      <w:spacing w:before="480" w:after="0" w:line="276" w:lineRule="auto"/>
      <w:outlineLvl w:val="9"/>
    </w:pPr>
    <w:rPr>
      <w:rFonts w:ascii="Calibri Light" w:hAnsi="Calibri Light" w:cs="Times New Roman"/>
      <w:b/>
      <w:bCs/>
      <w:kern w:val="0"/>
      <w:sz w:val="28"/>
      <w:szCs w:val="28"/>
      <w:lang w:val="en-GB"/>
      <w14:ligatures w14:val="none"/>
    </w:rPr>
  </w:style>
  <w:style w:type="character" w:customStyle="1" w:styleId="st">
    <w:name w:val="st"/>
    <w:basedOn w:val="DefaultParagraphFont"/>
    <w:rsid w:val="00906BB0"/>
    <w:rPr>
      <w:rFonts w:cs="Times New Roman"/>
    </w:rPr>
  </w:style>
  <w:style w:type="character" w:styleId="EndnoteReference">
    <w:name w:val="endnote reference"/>
    <w:basedOn w:val="DefaultParagraphFont"/>
    <w:uiPriority w:val="99"/>
    <w:semiHidden/>
    <w:unhideWhenUsed/>
    <w:rsid w:val="00906BB0"/>
    <w:rPr>
      <w:rFonts w:cs="Times New Roman"/>
      <w:vertAlign w:val="superscript"/>
    </w:rPr>
  </w:style>
  <w:style w:type="character" w:customStyle="1" w:styleId="UnresolvedMention3">
    <w:name w:val="Unresolved Mention3"/>
    <w:basedOn w:val="DefaultParagraphFont"/>
    <w:uiPriority w:val="99"/>
    <w:semiHidden/>
    <w:unhideWhenUsed/>
    <w:rsid w:val="00906BB0"/>
    <w:rPr>
      <w:rFonts w:cs="Times New Roman"/>
      <w:color w:val="808080"/>
      <w:shd w:val="clear" w:color="auto" w:fill="E6E6E6"/>
    </w:rPr>
  </w:style>
  <w:style w:type="character" w:customStyle="1" w:styleId="UnresolvedMention4">
    <w:name w:val="Unresolved Mention4"/>
    <w:basedOn w:val="DefaultParagraphFont"/>
    <w:uiPriority w:val="99"/>
    <w:semiHidden/>
    <w:unhideWhenUsed/>
    <w:rsid w:val="00906BB0"/>
    <w:rPr>
      <w:rFonts w:cs="Times New Roman"/>
      <w:color w:val="605E5C"/>
      <w:shd w:val="clear" w:color="auto" w:fill="E1DFDD"/>
    </w:rPr>
  </w:style>
  <w:style w:type="paragraph" w:styleId="Bibliography">
    <w:name w:val="Bibliography"/>
    <w:basedOn w:val="Normal"/>
    <w:next w:val="Normal"/>
    <w:uiPriority w:val="37"/>
    <w:unhideWhenUsed/>
    <w:rsid w:val="00906BB0"/>
    <w:pPr>
      <w:spacing w:after="0" w:line="480" w:lineRule="auto"/>
      <w:ind w:left="720" w:hanging="720"/>
    </w:pPr>
    <w:rPr>
      <w:rFonts w:ascii="Palatino Linotype" w:hAnsi="Palatino Linotype"/>
      <w:lang w:val="en-GB"/>
    </w:rPr>
  </w:style>
  <w:style w:type="paragraph" w:styleId="PlainText">
    <w:name w:val="Plain Text"/>
    <w:basedOn w:val="Normal"/>
    <w:link w:val="PlainTextChar"/>
    <w:uiPriority w:val="99"/>
    <w:unhideWhenUsed/>
    <w:rsid w:val="00906BB0"/>
    <w:pPr>
      <w:spacing w:after="0" w:line="240" w:lineRule="auto"/>
    </w:pPr>
    <w:rPr>
      <w:rFonts w:ascii="Consolas" w:hAnsi="Consolas"/>
      <w:kern w:val="0"/>
      <w:sz w:val="21"/>
      <w:szCs w:val="21"/>
      <w:lang w:val="en-GB"/>
    </w:rPr>
  </w:style>
  <w:style w:type="character" w:customStyle="1" w:styleId="PlainTextChar">
    <w:name w:val="Plain Text Char"/>
    <w:basedOn w:val="DefaultParagraphFont"/>
    <w:link w:val="PlainText"/>
    <w:uiPriority w:val="99"/>
    <w:rsid w:val="00906BB0"/>
    <w:rPr>
      <w:rFonts w:ascii="Consolas" w:hAnsi="Consolas"/>
      <w:kern w:val="0"/>
      <w:sz w:val="21"/>
      <w:szCs w:val="21"/>
      <w:lang w:val="en-GB"/>
    </w:rPr>
  </w:style>
  <w:style w:type="paragraph" w:customStyle="1" w:styleId="AuthorLine">
    <w:name w:val="Author Line"/>
    <w:basedOn w:val="Normal"/>
    <w:rsid w:val="00906BB0"/>
    <w:pPr>
      <w:spacing w:after="0" w:line="288" w:lineRule="auto"/>
    </w:pPr>
    <w:rPr>
      <w:rFonts w:ascii="Calibri" w:eastAsia="Times New Roman" w:hAnsi="Calibri" w:cs="Cambria"/>
      <w:caps/>
      <w:color w:val="1C1A17"/>
      <w:spacing w:val="40"/>
      <w:kern w:val="0"/>
      <w:sz w:val="22"/>
      <w:szCs w:val="22"/>
      <w:lang w:val="en-US"/>
      <w14:ligatures w14:val="none"/>
    </w:rPr>
  </w:style>
  <w:style w:type="paragraph" w:customStyle="1" w:styleId="ContentsHead">
    <w:name w:val="Contents Head"/>
    <w:basedOn w:val="Normal"/>
    <w:rsid w:val="00906BB0"/>
    <w:pPr>
      <w:pBdr>
        <w:bottom w:val="single" w:sz="12" w:space="6" w:color="1C1A17"/>
      </w:pBdr>
      <w:spacing w:after="400" w:line="288" w:lineRule="auto"/>
    </w:pPr>
    <w:rPr>
      <w:rFonts w:ascii="Cambria" w:eastAsia="Times New Roman" w:hAnsi="Cambria" w:cs="Cambria"/>
      <w:color w:val="1C1A17"/>
      <w:kern w:val="0"/>
      <w:sz w:val="60"/>
      <w:szCs w:val="22"/>
      <w:lang w:val="en-US"/>
      <w14:ligatures w14:val="none"/>
    </w:rPr>
  </w:style>
  <w:style w:type="paragraph" w:customStyle="1" w:styleId="ChapterNumber">
    <w:name w:val="Chapter Number"/>
    <w:basedOn w:val="Normal"/>
    <w:rsid w:val="00906BB0"/>
    <w:pPr>
      <w:spacing w:before="480" w:after="0" w:line="240" w:lineRule="auto"/>
    </w:pPr>
    <w:rPr>
      <w:rFonts w:ascii="Cambria" w:eastAsia="Times New Roman" w:hAnsi="Cambria" w:cs="Cambria"/>
      <w:color w:val="2B4A54"/>
      <w:kern w:val="0"/>
      <w:sz w:val="170"/>
      <w:szCs w:val="22"/>
      <w:lang w:val="en-US"/>
      <w14:ligatures w14:val="none"/>
    </w:rPr>
  </w:style>
  <w:style w:type="paragraph" w:customStyle="1" w:styleId="ChapterKicker">
    <w:name w:val="Chapter Kicker"/>
    <w:basedOn w:val="Normal"/>
    <w:rsid w:val="00906BB0"/>
    <w:pPr>
      <w:spacing w:before="200" w:after="60" w:line="288" w:lineRule="auto"/>
    </w:pPr>
    <w:rPr>
      <w:rFonts w:ascii="Calibri" w:eastAsia="Times New Roman" w:hAnsi="Calibri" w:cs="Cambria"/>
      <w:caps/>
      <w:color w:val="5B574F"/>
      <w:spacing w:val="80"/>
      <w:kern w:val="0"/>
      <w:sz w:val="18"/>
      <w:szCs w:val="22"/>
      <w:lang w:val="en-US"/>
      <w14:ligatures w14:val="none"/>
    </w:rPr>
  </w:style>
  <w:style w:type="numbering" w:customStyle="1" w:styleId="CurrentList1">
    <w:name w:val="Current List1"/>
    <w:uiPriority w:val="99"/>
    <w:rsid w:val="00906BB0"/>
    <w:pPr>
      <w:numPr>
        <w:numId w:val="1"/>
      </w:numPr>
    </w:pPr>
  </w:style>
  <w:style w:type="table" w:styleId="TableGrid">
    <w:name w:val="Table Grid"/>
    <w:basedOn w:val="TableNormal"/>
    <w:uiPriority w:val="99"/>
    <w:rsid w:val="00906BB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xhoofdteks">
    <w:name w:val="Maxhoofdteks"/>
    <w:basedOn w:val="ListParagraph"/>
    <w:qFormat/>
    <w:rsid w:val="009847E8"/>
    <w:pPr>
      <w:spacing w:before="120" w:after="120" w:line="240" w:lineRule="auto"/>
      <w:jc w:val="both"/>
    </w:pPr>
    <w:rPr>
      <w:rFonts w:ascii="Calibri" w:hAnsi="Calibri" w:cs="Times New Roman (Hoofdtekst CS)"/>
      <w:sz w:val="22"/>
      <w:szCs w:val="20"/>
      <w:lang w:val="nl-NL"/>
    </w:rPr>
  </w:style>
  <w:style w:type="character" w:styleId="PageNumber">
    <w:name w:val="page number"/>
    <w:basedOn w:val="DefaultParagraphFont"/>
    <w:uiPriority w:val="99"/>
    <w:semiHidden/>
    <w:unhideWhenUsed/>
    <w:rsid w:val="009847E8"/>
  </w:style>
  <w:style w:type="paragraph" w:customStyle="1" w:styleId="Maxhoofdtekst">
    <w:name w:val="Maxhoofdtekst"/>
    <w:basedOn w:val="Normal"/>
    <w:qFormat/>
    <w:rsid w:val="009847E8"/>
    <w:pPr>
      <w:spacing w:before="120" w:after="120" w:line="240" w:lineRule="auto"/>
      <w:jc w:val="both"/>
    </w:pPr>
    <w:rPr>
      <w:rFonts w:ascii="Calibri" w:hAnsi="Calibri" w:cs="Times New Roman (Hoofdtekst CS)"/>
      <w:sz w:val="22"/>
      <w:szCs w:val="20"/>
      <w:lang w:val="nl-NL"/>
    </w:rPr>
  </w:style>
  <w:style w:type="paragraph" w:styleId="EndnoteText">
    <w:name w:val="endnote text"/>
    <w:basedOn w:val="Normal"/>
    <w:link w:val="EndnoteTextChar"/>
    <w:uiPriority w:val="99"/>
    <w:semiHidden/>
    <w:unhideWhenUsed/>
    <w:rsid w:val="009847E8"/>
    <w:pPr>
      <w:spacing w:after="0" w:line="240" w:lineRule="auto"/>
    </w:pPr>
    <w:rPr>
      <w:rFonts w:ascii="Calibri" w:hAnsi="Calibri" w:cs="Times New Roman (Hoofdtekst CS)"/>
      <w:sz w:val="20"/>
      <w:szCs w:val="20"/>
      <w:lang w:val="nl-NL"/>
    </w:rPr>
  </w:style>
  <w:style w:type="character" w:customStyle="1" w:styleId="EndnoteTextChar">
    <w:name w:val="Endnote Text Char"/>
    <w:basedOn w:val="DefaultParagraphFont"/>
    <w:link w:val="EndnoteText"/>
    <w:uiPriority w:val="99"/>
    <w:semiHidden/>
    <w:rsid w:val="009847E8"/>
    <w:rPr>
      <w:rFonts w:ascii="Calibri" w:hAnsi="Calibri" w:cs="Times New Roman (Hoofdtekst 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hyperlink" Target="https://vu.nl/en/about-vu/more-about/acmrl-migration-law-series" TargetMode="External"/><Relationship Id="rId26" Type="http://schemas.openxmlformats.org/officeDocument/2006/relationships/hyperlink" Target="https://vu.nl/en/about-vu/more-about/acmrl-migration-law-series" TargetMode="External"/><Relationship Id="rId3" Type="http://schemas.openxmlformats.org/officeDocument/2006/relationships/styles" Target="styles.xml"/><Relationship Id="rId21" Type="http://schemas.openxmlformats.org/officeDocument/2006/relationships/hyperlink" Target="https://vu.nl/en/about-vu/more-about/acmrl-migration-law-series"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vu.nl/en/about-vu/more-about/acmrl-migration-law-series" TargetMode="External"/><Relationship Id="rId25" Type="http://schemas.openxmlformats.org/officeDocument/2006/relationships/hyperlink" Target="https://vu.nl/en/about-vu/more-about/acmrl-migration-law-series" TargetMode="External"/><Relationship Id="rId2" Type="http://schemas.openxmlformats.org/officeDocument/2006/relationships/numbering" Target="numbering.xml"/><Relationship Id="rId16" Type="http://schemas.openxmlformats.org/officeDocument/2006/relationships/hyperlink" Target="https://vu.nl/en/about-vu/more-about/acmrl-migration-law-series" TargetMode="External"/><Relationship Id="rId20" Type="http://schemas.openxmlformats.org/officeDocument/2006/relationships/hyperlink" Target="https://vu.nl/en/about-vu/more-about/acmrl-migration-law-seri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vu.nl/en/about-vu/more-about/acmrl-migration-law-series" TargetMode="External"/><Relationship Id="rId5" Type="http://schemas.openxmlformats.org/officeDocument/2006/relationships/webSettings" Target="webSettings.xml"/><Relationship Id="rId15" Type="http://schemas.openxmlformats.org/officeDocument/2006/relationships/hyperlink" Target="http://www.rechten.vu.nl/" TargetMode="External"/><Relationship Id="rId23" Type="http://schemas.openxmlformats.org/officeDocument/2006/relationships/hyperlink" Target="https://vu.nl/en/about-vu/more-about/acmrl-migration-law-series"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vu.nl/en/about-vu/more-about/acmrl-migration-law-seri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rechten.vu.nl/" TargetMode="External"/><Relationship Id="rId22" Type="http://schemas.openxmlformats.org/officeDocument/2006/relationships/hyperlink" Target="https://vu.nl/en/about-vu/more-about/acmrl-migration-law-series" TargetMode="External"/><Relationship Id="rId27" Type="http://schemas.openxmlformats.org/officeDocument/2006/relationships/image" Target="media/image4.jp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denederlandsegrondwet.nl/indeling/1887/tiende-hoofdstuk-van-het-onderwijs-en-het-armbestuur" TargetMode="External"/><Relationship Id="rId1" Type="http://schemas.openxmlformats.org/officeDocument/2006/relationships/hyperlink" Target="https://verfassungsblog.de/belgium-congo-metis-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C031ECD-27B6-584C-8481-FB866CBB4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20619</Words>
  <Characters>117529</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Chrissie Nugteren</dc:creator>
  <cp:keywords/>
  <dc:description/>
  <cp:lastModifiedBy>Chrissie Nugteren</cp:lastModifiedBy>
  <cp:revision>2</cp:revision>
  <dcterms:created xsi:type="dcterms:W3CDTF">2026-10-27T09:51:00Z</dcterms:created>
  <dcterms:modified xsi:type="dcterms:W3CDTF">2026-10-27T09:51:00Z</dcterms:modified>
</cp:coreProperties>
</file>