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2340"/>
        </w:tabs>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Pravidla spotřebitelské akce „Harry Potter – OBJEVTE SVĚT KOUZEL“ </w:t>
      </w:r>
    </w:p>
    <w:p w:rsidR="00000000" w:rsidDel="00000000" w:rsidP="00000000" w:rsidRDefault="00000000" w:rsidRPr="00000000" w14:paraId="00000002">
      <w:pPr>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(dále i jen „pravidla“)</w:t>
      </w:r>
    </w:p>
    <w:p w:rsidR="00000000" w:rsidDel="00000000" w:rsidP="00000000" w:rsidRDefault="00000000" w:rsidRPr="00000000" w14:paraId="00000003">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5">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Organizátor, místo a doba trvání spotřebitelské akce</w:t>
      </w:r>
      <w:r w:rsidDel="00000000" w:rsidR="00000000" w:rsidRPr="00000000">
        <w:rPr>
          <w:rtl w:val="0"/>
        </w:rPr>
      </w:r>
    </w:p>
    <w:p w:rsidR="00000000" w:rsidDel="00000000" w:rsidP="00000000" w:rsidRDefault="00000000" w:rsidRPr="00000000" w14:paraId="00000006">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7">
      <w:pPr>
        <w:numPr>
          <w:ilvl w:val="1"/>
          <w:numId w:val="5"/>
        </w:numPr>
        <w:tabs>
          <w:tab w:val="left" w:pos="0"/>
        </w:tabs>
        <w:ind w:left="720" w:hanging="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Spotřebitelská akce s názvem „Harry Potter – OBJEVTE SVĚT KOUZEL“ (dále také i jen „</w:t>
      </w:r>
      <w:r w:rsidDel="00000000" w:rsidR="00000000" w:rsidRPr="00000000">
        <w:rPr>
          <w:rFonts w:ascii="Calibri" w:cs="Calibri" w:eastAsia="Calibri" w:hAnsi="Calibri"/>
          <w:b w:val="1"/>
          <w:sz w:val="24"/>
          <w:szCs w:val="24"/>
          <w:rtl w:val="0"/>
        </w:rPr>
        <w:t xml:space="preserve">spotřebitelská akce</w:t>
      </w:r>
      <w:r w:rsidDel="00000000" w:rsidR="00000000" w:rsidRPr="00000000">
        <w:rPr>
          <w:rFonts w:ascii="Calibri" w:cs="Calibri" w:eastAsia="Calibri" w:hAnsi="Calibri"/>
          <w:sz w:val="24"/>
          <w:szCs w:val="24"/>
          <w:rtl w:val="0"/>
        </w:rPr>
        <w:t xml:space="preserve">“ nebo “</w:t>
      </w:r>
      <w:r w:rsidDel="00000000" w:rsidR="00000000" w:rsidRPr="00000000">
        <w:rPr>
          <w:rFonts w:ascii="Calibri" w:cs="Calibri" w:eastAsia="Calibri" w:hAnsi="Calibri"/>
          <w:b w:val="1"/>
          <w:sz w:val="24"/>
          <w:szCs w:val="24"/>
          <w:rtl w:val="0"/>
        </w:rPr>
        <w:t xml:space="preserve">akce</w:t>
      </w:r>
      <w:r w:rsidDel="00000000" w:rsidR="00000000" w:rsidRPr="00000000">
        <w:rPr>
          <w:rFonts w:ascii="Calibri" w:cs="Calibri" w:eastAsia="Calibri" w:hAnsi="Calibri"/>
          <w:sz w:val="24"/>
          <w:szCs w:val="24"/>
          <w:rtl w:val="0"/>
        </w:rPr>
        <w:t xml:space="preserve">“) je organizovaná a pořádaná obchodní společností BILLA, spol. s r.o., se sídlem Modletice 67, 251 01 Říčany u Prahy, IČO 00685976, zapsanou v obchodním rejstříku vedeném Městským soudem v Praze, oddíl C, vložka 61519 (dále i jen „</w:t>
      </w:r>
      <w:r w:rsidDel="00000000" w:rsidR="00000000" w:rsidRPr="00000000">
        <w:rPr>
          <w:rFonts w:ascii="Calibri" w:cs="Calibri" w:eastAsia="Calibri" w:hAnsi="Calibri"/>
          <w:b w:val="1"/>
          <w:sz w:val="24"/>
          <w:szCs w:val="24"/>
          <w:rtl w:val="0"/>
        </w:rPr>
        <w:t xml:space="preserve">organizátor</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numPr>
          <w:ilvl w:val="1"/>
          <w:numId w:val="5"/>
        </w:numPr>
        <w:tabs>
          <w:tab w:val="left" w:pos="0"/>
        </w:tabs>
        <w:ind w:left="720" w:hanging="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Spotřebitelská akce bude probíhat výhradně na prodejnách provozovaných organizátorem na území České republiky. </w:t>
      </w:r>
    </w:p>
    <w:p w:rsidR="00000000" w:rsidDel="00000000" w:rsidP="00000000" w:rsidRDefault="00000000" w:rsidRPr="00000000" w14:paraId="0000000A">
      <w:pPr>
        <w:tabs>
          <w:tab w:val="left" w:pos="0"/>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B">
      <w:pPr>
        <w:numPr>
          <w:ilvl w:val="1"/>
          <w:numId w:val="5"/>
        </w:numPr>
        <w:ind w:left="720" w:hanging="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Spotřebitelská akce začíná na všech prodejnách BILLA dne 27. 7. 2022 a končí nejpozději dne 25. 10. 2022. Spotřebitelská akce na jednotlivých prodejných BILLA končí automaticky vždy též (i před datem 25. 10. 2022), pokud dojde k vyčerpání veškerých skladových zásob Zboží dle článku 1.4 na příslušné prodejně). </w:t>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pageBreakBefore w:val="0"/>
        <w:widowControl w:val="1"/>
        <w:numPr>
          <w:ilvl w:val="1"/>
          <w:numId w:val="5"/>
        </w:numPr>
        <w:pBdr>
          <w:top w:space="0" w:sz="0" w:val="nil"/>
          <w:left w:space="0" w:sz="0" w:val="nil"/>
          <w:bottom w:space="0" w:sz="0" w:val="nil"/>
          <w:right w:space="0" w:sz="0" w:val="nil"/>
          <w:between w:space="0" w:sz="0" w:val="nil"/>
        </w:pBdr>
        <w:shd w:fill="auto" w:val="clear"/>
        <w:spacing w:after="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Podstatou spotřebitelské akce je nabídnout zákazníkům maloobchodních prodejen BILLA na území ČR možnost získat při splnění níže stanovených podmínek, hrnky, brašnu, zápisník, termolahev, batoh, skládací deštník Harry Potter (dále také i jen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Zboží</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za zvýhodněnou cenu oproti běžné maloobchodní prodejní ceně.</w:t>
      </w:r>
    </w:p>
    <w:p w:rsidR="00000000" w:rsidDel="00000000" w:rsidP="00000000" w:rsidRDefault="00000000" w:rsidRPr="00000000" w14:paraId="0000000E">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10">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Pravidla spotřebitelské akce</w:t>
      </w:r>
    </w:p>
    <w:p w:rsidR="00000000" w:rsidDel="00000000" w:rsidP="00000000" w:rsidRDefault="00000000" w:rsidRPr="00000000" w14:paraId="00000011">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numPr>
          <w:ilvl w:val="1"/>
          <w:numId w:val="1"/>
        </w:numPr>
        <w:ind w:left="720" w:hanging="72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Spotřebitelská akce bude probíhat takto:</w:t>
      </w:r>
    </w:p>
    <w:p w:rsidR="00000000" w:rsidDel="00000000" w:rsidP="00000000" w:rsidRDefault="00000000" w:rsidRPr="00000000" w14:paraId="00000013">
      <w:pPr>
        <w:ind w:left="720"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numPr>
          <w:ilvl w:val="2"/>
          <w:numId w:val="1"/>
        </w:numPr>
        <w:ind w:left="1418" w:hanging="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období od 27. 7. 2022 do 25. 10. 2022 budou zákazníci v případě svého zájmu dostávat za své nákupy uskutečněné v maloobchodních prodejnách BILLA v rámci České republiky na pokladně nálepky. Za každých celých 250,- Kč nákupní ceny (včetně DPH) obdrží zákazník jednu nálepku. Pro účely získání vyššího počtu nálepek není možné sčítat více různých nákupů jednoho zákazníka nebo nákupy více zákazníků, byť by byly uskutečněny během jednoho dne. </w:t>
      </w:r>
    </w:p>
    <w:p w:rsidR="00000000" w:rsidDel="00000000" w:rsidP="00000000" w:rsidRDefault="00000000" w:rsidRPr="00000000" w14:paraId="00000015">
      <w:pPr>
        <w:ind w:left="1418" w:firstLine="0"/>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numPr>
          <w:ilvl w:val="2"/>
          <w:numId w:val="1"/>
        </w:numPr>
        <w:ind w:left="1418" w:hanging="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Získané nálepky zákazník nalepí na hrací kartu, kterou získá po dobu trvání spotřebitelské akce na vyžádání na pokladně prodejen organizátora v České republice, nebo kterou si může stáhnout a vytisknout z webových stránek </w:t>
      </w:r>
      <w:hyperlink r:id="rId7">
        <w:r w:rsidDel="00000000" w:rsidR="00000000" w:rsidRPr="00000000">
          <w:rPr>
            <w:rFonts w:ascii="Calibri" w:cs="Calibri" w:eastAsia="Calibri" w:hAnsi="Calibri"/>
            <w:sz w:val="24"/>
            <w:szCs w:val="24"/>
            <w:rtl w:val="0"/>
          </w:rPr>
          <w:t xml:space="preserve">www.billa.cz</w:t>
        </w:r>
      </w:hyperlink>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7">
      <w:pPr>
        <w:ind w:left="1418"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8">
      <w:pPr>
        <w:numPr>
          <w:ilvl w:val="2"/>
          <w:numId w:val="1"/>
        </w:numPr>
        <w:ind w:left="1418" w:hanging="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Na jednu hrací kartu může zákazník nalepit maximálně 20 nálepek. </w:t>
      </w:r>
    </w:p>
    <w:p w:rsidR="00000000" w:rsidDel="00000000" w:rsidP="00000000" w:rsidRDefault="00000000" w:rsidRPr="00000000" w14:paraId="00000019">
      <w:pPr>
        <w:ind w:left="1418"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A">
      <w:pPr>
        <w:numPr>
          <w:ilvl w:val="2"/>
          <w:numId w:val="1"/>
        </w:numPr>
        <w:ind w:left="1418" w:hanging="709"/>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Pokud zákazník v době trvání spotřebitelské akce dle čl. 1.3 výše předloží na pokladně prodejny organizátora v rámci České republiky hrací kartu, na které bude vylepeno</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C">
      <w:pPr>
        <w:numPr>
          <w:ilvl w:val="3"/>
          <w:numId w:val="1"/>
        </w:numPr>
        <w:ind w:left="2552" w:hanging="1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všech 20 nálepek, má zákazník možnost koupit si HRNEK ČERNÁ MAGIE SVÍTÍCÍ VE TMĚ, 1 ks v balení, za zvýhodněnou maloobchodní cenu ve výši 49,00 Kč.</w:t>
      </w:r>
    </w:p>
    <w:p w:rsidR="00000000" w:rsidDel="00000000" w:rsidP="00000000" w:rsidRDefault="00000000" w:rsidRPr="00000000" w14:paraId="0000001D">
      <w:pPr>
        <w:numPr>
          <w:ilvl w:val="3"/>
          <w:numId w:val="1"/>
        </w:numPr>
        <w:ind w:left="2552" w:hanging="1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všech 20 nálepek, má zákazník možnost koupit si HRNEK KOLEJE SVÍTÍCÍ VE TMĚ, 1 ks v balení, za zvýhodněnou maloobchodní cenu ve výši 49,00 Kč.</w:t>
      </w:r>
    </w:p>
    <w:p w:rsidR="00000000" w:rsidDel="00000000" w:rsidP="00000000" w:rsidRDefault="00000000" w:rsidRPr="00000000" w14:paraId="0000001E">
      <w:pPr>
        <w:numPr>
          <w:ilvl w:val="3"/>
          <w:numId w:val="1"/>
        </w:numPr>
        <w:ind w:left="2552" w:hanging="1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všech 20 nálepek, má zákazník možnost koupit si PROMĚŇOVACÍ HRNEK ZPÁTKY DO BRADAVIC, za zvýhodněnou maloobchodní cenu ve výši 49,00 Kč.</w:t>
      </w:r>
    </w:p>
    <w:p w:rsidR="00000000" w:rsidDel="00000000" w:rsidP="00000000" w:rsidRDefault="00000000" w:rsidRPr="00000000" w14:paraId="0000001F">
      <w:pPr>
        <w:numPr>
          <w:ilvl w:val="3"/>
          <w:numId w:val="1"/>
        </w:numPr>
        <w:ind w:left="2552" w:hanging="1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všech 20 nálepek, má zákazník možnost koupit si PROMĚŇOVACÍ HRNEK FAMFRPÁL, 1 ks v balení, za zvýhodněnou maloobchodní cenu ve výši 49,00 Kč.</w:t>
      </w:r>
    </w:p>
    <w:p w:rsidR="00000000" w:rsidDel="00000000" w:rsidP="00000000" w:rsidRDefault="00000000" w:rsidRPr="00000000" w14:paraId="00000020">
      <w:pPr>
        <w:numPr>
          <w:ilvl w:val="3"/>
          <w:numId w:val="1"/>
        </w:numPr>
        <w:ind w:left="2552" w:hanging="1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všech 20 nálepek, má zákazník možnost koupit si BATOH HARRY POTTER, za zvýhodněnou maloobchodní cenu ve výši 399,00 Kč.</w:t>
      </w:r>
    </w:p>
    <w:p w:rsidR="00000000" w:rsidDel="00000000" w:rsidP="00000000" w:rsidRDefault="00000000" w:rsidRPr="00000000" w14:paraId="00000021">
      <w:pPr>
        <w:numPr>
          <w:ilvl w:val="3"/>
          <w:numId w:val="1"/>
        </w:numPr>
        <w:ind w:left="2552" w:hanging="1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všech 20 nálepek, má zákazník možnost koupit si BRAŠNU HARRY POTTER za zvýhodněnou maloobchodní cenu ve výši 199,90 Kč za jeden kus.</w:t>
      </w:r>
    </w:p>
    <w:p w:rsidR="00000000" w:rsidDel="00000000" w:rsidP="00000000" w:rsidRDefault="00000000" w:rsidRPr="00000000" w14:paraId="00000022">
      <w:pPr>
        <w:numPr>
          <w:ilvl w:val="3"/>
          <w:numId w:val="1"/>
        </w:numPr>
        <w:ind w:left="2552" w:hanging="1080"/>
        <w:jc w:val="both"/>
        <w:rPr>
          <w:rFonts w:ascii="Calibri" w:cs="Calibri" w:eastAsia="Calibri" w:hAnsi="Calibri"/>
          <w:sz w:val="24"/>
          <w:szCs w:val="24"/>
        </w:rPr>
      </w:pPr>
      <w:bookmarkStart w:colFirst="0" w:colLast="0" w:name="_heading=h.gjdgxs" w:id="0"/>
      <w:bookmarkEnd w:id="0"/>
      <w:r w:rsidDel="00000000" w:rsidR="00000000" w:rsidRPr="00000000">
        <w:rPr>
          <w:rFonts w:ascii="Calibri" w:cs="Calibri" w:eastAsia="Calibri" w:hAnsi="Calibri"/>
          <w:sz w:val="24"/>
          <w:szCs w:val="24"/>
          <w:rtl w:val="0"/>
        </w:rPr>
        <w:t xml:space="preserve">všech 20 nálepek, má zákazník možnost koupit si ZÁPISNÍK HARRY POTTER za zvýhodněnou maloobchodní cenu ve výši 49,00 Kč za jeden kus.</w:t>
      </w:r>
    </w:p>
    <w:p w:rsidR="00000000" w:rsidDel="00000000" w:rsidP="00000000" w:rsidRDefault="00000000" w:rsidRPr="00000000" w14:paraId="00000023">
      <w:pPr>
        <w:numPr>
          <w:ilvl w:val="3"/>
          <w:numId w:val="1"/>
        </w:numPr>
        <w:ind w:left="2552" w:hanging="1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všech 20 nálepek, má zákazník možnost koupit si TERMOLAHEV HARRY POTTER 0,5 l za zvýhodněnou maloobchodní cenu ve výši 149,00 Kč za jeden kus.</w:t>
      </w:r>
    </w:p>
    <w:p w:rsidR="00000000" w:rsidDel="00000000" w:rsidP="00000000" w:rsidRDefault="00000000" w:rsidRPr="00000000" w14:paraId="00000024">
      <w:pPr>
        <w:numPr>
          <w:ilvl w:val="3"/>
          <w:numId w:val="1"/>
        </w:numPr>
        <w:ind w:left="2552" w:hanging="1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všech 20 nálepek, má zákazník možnost koupit si SKLÁDACÍ DEŠTNÍK HARRY POTTER za zvýhodněnou maloobchodní cenu ve výši 149,00 Kč za jeden kus.</w:t>
      </w:r>
    </w:p>
    <w:p w:rsidR="00000000" w:rsidDel="00000000" w:rsidP="00000000" w:rsidRDefault="00000000" w:rsidRPr="00000000" w14:paraId="00000025">
      <w:pPr>
        <w:numPr>
          <w:ilvl w:val="3"/>
          <w:numId w:val="1"/>
        </w:numPr>
        <w:ind w:left="2552" w:hanging="1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všech 10 nálepek, má zákazník možnost koupit si HRNEK ČERNÁ MAGIE SVÍTÍCÍ VE TMĚ, 1 ks v balení, za zvýhodněnou maloobchodní cenu ve výši 129,00 Kč.</w:t>
      </w:r>
    </w:p>
    <w:p w:rsidR="00000000" w:rsidDel="00000000" w:rsidP="00000000" w:rsidRDefault="00000000" w:rsidRPr="00000000" w14:paraId="00000026">
      <w:pPr>
        <w:numPr>
          <w:ilvl w:val="3"/>
          <w:numId w:val="1"/>
        </w:numPr>
        <w:ind w:left="2552" w:hanging="1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všech nálepek, má zákazník možnost koupit si HRNEK KOLEJE SVÍTÍCÍ VE TMĚ, 1 ks v balení, za zvýhodněnou maloobchodní cenu ve výši 129,00 Kč.</w:t>
      </w:r>
    </w:p>
    <w:p w:rsidR="00000000" w:rsidDel="00000000" w:rsidP="00000000" w:rsidRDefault="00000000" w:rsidRPr="00000000" w14:paraId="00000027">
      <w:pPr>
        <w:numPr>
          <w:ilvl w:val="3"/>
          <w:numId w:val="1"/>
        </w:numPr>
        <w:ind w:left="2552" w:hanging="1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všech 10 nálepek, má zákazník možnost koupit si PROMĚŇOVACÍ HRNEK ZPÁTKY DO BRADAVIC, za zvýhodněnou maloobchodní cenu ve výši 129,00 Kč.</w:t>
      </w:r>
    </w:p>
    <w:p w:rsidR="00000000" w:rsidDel="00000000" w:rsidP="00000000" w:rsidRDefault="00000000" w:rsidRPr="00000000" w14:paraId="00000028">
      <w:pPr>
        <w:numPr>
          <w:ilvl w:val="3"/>
          <w:numId w:val="1"/>
        </w:numPr>
        <w:ind w:left="2552" w:hanging="1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všech 10 nálepek, má zákazník možnost koupit si PROMĚŇOVACÍ HRNEK FAMFRPÁL, 1 ks v balení, za zvýhodněnou maloobchodní cenu ve výši 129,00 Kč.</w:t>
      </w:r>
    </w:p>
    <w:p w:rsidR="00000000" w:rsidDel="00000000" w:rsidP="00000000" w:rsidRDefault="00000000" w:rsidRPr="00000000" w14:paraId="00000029">
      <w:pPr>
        <w:numPr>
          <w:ilvl w:val="3"/>
          <w:numId w:val="1"/>
        </w:numPr>
        <w:ind w:left="2552" w:hanging="1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všech 10 nálepek, má zákazník možnost koupit si BATOH HARRY POTTER, za zvýhodněnou maloobchodní cenu ve výši 599,00 Kč.</w:t>
      </w:r>
    </w:p>
    <w:p w:rsidR="00000000" w:rsidDel="00000000" w:rsidP="00000000" w:rsidRDefault="00000000" w:rsidRPr="00000000" w14:paraId="0000002A">
      <w:pPr>
        <w:numPr>
          <w:ilvl w:val="3"/>
          <w:numId w:val="1"/>
        </w:numPr>
        <w:ind w:left="2552" w:hanging="1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všech 10 nálepek, má zákazník možnost koupit si BRAŠNU HARRY POTTER za zvýhodněnou maloobchodní cenu ve výši 399,90 Kč za jeden kus.</w:t>
      </w:r>
    </w:p>
    <w:p w:rsidR="00000000" w:rsidDel="00000000" w:rsidP="00000000" w:rsidRDefault="00000000" w:rsidRPr="00000000" w14:paraId="0000002B">
      <w:pPr>
        <w:numPr>
          <w:ilvl w:val="3"/>
          <w:numId w:val="1"/>
        </w:numPr>
        <w:ind w:left="2552" w:hanging="1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Všech 10 nálepek, má zákazník možnost koupit si ZÁPISNÍK HARRY POTTER za zvýhodněnou maloobchodní cenu ve výši 99,00 Kč za jeden kus.</w:t>
      </w:r>
    </w:p>
    <w:p w:rsidR="00000000" w:rsidDel="00000000" w:rsidP="00000000" w:rsidRDefault="00000000" w:rsidRPr="00000000" w14:paraId="0000002C">
      <w:pPr>
        <w:numPr>
          <w:ilvl w:val="3"/>
          <w:numId w:val="1"/>
        </w:numPr>
        <w:ind w:left="2552" w:hanging="1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všech 10 nálepek, má zákazník možnost koupit si TERMOLAHEV HARRY POTTER 0,5 l za zvýhodněnou maloobchodní cenu ve výši 299,00 Kč za jeden kus.</w:t>
      </w:r>
    </w:p>
    <w:p w:rsidR="00000000" w:rsidDel="00000000" w:rsidP="00000000" w:rsidRDefault="00000000" w:rsidRPr="00000000" w14:paraId="0000002D">
      <w:pPr>
        <w:numPr>
          <w:ilvl w:val="3"/>
          <w:numId w:val="1"/>
        </w:numPr>
        <w:ind w:left="2552" w:hanging="108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všech 10 nálepek, má zákazník možnost koupit si SKLÁDACÍ DEŠTNÍK HARRY POTTER láhev na pití s vyluhováním za zvýhodněnou maloobchodní cenu ve výši 269,00 Kč za jeden kus.</w:t>
      </w:r>
    </w:p>
    <w:p w:rsidR="00000000" w:rsidDel="00000000" w:rsidP="00000000" w:rsidRDefault="00000000" w:rsidRPr="00000000" w14:paraId="0000002E">
      <w:pPr>
        <w:ind w:left="255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ind w:left="255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0">
      <w:pPr>
        <w:ind w:left="2552"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1">
      <w:pPr>
        <w:ind w:left="2552" w:firstLine="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32">
      <w:pPr>
        <w:numPr>
          <w:ilvl w:val="1"/>
          <w:numId w:val="3"/>
        </w:numPr>
        <w:tabs>
          <w:tab w:val="left" w:pos="0"/>
        </w:tabs>
        <w:ind w:left="720" w:hanging="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 dobu trvání spotřebitelské akce není možné zakoupit Zboží bez předložení hrací karty s příslušným počtem nálepek za plnou maloobchodní cenu organizátora. </w:t>
      </w:r>
    </w:p>
    <w:p w:rsidR="00000000" w:rsidDel="00000000" w:rsidP="00000000" w:rsidRDefault="00000000" w:rsidRPr="00000000" w14:paraId="00000033">
      <w:pPr>
        <w:tabs>
          <w:tab w:val="left" w:pos="0"/>
        </w:tabs>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4">
      <w:pPr>
        <w:numPr>
          <w:ilvl w:val="1"/>
          <w:numId w:val="3"/>
        </w:numPr>
        <w:tabs>
          <w:tab w:val="left" w:pos="0"/>
        </w:tabs>
        <w:ind w:left="720" w:hanging="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případě zájmu o získání Zboží dle pravidel této spotřebitelské akce  si zákazník na jím vybrané prodejně organizátora v České republice v prodejní části označené zpravidla logem spotřebitelské akce vybere jím zvolený druh Zboží a při placení u pokladny upozorní pokladní, že si přeje příslušné Zboží zakoupit za zvýhodněnou cenu v rámci spotřebitelské akce za současného předložení hrací karty, na které bude vylepen příslušný počet samolepek dle čl. 2.1.4 výše. Nebude-li na jeho hrací kartě v době nákupu řádně vylepen  dostatečný počet samolepek k uplatnění zvýhodněné ceny dle čl. 2.1.4 výše, nebude zákazníkovi  dané Zboží prodáno.</w:t>
      </w:r>
    </w:p>
    <w:p w:rsidR="00000000" w:rsidDel="00000000" w:rsidP="00000000" w:rsidRDefault="00000000" w:rsidRPr="00000000" w14:paraId="00000035">
      <w:pPr>
        <w:numPr>
          <w:ilvl w:val="1"/>
          <w:numId w:val="3"/>
        </w:numPr>
        <w:tabs>
          <w:tab w:val="left" w:pos="0"/>
        </w:tabs>
        <w:ind w:left="720" w:hanging="72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V průběhu trvání spotřebitelské akce může jeden zákazník v souladu s těmito pravidly uplatnit právo na nákup Zboží za zvýhodněných podmínek dle čl. 2.1.4 výše </w:t>
        <w:br w:type="textWrapping"/>
        <w:t xml:space="preserve">i opakovaně či ve vztahu k více druhům Zboží postupně či zároveň, bude-li mít dostatečný počet nasbíraných samolepek vylepených na dostatečném počtu hracích karet. </w:t>
      </w:r>
      <w:r w:rsidDel="00000000" w:rsidR="00000000" w:rsidRPr="00000000">
        <w:rPr>
          <w:rFonts w:ascii="Calibri" w:cs="Calibri" w:eastAsia="Calibri" w:hAnsi="Calibri"/>
          <w:sz w:val="24"/>
          <w:szCs w:val="24"/>
          <w:rtl w:val="0"/>
        </w:rPr>
        <w:t xml:space="preserve">Uvedená p</w:t>
      </w:r>
      <w:r w:rsidDel="00000000" w:rsidR="00000000" w:rsidRPr="00000000">
        <w:rPr>
          <w:rFonts w:ascii="Calibri" w:cs="Calibri" w:eastAsia="Calibri" w:hAnsi="Calibri"/>
          <w:color w:val="000000"/>
          <w:sz w:val="24"/>
          <w:szCs w:val="24"/>
          <w:rtl w:val="0"/>
        </w:rPr>
        <w:t xml:space="preserve">ráva zákazníka jsou však omezena aktuálními skladovými zásobami Zboží na prodejnách organizátora.</w:t>
      </w:r>
      <w:r w:rsidDel="00000000" w:rsidR="00000000" w:rsidRPr="00000000">
        <w:rPr>
          <w:rtl w:val="0"/>
        </w:rPr>
      </w:r>
    </w:p>
    <w:p w:rsidR="00000000" w:rsidDel="00000000" w:rsidP="00000000" w:rsidRDefault="00000000" w:rsidRPr="00000000" w14:paraId="00000036">
      <w:pPr>
        <w:tabs>
          <w:tab w:val="left" w:pos="0"/>
        </w:tabs>
        <w:ind w:left="720" w:firstLine="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 </w:t>
      </w:r>
      <w:r w:rsidDel="00000000" w:rsidR="00000000" w:rsidRPr="00000000">
        <w:rPr>
          <w:rtl w:val="0"/>
        </w:rPr>
      </w:r>
    </w:p>
    <w:p w:rsidR="00000000" w:rsidDel="00000000" w:rsidP="00000000" w:rsidRDefault="00000000" w:rsidRPr="00000000" w14:paraId="00000037">
      <w:pPr>
        <w:numPr>
          <w:ilvl w:val="1"/>
          <w:numId w:val="3"/>
        </w:numPr>
        <w:tabs>
          <w:tab w:val="left" w:pos="0"/>
        </w:tabs>
        <w:ind w:left="720" w:hanging="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Získané samolepky nemohou být dále použity k získání jakýchkoli jiných výhod nad rámec stanovený těmito pravidly; v rámci spotřebitelské akce nepoužité samolepky nebudou zákazníkům nijak refundovány. </w:t>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numPr>
          <w:ilvl w:val="1"/>
          <w:numId w:val="3"/>
        </w:numPr>
        <w:tabs>
          <w:tab w:val="left" w:pos="0"/>
        </w:tabs>
        <w:ind w:left="720" w:hanging="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případě odstoupení zákazníka od smlouvy o koupi Zboží z důvodu jeho neodstranitelných vad v souladu s obecně závaznými právními předpisy bude zákazníkovi vrácena vždy pouze skutečně zákazníkem zaplacená cena Zboží. </w:t>
      </w:r>
    </w:p>
    <w:p w:rsidR="00000000" w:rsidDel="00000000" w:rsidP="00000000" w:rsidRDefault="00000000" w:rsidRPr="00000000" w14:paraId="0000003A">
      <w:pPr>
        <w:tabs>
          <w:tab w:val="left" w:pos="0"/>
        </w:tabs>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B">
      <w:pPr>
        <w:numPr>
          <w:ilvl w:val="1"/>
          <w:numId w:val="3"/>
        </w:numPr>
        <w:tabs>
          <w:tab w:val="left" w:pos="0"/>
        </w:tabs>
        <w:ind w:left="720" w:hanging="720"/>
        <w:jc w:val="both"/>
        <w:rPr>
          <w:rFonts w:ascii="Calibri" w:cs="Calibri" w:eastAsia="Calibri" w:hAnsi="Calibri"/>
          <w:sz w:val="24"/>
          <w:szCs w:val="24"/>
        </w:rPr>
      </w:pPr>
      <w:r w:rsidDel="00000000" w:rsidR="00000000" w:rsidRPr="00000000">
        <w:rPr>
          <w:rFonts w:ascii="Calibri" w:cs="Calibri" w:eastAsia="Calibri" w:hAnsi="Calibri"/>
          <w:color w:val="000000"/>
          <w:sz w:val="24"/>
          <w:szCs w:val="24"/>
          <w:rtl w:val="0"/>
        </w:rPr>
        <w:t xml:space="preserve">Spotřebitelská akce je určena fyzickým osobám - zákazníkům prodejen BILLA. </w:t>
      </w:r>
      <w:r w:rsidDel="00000000" w:rsidR="00000000" w:rsidRPr="00000000">
        <w:rPr>
          <w:rtl w:val="0"/>
        </w:rPr>
      </w:r>
    </w:p>
    <w:p w:rsidR="00000000" w:rsidDel="00000000" w:rsidP="00000000" w:rsidRDefault="00000000" w:rsidRPr="00000000" w14:paraId="0000003C">
      <w:pPr>
        <w:tabs>
          <w:tab w:val="left" w:pos="0"/>
        </w:tabs>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3D">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 ohledem na skutečnost, že není možné předem zcela přesně předvídat, kolik zákazníků v průběhu spotřebitelské akce projeví zájem o nákup Zboží příslušného druhu, organizátor nezaručuje, že na všech prodejnách organizátora bude po celý průběh spotřebitelské akce vždy zachována dostatečná skladová zásoba všech druhů Zboží. </w:t>
      </w:r>
    </w:p>
    <w:p w:rsidR="00000000" w:rsidDel="00000000" w:rsidP="00000000" w:rsidRDefault="00000000" w:rsidRPr="00000000" w14:paraId="0000003E">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Samolepky využitelné pro účely zvýhodněného nákupu Zboží dle této spotřebitelské akce nelze směnit za hotovost ani je nelze využít k čerpání jiné slevy či výhody, nestanoví-li pravidla jiné spotřebitelské akce organizátora výslovně jinak. </w:t>
      </w:r>
    </w:p>
    <w:p w:rsidR="00000000" w:rsidDel="00000000" w:rsidP="00000000" w:rsidRDefault="00000000" w:rsidRPr="00000000" w14:paraId="0000003F">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Zákazník není oprávněn požadovat od organizátora akce žádné náhradní plnění, dodatečné slevy či jiné výhody v případě, že uplatnění nákupu Zboží za zvýhodněné ceny dle těchto pravidel nebude v průběhu spotřebitelské akce možné z důvodu vyčerpání skladových zásob v důsledku vysokého zájmu zákazníků, ani v případě, že zákazník uplatní právo na nákup Zboží za zvýhodněnou cenu až po skončení spotřebitelské akce. </w:t>
      </w:r>
    </w:p>
    <w:p w:rsidR="00000000" w:rsidDel="00000000" w:rsidP="00000000" w:rsidRDefault="00000000" w:rsidRPr="00000000" w14:paraId="00000040">
      <w:pPr>
        <w:keepNext w:val="0"/>
        <w:keepLines w:val="0"/>
        <w:pageBreakBefore w:val="0"/>
        <w:widowControl w:val="1"/>
        <w:numPr>
          <w:ilvl w:val="1"/>
          <w:numId w:val="3"/>
        </w:numPr>
        <w:pBdr>
          <w:top w:space="0" w:sz="0" w:val="nil"/>
          <w:left w:space="0" w:sz="0" w:val="nil"/>
          <w:bottom w:space="0" w:sz="0" w:val="nil"/>
          <w:right w:space="0" w:sz="0" w:val="nil"/>
          <w:between w:space="0" w:sz="0" w:val="nil"/>
        </w:pBdr>
        <w:shd w:fill="auto" w:val="clear"/>
        <w:spacing w:after="120" w:before="0" w:line="240" w:lineRule="auto"/>
        <w:ind w:left="720" w:right="0" w:hanging="72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Ustanovením čl. 2.10 výše není dotčeno právo organizátora poskytnout zákazníkovi v případech v čl. 2.10 uvedených jiné plnění či výhodu dle uvážení organizátora. </w:t>
      </w:r>
    </w:p>
    <w:p w:rsidR="00000000" w:rsidDel="00000000" w:rsidP="00000000" w:rsidRDefault="00000000" w:rsidRPr="00000000" w14:paraId="0000004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72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2">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Všeobecná a závěrečná ustanovení</w:t>
      </w:r>
      <w:r w:rsidDel="00000000" w:rsidR="00000000" w:rsidRPr="00000000">
        <w:rPr>
          <w:rtl w:val="0"/>
        </w:rPr>
      </w:r>
    </w:p>
    <w:p w:rsidR="00000000" w:rsidDel="00000000" w:rsidP="00000000" w:rsidRDefault="00000000" w:rsidRPr="00000000" w14:paraId="00000043">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4">
      <w:pPr>
        <w:numPr>
          <w:ilvl w:val="1"/>
          <w:numId w:val="2"/>
        </w:numPr>
        <w:tabs>
          <w:tab w:val="left" w:pos="0"/>
        </w:tabs>
        <w:ind w:left="720" w:hanging="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Organizátor si vyhrazuje právo z důležitých provozních či obdobných důvodů jednostranně upravit, doplnit či jinak změnit tato pravidla spotřebitelské akce, a to </w:t>
        <w:br w:type="textWrapping"/>
        <w:t xml:space="preserve">i po dobu jejího trvání. Organizátor akce je oprávněn spotřebitelskou akci bez náhrady kdykoliv zrušit, a to i bez udání důvodu, je však povinen zrušení spotřebitelské akce oznámit alespoň 48 hodin předem oznámením na internetových stránkách www.billa.cz. </w:t>
      </w:r>
    </w:p>
    <w:p w:rsidR="00000000" w:rsidDel="00000000" w:rsidP="00000000" w:rsidRDefault="00000000" w:rsidRPr="00000000" w14:paraId="00000045">
      <w:pPr>
        <w:ind w:left="720" w:firstLine="0"/>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6">
      <w:pPr>
        <w:numPr>
          <w:ilvl w:val="1"/>
          <w:numId w:val="2"/>
        </w:numPr>
        <w:ind w:left="720" w:hanging="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Samotné vydávání hracích karet anebo nálepek pro účast zákazníků na spotřebitelské akci nepředstavuje ze strany organizátora žádný návrh na uzavření smlouvy. Smluvní vztah mezi organizátorem a zákazníkem vzniká až v případě uzavření samotné kupní smlouvy o koupi Zboží na pokladně příslušné prodejny BILLA a jeho vznik je tedy podmíněn faktickou dostupností zboží na prodejně.  </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08"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8">
      <w:pPr>
        <w:numPr>
          <w:ilvl w:val="1"/>
          <w:numId w:val="2"/>
        </w:numPr>
        <w:ind w:left="720" w:hanging="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Tento dokument představuje úplná pravidla spotřebitelské akce. Základní informace o spotřebitelské akci mohou být ve zkrácené podobě uvedeny též na souvisejících propagačních materiálech organizátora, příp. na samotné hrací kartě. V případě rozporu mezi těmito pravidly spotřebitelské akce a informacemi uvedenými v propagačních či souvisejících materiálech určených zákazníkům platí znění těchto úplných pravidel.</w:t>
      </w:r>
    </w:p>
    <w:p w:rsidR="00000000" w:rsidDel="00000000" w:rsidP="00000000" w:rsidRDefault="00000000" w:rsidRPr="00000000" w14:paraId="0000004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A">
      <w:pPr>
        <w:numPr>
          <w:ilvl w:val="1"/>
          <w:numId w:val="2"/>
        </w:numPr>
        <w:ind w:left="720" w:hanging="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případě důvodného podezření na zneužití spotřebitelské akce či jednání zákazníka v rozporu s těmito pravidly, nebo v případě jednání zákazníka v rozporu s dobrými mravy či obecně závaznými právními předpisy v souvislosti se spotřebitelskou akcí si organizátor vyhrazuje právo neposkytnout takovému zákazníkovi možnost nákupu Zboží za zvýhodněnou cenu, byť by formálně naplnil podmínky stanovené v těchto pravidlech. Toto rozhodnutí organizátora je konečné, bez možnosti jakéhokoliv dalšího přezkumu.</w:t>
      </w:r>
    </w:p>
    <w:p w:rsidR="00000000" w:rsidDel="00000000" w:rsidP="00000000" w:rsidRDefault="00000000" w:rsidRPr="00000000" w14:paraId="0000004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C">
      <w:pPr>
        <w:numPr>
          <w:ilvl w:val="1"/>
          <w:numId w:val="2"/>
        </w:numPr>
        <w:ind w:left="720" w:hanging="720"/>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Tato pravidla spotřebitelské akce jsou k dispozici všem zákazníkům na internetových stránkách </w:t>
      </w:r>
      <w:hyperlink r:id="rId8">
        <w:r w:rsidDel="00000000" w:rsidR="00000000" w:rsidRPr="00000000">
          <w:rPr>
            <w:rFonts w:ascii="Calibri" w:cs="Calibri" w:eastAsia="Calibri" w:hAnsi="Calibri"/>
            <w:sz w:val="24"/>
            <w:szCs w:val="24"/>
            <w:rtl w:val="0"/>
          </w:rPr>
          <w:t xml:space="preserve">www.billa.cz</w:t>
        </w:r>
      </w:hyperlink>
      <w:r w:rsidDel="00000000" w:rsidR="00000000" w:rsidRPr="00000000">
        <w:rPr>
          <w:rFonts w:ascii="Calibri" w:cs="Calibri" w:eastAsia="Calibri" w:hAnsi="Calibri"/>
          <w:sz w:val="24"/>
          <w:szCs w:val="24"/>
          <w:rtl w:val="0"/>
        </w:rPr>
        <w:t xml:space="preserve"> nejméně po dobu trvání spotřebitelské akce. K nahlédnutí jsou tato pravidla uložena po dobu trvání spotřebitelské akce též na jednotlivých provozovnách organizátora České republice.  </w:t>
      </w:r>
    </w:p>
    <w:p w:rsidR="00000000" w:rsidDel="00000000" w:rsidP="00000000" w:rsidRDefault="00000000" w:rsidRPr="00000000" w14:paraId="0000004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Modleticích dne 14.7.2022</w:t>
      </w:r>
    </w:p>
    <w:sectPr>
      <w:pgSz w:h="16838" w:w="11906" w:orient="portrait"/>
      <w:pgMar w:bottom="1417" w:top="1417" w:left="1417" w:right="1417"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 w:name="Merriweather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2"/>
      <w:numFmt w:val="decimal"/>
      <w:lvlText w:val="%1"/>
      <w:lvlJc w:val="left"/>
      <w:pPr>
        <w:ind w:left="360" w:hanging="36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2214"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160" w:hanging="2160"/>
      </w:pPr>
      <w:rPr/>
    </w:lvl>
  </w:abstractNum>
  <w:abstractNum w:abstractNumId="2">
    <w:lvl w:ilvl="0">
      <w:start w:val="3"/>
      <w:numFmt w:val="decimal"/>
      <w:lvlText w:val="%1"/>
      <w:lvlJc w:val="left"/>
      <w:pPr>
        <w:ind w:left="360" w:hanging="360"/>
      </w:pPr>
      <w:rPr>
        <w:rFonts w:ascii="Merriweather Sans" w:cs="Merriweather Sans" w:eastAsia="Merriweather Sans" w:hAnsi="Merriweather Sans"/>
        <w:color w:val="000000"/>
      </w:rPr>
    </w:lvl>
    <w:lvl w:ilvl="1">
      <w:start w:val="1"/>
      <w:numFmt w:val="decimal"/>
      <w:lvlText w:val="%1.%2"/>
      <w:lvlJc w:val="left"/>
      <w:pPr>
        <w:ind w:left="720" w:hanging="720"/>
      </w:pPr>
      <w:rPr>
        <w:rFonts w:ascii="Calibri" w:cs="Calibri" w:eastAsia="Calibri" w:hAnsi="Calibri"/>
        <w:color w:val="000000"/>
      </w:rPr>
    </w:lvl>
    <w:lvl w:ilvl="2">
      <w:start w:val="1"/>
      <w:numFmt w:val="decimal"/>
      <w:lvlText w:val="%1.%2.%3"/>
      <w:lvlJc w:val="left"/>
      <w:pPr>
        <w:ind w:left="720" w:hanging="720"/>
      </w:pPr>
      <w:rPr>
        <w:rFonts w:ascii="Merriweather Sans" w:cs="Merriweather Sans" w:eastAsia="Merriweather Sans" w:hAnsi="Merriweather Sans"/>
        <w:color w:val="000000"/>
      </w:rPr>
    </w:lvl>
    <w:lvl w:ilvl="3">
      <w:start w:val="1"/>
      <w:numFmt w:val="decimal"/>
      <w:lvlText w:val="%1.%2.%3.%4"/>
      <w:lvlJc w:val="left"/>
      <w:pPr>
        <w:ind w:left="1080" w:hanging="1080"/>
      </w:pPr>
      <w:rPr>
        <w:rFonts w:ascii="Merriweather Sans" w:cs="Merriweather Sans" w:eastAsia="Merriweather Sans" w:hAnsi="Merriweather Sans"/>
        <w:color w:val="000000"/>
      </w:rPr>
    </w:lvl>
    <w:lvl w:ilvl="4">
      <w:start w:val="1"/>
      <w:numFmt w:val="decimal"/>
      <w:lvlText w:val="%1.%2.%3.%4.%5"/>
      <w:lvlJc w:val="left"/>
      <w:pPr>
        <w:ind w:left="1440" w:hanging="1440"/>
      </w:pPr>
      <w:rPr>
        <w:rFonts w:ascii="Merriweather Sans" w:cs="Merriweather Sans" w:eastAsia="Merriweather Sans" w:hAnsi="Merriweather Sans"/>
        <w:color w:val="000000"/>
      </w:rPr>
    </w:lvl>
    <w:lvl w:ilvl="5">
      <w:start w:val="1"/>
      <w:numFmt w:val="decimal"/>
      <w:lvlText w:val="%1.%2.%3.%4.%5.%6"/>
      <w:lvlJc w:val="left"/>
      <w:pPr>
        <w:ind w:left="1440" w:hanging="1440"/>
      </w:pPr>
      <w:rPr>
        <w:rFonts w:ascii="Merriweather Sans" w:cs="Merriweather Sans" w:eastAsia="Merriweather Sans" w:hAnsi="Merriweather Sans"/>
        <w:color w:val="000000"/>
      </w:rPr>
    </w:lvl>
    <w:lvl w:ilvl="6">
      <w:start w:val="1"/>
      <w:numFmt w:val="decimal"/>
      <w:lvlText w:val="%1.%2.%3.%4.%5.%6.%7"/>
      <w:lvlJc w:val="left"/>
      <w:pPr>
        <w:ind w:left="1800" w:hanging="1800"/>
      </w:pPr>
      <w:rPr>
        <w:rFonts w:ascii="Merriweather Sans" w:cs="Merriweather Sans" w:eastAsia="Merriweather Sans" w:hAnsi="Merriweather Sans"/>
        <w:color w:val="000000"/>
      </w:rPr>
    </w:lvl>
    <w:lvl w:ilvl="7">
      <w:start w:val="1"/>
      <w:numFmt w:val="decimal"/>
      <w:lvlText w:val="%1.%2.%3.%4.%5.%6.%7.%8"/>
      <w:lvlJc w:val="left"/>
      <w:pPr>
        <w:ind w:left="2160" w:hanging="2160"/>
      </w:pPr>
      <w:rPr>
        <w:rFonts w:ascii="Merriweather Sans" w:cs="Merriweather Sans" w:eastAsia="Merriweather Sans" w:hAnsi="Merriweather Sans"/>
        <w:color w:val="000000"/>
      </w:rPr>
    </w:lvl>
    <w:lvl w:ilvl="8">
      <w:start w:val="1"/>
      <w:numFmt w:val="decimal"/>
      <w:lvlText w:val="%1.%2.%3.%4.%5.%6.%7.%8.%9"/>
      <w:lvlJc w:val="left"/>
      <w:pPr>
        <w:ind w:left="2160" w:hanging="2160"/>
      </w:pPr>
      <w:rPr>
        <w:rFonts w:ascii="Merriweather Sans" w:cs="Merriweather Sans" w:eastAsia="Merriweather Sans" w:hAnsi="Merriweather Sans"/>
        <w:color w:val="000000"/>
      </w:rPr>
    </w:lvl>
  </w:abstractNum>
  <w:abstractNum w:abstractNumId="3">
    <w:lvl w:ilvl="0">
      <w:start w:val="2"/>
      <w:numFmt w:val="decimal"/>
      <w:lvlText w:val="%1."/>
      <w:lvlJc w:val="left"/>
      <w:pPr>
        <w:ind w:left="585" w:hanging="585"/>
      </w:pPr>
      <w:rPr/>
    </w:lvl>
    <w:lvl w:ilvl="1">
      <w:start w:val="2"/>
      <w:numFmt w:val="decimal"/>
      <w:lvlText w:val="%1.%2."/>
      <w:lvlJc w:val="left"/>
      <w:pPr>
        <w:ind w:left="720" w:hanging="720"/>
      </w:pPr>
      <w:rPr/>
    </w:lvl>
    <w:lvl w:ilvl="2">
      <w:start w:val="2"/>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080" w:hanging="1080"/>
      </w:pPr>
      <w:rPr/>
    </w:lvl>
    <w:lvl w:ilvl="5">
      <w:start w:val="1"/>
      <w:numFmt w:val="decimal"/>
      <w:lvlText w:val="%1.%2.%3.%4.%5.%6."/>
      <w:lvlJc w:val="left"/>
      <w:pPr>
        <w:ind w:left="1440" w:hanging="1440"/>
      </w:pPr>
      <w:rPr/>
    </w:lvl>
    <w:lvl w:ilvl="6">
      <w:start w:val="1"/>
      <w:numFmt w:val="decimal"/>
      <w:lvlText w:val="%1.%2.%3.%4.%5.%6.%7."/>
      <w:lvlJc w:val="left"/>
      <w:pPr>
        <w:ind w:left="1440" w:hanging="1440"/>
      </w:pPr>
      <w:rPr/>
    </w:lvl>
    <w:lvl w:ilvl="7">
      <w:start w:val="1"/>
      <w:numFmt w:val="decimal"/>
      <w:lvlText w:val="%1.%2.%3.%4.%5.%6.%7.%8."/>
      <w:lvlJc w:val="left"/>
      <w:pPr>
        <w:ind w:left="1800" w:hanging="1800"/>
      </w:pPr>
      <w:rPr/>
    </w:lvl>
    <w:lvl w:ilvl="8">
      <w:start w:val="1"/>
      <w:numFmt w:val="decimal"/>
      <w:lvlText w:val="%1.%2.%3.%4.%5.%6.%7.%8.%9."/>
      <w:lvlJc w:val="left"/>
      <w:pPr>
        <w:ind w:left="2160" w:hanging="2160"/>
      </w:pPr>
      <w:rPr/>
    </w:lvl>
  </w:abstractNum>
  <w:abstractNum w:abstractNumId="4">
    <w:lvl w:ilvl="0">
      <w:start w:val="1"/>
      <w:numFmt w:val="upperRoman"/>
      <w:lvlText w:val="%1."/>
      <w:lvlJc w:val="right"/>
      <w:pPr>
        <w:ind w:left="720" w:hanging="360"/>
      </w:pPr>
      <w:rPr>
        <w:b w:val="1"/>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360" w:hanging="360"/>
      </w:pPr>
      <w:rPr/>
    </w:lvl>
    <w:lvl w:ilvl="1">
      <w:start w:val="1"/>
      <w:numFmt w:val="decimal"/>
      <w:lvlText w:val="%1.%2"/>
      <w:lvlJc w:val="left"/>
      <w:pPr>
        <w:ind w:left="720" w:hanging="720"/>
      </w:pPr>
      <w:rPr/>
    </w:lvl>
    <w:lvl w:ilvl="2">
      <w:start w:val="1"/>
      <w:numFmt w:val="decimal"/>
      <w:lvlText w:val="%1.%2.%3"/>
      <w:lvlJc w:val="left"/>
      <w:pPr>
        <w:ind w:left="720" w:hanging="720"/>
      </w:pPr>
      <w:rPr/>
    </w:lvl>
    <w:lvl w:ilvl="3">
      <w:start w:val="1"/>
      <w:numFmt w:val="decimal"/>
      <w:lvlText w:val="%1.%2.%3.%4"/>
      <w:lvlJc w:val="left"/>
      <w:pPr>
        <w:ind w:left="1080" w:hanging="1080"/>
      </w:pPr>
      <w:rPr/>
    </w:lvl>
    <w:lvl w:ilvl="4">
      <w:start w:val="1"/>
      <w:numFmt w:val="decimal"/>
      <w:lvlText w:val="%1.%2.%3.%4.%5"/>
      <w:lvlJc w:val="left"/>
      <w:pPr>
        <w:ind w:left="1440" w:hanging="1440"/>
      </w:pPr>
      <w:rPr/>
    </w:lvl>
    <w:lvl w:ilvl="5">
      <w:start w:val="1"/>
      <w:numFmt w:val="decimal"/>
      <w:lvlText w:val="%1.%2.%3.%4.%5.%6"/>
      <w:lvlJc w:val="left"/>
      <w:pPr>
        <w:ind w:left="1440" w:hanging="1440"/>
      </w:pPr>
      <w:rPr/>
    </w:lvl>
    <w:lvl w:ilvl="6">
      <w:start w:val="1"/>
      <w:numFmt w:val="decimal"/>
      <w:lvlText w:val="%1.%2.%3.%4.%5.%6.%7"/>
      <w:lvlJc w:val="left"/>
      <w:pPr>
        <w:ind w:left="1800" w:hanging="1800"/>
      </w:pPr>
      <w:rPr/>
    </w:lvl>
    <w:lvl w:ilvl="7">
      <w:start w:val="1"/>
      <w:numFmt w:val="decimal"/>
      <w:lvlText w:val="%1.%2.%3.%4.%5.%6.%7.%8"/>
      <w:lvlJc w:val="left"/>
      <w:pPr>
        <w:ind w:left="2160" w:hanging="2160"/>
      </w:pPr>
      <w:rPr/>
    </w:lvl>
    <w:lvl w:ilvl="8">
      <w:start w:val="1"/>
      <w:numFmt w:val="decimal"/>
      <w:lvlText w:val="%1.%2.%3.%4.%5.%6.%7.%8.%9"/>
      <w:lvlJc w:val="left"/>
      <w:pPr>
        <w:ind w:left="2160" w:hanging="2160"/>
      </w:pPr>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120" w:before="240" w:lineRule="auto"/>
      <w:ind w:left="432" w:hanging="432"/>
    </w:pPr>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ln" w:default="1">
    <w:name w:val="Normal"/>
    <w:qFormat w:val="1"/>
    <w:pPr>
      <w:suppressAutoHyphens w:val="1"/>
    </w:pPr>
    <w:rPr>
      <w:lang w:eastAsia="en-US" w:val="en-US"/>
    </w:rPr>
  </w:style>
  <w:style w:type="paragraph" w:styleId="Nadpis1">
    <w:name w:val="heading 1"/>
    <w:basedOn w:val="Heading"/>
    <w:next w:val="Zkladntext"/>
    <w:qFormat w:val="1"/>
    <w:pPr>
      <w:numPr>
        <w:numId w:val="1"/>
      </w:numPr>
      <w:outlineLvl w:val="0"/>
    </w:p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character" w:styleId="WW8Num1z0" w:customStyle="1">
    <w:name w:val="WW8Num1z0"/>
  </w:style>
  <w:style w:type="character" w:styleId="WW8Num2z0" w:customStyle="1">
    <w:name w:val="WW8Num2z0"/>
  </w:style>
  <w:style w:type="character" w:styleId="WW8Num3z0" w:customStyle="1">
    <w:name w:val="WW8Num3z0"/>
  </w:style>
  <w:style w:type="character" w:styleId="WW8Num4z0" w:customStyle="1">
    <w:name w:val="WW8Num4z0"/>
  </w:style>
  <w:style w:type="character" w:styleId="WW8Num5z0" w:customStyle="1">
    <w:name w:val="WW8Num5z0"/>
    <w:rPr>
      <w:rFonts w:hint="default"/>
    </w:rPr>
  </w:style>
  <w:style w:type="character" w:styleId="WW8Num5z1" w:customStyle="1">
    <w:name w:val="WW8Num5z1"/>
  </w:style>
  <w:style w:type="character" w:styleId="WW8Num5z2" w:customStyle="1">
    <w:name w:val="WW8Num5z2"/>
  </w:style>
  <w:style w:type="character" w:styleId="WW8Num5z3" w:customStyle="1">
    <w:name w:val="WW8Num5z3"/>
  </w:style>
  <w:style w:type="character" w:styleId="WW8Num5z4" w:customStyle="1">
    <w:name w:val="WW8Num5z4"/>
  </w:style>
  <w:style w:type="character" w:styleId="WW8Num5z5" w:customStyle="1">
    <w:name w:val="WW8Num5z5"/>
  </w:style>
  <w:style w:type="character" w:styleId="WW8Num5z6" w:customStyle="1">
    <w:name w:val="WW8Num5z6"/>
  </w:style>
  <w:style w:type="character" w:styleId="WW8Num5z7" w:customStyle="1">
    <w:name w:val="WW8Num5z7"/>
  </w:style>
  <w:style w:type="character" w:styleId="WW8Num5z8" w:customStyle="1">
    <w:name w:val="WW8Num5z8"/>
  </w:style>
  <w:style w:type="character" w:styleId="WW8Num6z0" w:customStyle="1">
    <w:name w:val="WW8Num6z0"/>
    <w:rPr>
      <w:rFonts w:hint="default"/>
    </w:rPr>
  </w:style>
  <w:style w:type="character" w:styleId="WW8Num6z1" w:customStyle="1">
    <w:name w:val="WW8Num6z1"/>
  </w:style>
  <w:style w:type="character" w:styleId="WW8Num6z2" w:customStyle="1">
    <w:name w:val="WW8Num6z2"/>
  </w:style>
  <w:style w:type="character" w:styleId="WW8Num6z3" w:customStyle="1">
    <w:name w:val="WW8Num6z3"/>
  </w:style>
  <w:style w:type="character" w:styleId="WW8Num6z4" w:customStyle="1">
    <w:name w:val="WW8Num6z4"/>
  </w:style>
  <w:style w:type="character" w:styleId="WW8Num6z5" w:customStyle="1">
    <w:name w:val="WW8Num6z5"/>
  </w:style>
  <w:style w:type="character" w:styleId="WW8Num6z6" w:customStyle="1">
    <w:name w:val="WW8Num6z6"/>
  </w:style>
  <w:style w:type="character" w:styleId="WW8Num6z7" w:customStyle="1">
    <w:name w:val="WW8Num6z7"/>
  </w:style>
  <w:style w:type="character" w:styleId="WW8Num6z8" w:customStyle="1">
    <w:name w:val="WW8Num6z8"/>
  </w:style>
  <w:style w:type="character" w:styleId="WW8Num1z1" w:customStyle="1">
    <w:name w:val="WW8Num1z1"/>
    <w:rPr>
      <w:rFonts w:ascii="Courier New" w:cs="Courier New" w:hAnsi="Courier New" w:hint="default"/>
    </w:rPr>
  </w:style>
  <w:style w:type="character" w:styleId="WW8Num1z3" w:customStyle="1">
    <w:name w:val="WW8Num1z3"/>
    <w:rPr>
      <w:rFonts w:ascii="Symbol" w:cs="Symbol" w:hAnsi="Symbol" w:hint="default"/>
    </w:rPr>
  </w:style>
  <w:style w:type="character" w:styleId="WW8Num2z1" w:customStyle="1">
    <w:name w:val="WW8Num2z1"/>
  </w:style>
  <w:style w:type="character" w:styleId="WW8Num2z2" w:customStyle="1">
    <w:name w:val="WW8Num2z2"/>
  </w:style>
  <w:style w:type="character" w:styleId="WW8Num2z3" w:customStyle="1">
    <w:name w:val="WW8Num2z3"/>
  </w:style>
  <w:style w:type="character" w:styleId="WW8Num2z4" w:customStyle="1">
    <w:name w:val="WW8Num2z4"/>
  </w:style>
  <w:style w:type="character" w:styleId="WW8Num2z5" w:customStyle="1">
    <w:name w:val="WW8Num2z5"/>
  </w:style>
  <w:style w:type="character" w:styleId="WW8Num2z6" w:customStyle="1">
    <w:name w:val="WW8Num2z6"/>
  </w:style>
  <w:style w:type="character" w:styleId="WW8Num2z7" w:customStyle="1">
    <w:name w:val="WW8Num2z7"/>
  </w:style>
  <w:style w:type="character" w:styleId="WW8Num2z8" w:customStyle="1">
    <w:name w:val="WW8Num2z8"/>
  </w:style>
  <w:style w:type="character" w:styleId="WW8Num3z1" w:customStyle="1">
    <w:name w:val="WW8Num3z1"/>
  </w:style>
  <w:style w:type="character" w:styleId="WW8Num3z2" w:customStyle="1">
    <w:name w:val="WW8Num3z2"/>
  </w:style>
  <w:style w:type="character" w:styleId="WW8Num3z3" w:customStyle="1">
    <w:name w:val="WW8Num3z3"/>
  </w:style>
  <w:style w:type="character" w:styleId="WW8Num3z4" w:customStyle="1">
    <w:name w:val="WW8Num3z4"/>
  </w:style>
  <w:style w:type="character" w:styleId="WW8Num3z5" w:customStyle="1">
    <w:name w:val="WW8Num3z5"/>
  </w:style>
  <w:style w:type="character" w:styleId="WW8Num3z6" w:customStyle="1">
    <w:name w:val="WW8Num3z6"/>
  </w:style>
  <w:style w:type="character" w:styleId="WW8Num3z7" w:customStyle="1">
    <w:name w:val="WW8Num3z7"/>
  </w:style>
  <w:style w:type="character" w:styleId="WW8Num3z8" w:customStyle="1">
    <w:name w:val="WW8Num3z8"/>
  </w:style>
  <w:style w:type="character" w:styleId="WW8Num4z1" w:customStyle="1">
    <w:name w:val="WW8Num4z1"/>
  </w:style>
  <w:style w:type="character" w:styleId="WW8Num4z2" w:customStyle="1">
    <w:name w:val="WW8Num4z2"/>
  </w:style>
  <w:style w:type="character" w:styleId="WW8Num4z3" w:customStyle="1">
    <w:name w:val="WW8Num4z3"/>
  </w:style>
  <w:style w:type="character" w:styleId="WW8Num4z4" w:customStyle="1">
    <w:name w:val="WW8Num4z4"/>
  </w:style>
  <w:style w:type="character" w:styleId="WW8Num4z5" w:customStyle="1">
    <w:name w:val="WW8Num4z5"/>
  </w:style>
  <w:style w:type="character" w:styleId="WW8Num4z6" w:customStyle="1">
    <w:name w:val="WW8Num4z6"/>
  </w:style>
  <w:style w:type="character" w:styleId="WW8Num4z7" w:customStyle="1">
    <w:name w:val="WW8Num4z7"/>
  </w:style>
  <w:style w:type="character" w:styleId="WW8Num4z8" w:customStyle="1">
    <w:name w:val="WW8Num4z8"/>
  </w:style>
  <w:style w:type="character" w:styleId="WW8Num7z0" w:customStyle="1">
    <w:name w:val="WW8Num7z0"/>
  </w:style>
  <w:style w:type="character" w:styleId="WW8Num7z1" w:customStyle="1">
    <w:name w:val="WW8Num7z1"/>
  </w:style>
  <w:style w:type="character" w:styleId="WW8Num7z2" w:customStyle="1">
    <w:name w:val="WW8Num7z2"/>
  </w:style>
  <w:style w:type="character" w:styleId="WW8Num7z3" w:customStyle="1">
    <w:name w:val="WW8Num7z3"/>
  </w:style>
  <w:style w:type="character" w:styleId="WW8Num7z4" w:customStyle="1">
    <w:name w:val="WW8Num7z4"/>
  </w:style>
  <w:style w:type="character" w:styleId="WW8Num7z5" w:customStyle="1">
    <w:name w:val="WW8Num7z5"/>
  </w:style>
  <w:style w:type="character" w:styleId="WW8Num7z6" w:customStyle="1">
    <w:name w:val="WW8Num7z6"/>
  </w:style>
  <w:style w:type="character" w:styleId="WW8Num7z7" w:customStyle="1">
    <w:name w:val="WW8Num7z7"/>
  </w:style>
  <w:style w:type="character" w:styleId="WW8Num7z8" w:customStyle="1">
    <w:name w:val="WW8Num7z8"/>
  </w:style>
  <w:style w:type="character" w:styleId="WW8Num8z0" w:customStyle="1">
    <w:name w:val="WW8Num8z0"/>
  </w:style>
  <w:style w:type="character" w:styleId="WW8Num8z1" w:customStyle="1">
    <w:name w:val="WW8Num8z1"/>
  </w:style>
  <w:style w:type="character" w:styleId="WW8Num8z2" w:customStyle="1">
    <w:name w:val="WW8Num8z2"/>
  </w:style>
  <w:style w:type="character" w:styleId="WW8Num8z3" w:customStyle="1">
    <w:name w:val="WW8Num8z3"/>
  </w:style>
  <w:style w:type="character" w:styleId="WW8Num8z4" w:customStyle="1">
    <w:name w:val="WW8Num8z4"/>
  </w:style>
  <w:style w:type="character" w:styleId="WW8Num8z5" w:customStyle="1">
    <w:name w:val="WW8Num8z5"/>
  </w:style>
  <w:style w:type="character" w:styleId="WW8Num8z6" w:customStyle="1">
    <w:name w:val="WW8Num8z6"/>
  </w:style>
  <w:style w:type="character" w:styleId="WW8Num8z7" w:customStyle="1">
    <w:name w:val="WW8Num8z7"/>
  </w:style>
  <w:style w:type="character" w:styleId="WW8Num8z8" w:customStyle="1">
    <w:name w:val="WW8Num8z8"/>
  </w:style>
  <w:style w:type="character" w:styleId="WW8Num9z0" w:customStyle="1">
    <w:name w:val="WW8Num9z0"/>
  </w:style>
  <w:style w:type="character" w:styleId="WW8Num9z1" w:customStyle="1">
    <w:name w:val="WW8Num9z1"/>
    <w:rPr>
      <w:rFonts w:ascii="Courier New" w:cs="Courier New" w:hAnsi="Courier New" w:hint="default"/>
    </w:rPr>
  </w:style>
  <w:style w:type="character" w:styleId="WW8Num9z2" w:customStyle="1">
    <w:name w:val="WW8Num9z2"/>
    <w:rPr>
      <w:rFonts w:ascii="Wingdings" w:cs="Wingdings" w:hAnsi="Wingdings" w:hint="default"/>
    </w:rPr>
  </w:style>
  <w:style w:type="character" w:styleId="WW8Num9z3" w:customStyle="1">
    <w:name w:val="WW8Num9z3"/>
    <w:rPr>
      <w:rFonts w:ascii="Symbol" w:cs="Symbol" w:hAnsi="Symbol" w:hint="default"/>
    </w:rPr>
  </w:style>
  <w:style w:type="character" w:styleId="Predvolenpsmoodseku1" w:customStyle="1">
    <w:name w:val="Predvolené písmo odseku1"/>
  </w:style>
  <w:style w:type="character" w:styleId="Hypertextovodkaz">
    <w:name w:val="Hyperlink"/>
  </w:style>
  <w:style w:type="character" w:styleId="TextbublinyChar" w:customStyle="1">
    <w:name w:val="Text bubliny Char"/>
  </w:style>
  <w:style w:type="character" w:styleId="Odkaznakomentr1" w:customStyle="1">
    <w:name w:val="Odkaz na komentár1"/>
    <w:rPr>
      <w:sz w:val="16"/>
      <w:szCs w:val="16"/>
    </w:rPr>
  </w:style>
  <w:style w:type="character" w:styleId="TextkomentraChar" w:customStyle="1">
    <w:name w:val="Text komentára Char"/>
  </w:style>
  <w:style w:type="character" w:styleId="PredmetkomentraChar" w:customStyle="1">
    <w:name w:val="Predmet komentára Char"/>
  </w:style>
  <w:style w:type="paragraph" w:styleId="Heading" w:customStyle="1">
    <w:name w:val="Heading"/>
    <w:basedOn w:val="Normln"/>
    <w:next w:val="Zkladntext"/>
    <w:pPr>
      <w:keepNext w:val="1"/>
      <w:spacing w:after="120" w:before="240"/>
    </w:pPr>
  </w:style>
  <w:style w:type="paragraph" w:styleId="Zkladntext">
    <w:name w:val="Body Text"/>
    <w:basedOn w:val="Normln"/>
    <w:pPr>
      <w:spacing w:after="120"/>
    </w:pPr>
  </w:style>
  <w:style w:type="paragraph" w:styleId="Seznam">
    <w:name w:val="List"/>
    <w:basedOn w:val="Zkladntext"/>
    <w:rPr>
      <w:rFonts w:cs="Mangal"/>
    </w:rPr>
  </w:style>
  <w:style w:type="paragraph" w:styleId="Titulek">
    <w:name w:val="caption"/>
    <w:basedOn w:val="Normln"/>
    <w:qFormat w:val="1"/>
    <w:pPr>
      <w:suppressLineNumbers w:val="1"/>
      <w:spacing w:after="120" w:before="120"/>
    </w:pPr>
  </w:style>
  <w:style w:type="paragraph" w:styleId="Index" w:customStyle="1">
    <w:name w:val="Index"/>
    <w:basedOn w:val="Normln"/>
    <w:pPr>
      <w:suppressLineNumbers w:val="1"/>
    </w:pPr>
    <w:rPr>
      <w:rFonts w:cs="Mangal"/>
    </w:rPr>
  </w:style>
  <w:style w:type="paragraph" w:styleId="Odsekzoznamu1" w:customStyle="1">
    <w:name w:val="Odsek zoznamu1"/>
    <w:basedOn w:val="Normln"/>
    <w:pPr>
      <w:ind w:left="708"/>
    </w:pPr>
  </w:style>
  <w:style w:type="paragraph" w:styleId="Textbubliny1" w:customStyle="1">
    <w:name w:val="Text bubliny1"/>
    <w:basedOn w:val="Normln"/>
  </w:style>
  <w:style w:type="paragraph" w:styleId="Textkomentra1" w:customStyle="1">
    <w:name w:val="Text komentára1"/>
    <w:basedOn w:val="Normln"/>
  </w:style>
  <w:style w:type="paragraph" w:styleId="Predmetkomentra1" w:customStyle="1">
    <w:name w:val="Predmet komentára1"/>
    <w:basedOn w:val="Textkomentra1"/>
    <w:next w:val="Textkomentra1"/>
    <w:rPr>
      <w:b w:val="1"/>
      <w:bCs w:val="1"/>
    </w:rPr>
  </w:style>
  <w:style w:type="paragraph" w:styleId="Revzia1" w:customStyle="1">
    <w:name w:val="Revízia1"/>
    <w:pPr>
      <w:suppressAutoHyphens w:val="1"/>
    </w:pPr>
    <w:rPr>
      <w:lang w:eastAsia="en-US" w:val="en-US"/>
    </w:rPr>
  </w:style>
  <w:style w:type="paragraph" w:styleId="Textbubliny">
    <w:name w:val="Balloon Text"/>
    <w:basedOn w:val="Normln"/>
    <w:link w:val="TextbublinyChar1"/>
    <w:uiPriority w:val="99"/>
    <w:semiHidden w:val="1"/>
    <w:unhideWhenUsed w:val="1"/>
    <w:rsid w:val="00B135B0"/>
    <w:rPr>
      <w:rFonts w:ascii="Tahoma" w:cs="Tahoma" w:hAnsi="Tahoma"/>
      <w:sz w:val="16"/>
      <w:szCs w:val="16"/>
    </w:rPr>
  </w:style>
  <w:style w:type="character" w:styleId="TextbublinyChar1" w:customStyle="1">
    <w:name w:val="Text bubliny Char1"/>
    <w:link w:val="Textbubliny"/>
    <w:uiPriority w:val="99"/>
    <w:semiHidden w:val="1"/>
    <w:rsid w:val="00B135B0"/>
    <w:rPr>
      <w:rFonts w:ascii="Tahoma" w:cs="Tahoma" w:hAnsi="Tahoma"/>
      <w:sz w:val="16"/>
      <w:szCs w:val="16"/>
      <w:lang w:eastAsia="en-US" w:val="en-US"/>
    </w:rPr>
  </w:style>
  <w:style w:type="character" w:styleId="Odkaznakoment">
    <w:name w:val="annotation reference"/>
    <w:uiPriority w:val="99"/>
    <w:semiHidden w:val="1"/>
    <w:unhideWhenUsed w:val="1"/>
    <w:rsid w:val="00A271AB"/>
    <w:rPr>
      <w:sz w:val="16"/>
      <w:szCs w:val="16"/>
    </w:rPr>
  </w:style>
  <w:style w:type="paragraph" w:styleId="Textkomente">
    <w:name w:val="annotation text"/>
    <w:basedOn w:val="Normln"/>
    <w:link w:val="TextkomenteChar"/>
    <w:uiPriority w:val="99"/>
    <w:unhideWhenUsed w:val="1"/>
    <w:rsid w:val="00A271AB"/>
  </w:style>
  <w:style w:type="character" w:styleId="TextkomenteChar" w:customStyle="1">
    <w:name w:val="Text komentáře Char"/>
    <w:link w:val="Textkomente"/>
    <w:uiPriority w:val="99"/>
    <w:rsid w:val="00A271AB"/>
    <w:rPr>
      <w:lang w:eastAsia="en-US" w:val="en-US"/>
    </w:rPr>
  </w:style>
  <w:style w:type="paragraph" w:styleId="Pedmtkomente">
    <w:name w:val="annotation subject"/>
    <w:basedOn w:val="Textkomente"/>
    <w:next w:val="Textkomente"/>
    <w:link w:val="PedmtkomenteChar"/>
    <w:uiPriority w:val="99"/>
    <w:semiHidden w:val="1"/>
    <w:unhideWhenUsed w:val="1"/>
    <w:rsid w:val="00A271AB"/>
    <w:rPr>
      <w:b w:val="1"/>
      <w:bCs w:val="1"/>
    </w:rPr>
  </w:style>
  <w:style w:type="character" w:styleId="PedmtkomenteChar" w:customStyle="1">
    <w:name w:val="Předmět komentáře Char"/>
    <w:link w:val="Pedmtkomente"/>
    <w:uiPriority w:val="99"/>
    <w:semiHidden w:val="1"/>
    <w:rsid w:val="00A271AB"/>
    <w:rPr>
      <w:b w:val="1"/>
      <w:bCs w:val="1"/>
      <w:lang w:eastAsia="en-US" w:val="en-US"/>
    </w:rPr>
  </w:style>
  <w:style w:type="paragraph" w:styleId="Odstavecseseznamem">
    <w:name w:val="List Paragraph"/>
    <w:basedOn w:val="Normln"/>
    <w:uiPriority w:val="72"/>
    <w:qFormat w:val="1"/>
    <w:rsid w:val="00A30EF9"/>
    <w:pPr>
      <w:ind w:left="708"/>
    </w:pPr>
  </w:style>
  <w:style w:type="paragraph" w:styleId="Revize">
    <w:name w:val="Revision"/>
    <w:hidden w:val="1"/>
    <w:uiPriority w:val="71"/>
    <w:rsid w:val="00FB1D24"/>
    <w:rPr>
      <w:lang w:eastAsia="en-US"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billa.cz" TargetMode="External"/><Relationship Id="rId8" Type="http://schemas.openxmlformats.org/officeDocument/2006/relationships/hyperlink" Target="http://www.billa.cz"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erriweatherSans-regular.ttf"/><Relationship Id="rId2" Type="http://schemas.openxmlformats.org/officeDocument/2006/relationships/font" Target="fonts/MerriweatherSans-bold.ttf"/><Relationship Id="rId3" Type="http://schemas.openxmlformats.org/officeDocument/2006/relationships/font" Target="fonts/MerriweatherSans-italic.ttf"/><Relationship Id="rId4" Type="http://schemas.openxmlformats.org/officeDocument/2006/relationships/font" Target="fonts/MerriweatherSans-boldItalic.ttf"/></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O4jIEkvSXGzxc+B9xTMruRErCw==">AMUW2mUpeh/CB9FayLiiIhRcKx5H//WtK1WH13LCjREAeRiuDmnskrh8RFin37em7OXxGxEF6QNmPceDHTIBV/eknJzoI2+13D57ODYtQ3aJ8MwGLNOYdA/UmhEr5FiZW2GU7uRDfbnr</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2022-07-12T13:17:00Z</dcterms:created>
  <dc:creator>Jelinkova Bohumila</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0x010100095E070F31E22A4785A510B1AA2C2C66</vt:lpwstr>
  </property>
</Properties>
</file>