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76E1A" w14:textId="77777777" w:rsidR="006B165E" w:rsidRDefault="006B165E" w:rsidP="00D849C0">
      <w:pPr>
        <w:jc w:val="center"/>
        <w:rPr>
          <w:rFonts w:asciiTheme="minorHAnsi" w:hAnsiTheme="minorHAnsi" w:cstheme="minorHAnsi"/>
          <w:b/>
        </w:rPr>
      </w:pPr>
    </w:p>
    <w:p w14:paraId="7228E95F" w14:textId="77777777" w:rsidR="00D849C0" w:rsidRPr="00D849C0" w:rsidRDefault="00113A5A" w:rsidP="006B165E">
      <w:pPr>
        <w:jc w:val="center"/>
        <w:rPr>
          <w:rFonts w:asciiTheme="minorHAnsi" w:hAnsiTheme="minorHAnsi" w:cstheme="minorHAnsi"/>
        </w:rPr>
      </w:pPr>
      <w:r>
        <w:rPr>
          <w:rFonts w:asciiTheme="minorHAnsi" w:hAnsiTheme="minorHAnsi" w:cstheme="minorHAnsi"/>
          <w:b/>
        </w:rPr>
        <w:t>Public Accounts Committee inquiry into HMRC customer service</w:t>
      </w:r>
    </w:p>
    <w:p w14:paraId="268DDC8C" w14:textId="77777777" w:rsidR="00D849C0" w:rsidRDefault="00D849C0" w:rsidP="00F04DC4">
      <w:pPr>
        <w:jc w:val="center"/>
        <w:rPr>
          <w:rFonts w:asciiTheme="minorHAnsi" w:hAnsiTheme="minorHAnsi" w:cstheme="minorHAnsi"/>
          <w:b/>
        </w:rPr>
      </w:pPr>
      <w:r w:rsidRPr="00D849C0">
        <w:rPr>
          <w:rFonts w:asciiTheme="minorHAnsi" w:hAnsiTheme="minorHAnsi" w:cstheme="minorHAnsi"/>
          <w:b/>
        </w:rPr>
        <w:t>Response by the Chartered Institute of Taxation</w:t>
      </w:r>
    </w:p>
    <w:p w14:paraId="2B52A43A" w14:textId="77777777" w:rsidR="00F04DC4" w:rsidRPr="00F04DC4" w:rsidRDefault="00F04DC4" w:rsidP="00F04DC4">
      <w:pPr>
        <w:jc w:val="center"/>
        <w:rPr>
          <w:rFonts w:asciiTheme="minorHAnsi" w:hAnsiTheme="minorHAnsi" w:cstheme="minorHAnsi"/>
          <w:b/>
        </w:rPr>
      </w:pPr>
    </w:p>
    <w:p w14:paraId="1C7315D8" w14:textId="77777777" w:rsidR="00084825" w:rsidRPr="00405DCD" w:rsidRDefault="00084825" w:rsidP="002E1AB7">
      <w:pPr>
        <w:pStyle w:val="ListParagraph"/>
        <w:numPr>
          <w:ilvl w:val="0"/>
          <w:numId w:val="6"/>
        </w:numPr>
        <w:contextualSpacing w:val="0"/>
        <w:jc w:val="both"/>
        <w:rPr>
          <w:rFonts w:asciiTheme="minorHAnsi" w:hAnsiTheme="minorHAnsi" w:cstheme="minorHAnsi"/>
          <w:b/>
          <w:bCs/>
        </w:rPr>
      </w:pPr>
      <w:r w:rsidRPr="00405DCD">
        <w:rPr>
          <w:rFonts w:asciiTheme="minorHAnsi" w:hAnsiTheme="minorHAnsi" w:cstheme="minorHAnsi"/>
          <w:b/>
          <w:bCs/>
        </w:rPr>
        <w:t>Executive Summary</w:t>
      </w:r>
    </w:p>
    <w:p w14:paraId="0619D1F8" w14:textId="77777777" w:rsidR="00084825" w:rsidRDefault="00084825" w:rsidP="002E1AB7">
      <w:pPr>
        <w:pStyle w:val="ListParagraph"/>
        <w:numPr>
          <w:ilvl w:val="1"/>
          <w:numId w:val="6"/>
        </w:numPr>
        <w:contextualSpacing w:val="0"/>
        <w:jc w:val="both"/>
        <w:rPr>
          <w:rFonts w:asciiTheme="minorHAnsi" w:hAnsiTheme="minorHAnsi" w:cstheme="minorHAnsi"/>
        </w:rPr>
      </w:pPr>
      <w:r w:rsidRPr="00084825">
        <w:rPr>
          <w:rFonts w:asciiTheme="minorHAnsi" w:hAnsiTheme="minorHAnsi" w:cstheme="minorHAnsi"/>
        </w:rPr>
        <w:t xml:space="preserve">The Chartered Institute of Taxation (CIOT) is the leading professional body in the UK for advisers dealing with all aspects of taxation. We are a charity and our primary purpose is to promote education in taxation with a key aim of achieving a more efficient and less complex tax system for all. We draw on the experience of our </w:t>
      </w:r>
      <w:r w:rsidR="00213777">
        <w:rPr>
          <w:rFonts w:asciiTheme="minorHAnsi" w:hAnsiTheme="minorHAnsi" w:cstheme="minorHAnsi"/>
        </w:rPr>
        <w:t>20</w:t>
      </w:r>
      <w:r w:rsidRPr="00084825">
        <w:rPr>
          <w:rFonts w:asciiTheme="minorHAnsi" w:hAnsiTheme="minorHAnsi" w:cstheme="minorHAnsi"/>
        </w:rPr>
        <w:t xml:space="preserve">,000 members, and extensive volunteer network, in providing our response. </w:t>
      </w:r>
    </w:p>
    <w:p w14:paraId="2798CA0C" w14:textId="662C65D1" w:rsidR="00084825" w:rsidRPr="00EC540D" w:rsidRDefault="00EC540D" w:rsidP="00EC540D">
      <w:pPr>
        <w:pStyle w:val="ListParagraph"/>
        <w:numPr>
          <w:ilvl w:val="1"/>
          <w:numId w:val="6"/>
        </w:numPr>
        <w:contextualSpacing w:val="0"/>
        <w:jc w:val="both"/>
        <w:rPr>
          <w:rFonts w:asciiTheme="minorHAnsi" w:hAnsiTheme="minorHAnsi" w:cstheme="minorHAnsi"/>
        </w:rPr>
      </w:pPr>
      <w:r w:rsidRPr="00EC540D">
        <w:rPr>
          <w:rFonts w:asciiTheme="minorHAnsi" w:hAnsiTheme="minorHAnsi" w:cstheme="minorHAnsi"/>
        </w:rPr>
        <w:t xml:space="preserve">We continue to be extremely concerned by HMRC’s poor customer service across many key areas, and the </w:t>
      </w:r>
      <w:r w:rsidR="00F50288">
        <w:rPr>
          <w:rFonts w:asciiTheme="minorHAnsi" w:hAnsiTheme="minorHAnsi" w:cstheme="minorHAnsi"/>
        </w:rPr>
        <w:t xml:space="preserve">approach they are taking to </w:t>
      </w:r>
      <w:r w:rsidR="0011517B">
        <w:rPr>
          <w:rFonts w:asciiTheme="minorHAnsi" w:hAnsiTheme="minorHAnsi" w:cstheme="minorHAnsi"/>
        </w:rPr>
        <w:t>moving taxpayers to online services.</w:t>
      </w:r>
      <w:r w:rsidRPr="00EC540D">
        <w:rPr>
          <w:rFonts w:asciiTheme="minorHAnsi" w:hAnsiTheme="minorHAnsi" w:cstheme="minorHAnsi"/>
        </w:rPr>
        <w:t xml:space="preserve"> We </w:t>
      </w:r>
      <w:r w:rsidR="009237C8">
        <w:rPr>
          <w:rFonts w:asciiTheme="minorHAnsi" w:hAnsiTheme="minorHAnsi" w:cstheme="minorHAnsi"/>
        </w:rPr>
        <w:t xml:space="preserve">do not </w:t>
      </w:r>
      <w:r w:rsidRPr="00EC540D">
        <w:rPr>
          <w:rFonts w:asciiTheme="minorHAnsi" w:hAnsiTheme="minorHAnsi" w:cstheme="minorHAnsi"/>
        </w:rPr>
        <w:t>believe the</w:t>
      </w:r>
      <w:r w:rsidR="009237C8">
        <w:rPr>
          <w:rFonts w:asciiTheme="minorHAnsi" w:hAnsiTheme="minorHAnsi" w:cstheme="minorHAnsi"/>
        </w:rPr>
        <w:t>r</w:t>
      </w:r>
      <w:r w:rsidRPr="00EC540D">
        <w:rPr>
          <w:rFonts w:asciiTheme="minorHAnsi" w:hAnsiTheme="minorHAnsi" w:cstheme="minorHAnsi"/>
        </w:rPr>
        <w:t>e</w:t>
      </w:r>
      <w:r w:rsidR="009237C8">
        <w:rPr>
          <w:rFonts w:asciiTheme="minorHAnsi" w:hAnsiTheme="minorHAnsi" w:cstheme="minorHAnsi"/>
        </w:rPr>
        <w:t xml:space="preserve"> is adequate evidence </w:t>
      </w:r>
      <w:r w:rsidRPr="00EC540D">
        <w:rPr>
          <w:rFonts w:asciiTheme="minorHAnsi" w:hAnsiTheme="minorHAnsi" w:cstheme="minorHAnsi"/>
        </w:rPr>
        <w:t xml:space="preserve">that </w:t>
      </w:r>
      <w:r w:rsidR="0011517B">
        <w:rPr>
          <w:rFonts w:asciiTheme="minorHAnsi" w:hAnsiTheme="minorHAnsi" w:cstheme="minorHAnsi"/>
        </w:rPr>
        <w:t xml:space="preserve">measures such as closing telephone helplines </w:t>
      </w:r>
      <w:r w:rsidRPr="00EC540D">
        <w:rPr>
          <w:rFonts w:asciiTheme="minorHAnsi" w:hAnsiTheme="minorHAnsi" w:cstheme="minorHAnsi"/>
        </w:rPr>
        <w:t xml:space="preserve">will have their desired effect, </w:t>
      </w:r>
      <w:r w:rsidR="009237C8">
        <w:rPr>
          <w:rFonts w:asciiTheme="minorHAnsi" w:hAnsiTheme="minorHAnsi" w:cstheme="minorHAnsi"/>
        </w:rPr>
        <w:t xml:space="preserve">nor are we convinced that they will </w:t>
      </w:r>
      <w:r w:rsidRPr="00EC540D">
        <w:rPr>
          <w:rFonts w:asciiTheme="minorHAnsi" w:hAnsiTheme="minorHAnsi" w:cstheme="minorHAnsi"/>
        </w:rPr>
        <w:t>not negatively impact compliance.</w:t>
      </w:r>
    </w:p>
    <w:p w14:paraId="2B8BF59E" w14:textId="77777777" w:rsidR="00405DCD" w:rsidRDefault="009237C8" w:rsidP="002E1AB7">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We support the use of digital tools to enable taxpayers (and their agents) to comply with their tax affairs. However, there remains a significant gap between both the actual availability and awareness of such tools, and what appears to be HMRC’s perceptions of what taxpayers (and their agents) can already do. The extent of that gap needs to be determined, and a plan devised to bridge it.</w:t>
      </w:r>
    </w:p>
    <w:p w14:paraId="335A7E46" w14:textId="6D51CD66" w:rsidR="009237C8" w:rsidRPr="00084825" w:rsidRDefault="009237C8" w:rsidP="002E1AB7">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We welcome the additional </w:t>
      </w:r>
      <w:r w:rsidR="0063751D">
        <w:rPr>
          <w:rFonts w:asciiTheme="minorHAnsi" w:hAnsiTheme="minorHAnsi" w:cstheme="minorHAnsi"/>
        </w:rPr>
        <w:t xml:space="preserve">funding </w:t>
      </w:r>
      <w:r>
        <w:rPr>
          <w:rFonts w:asciiTheme="minorHAnsi" w:hAnsiTheme="minorHAnsi" w:cstheme="minorHAnsi"/>
        </w:rPr>
        <w:t>recently announced for HMRC’s customer service directorate</w:t>
      </w:r>
      <w:r w:rsidR="00336DF8">
        <w:rPr>
          <w:rFonts w:asciiTheme="minorHAnsi" w:hAnsiTheme="minorHAnsi" w:cstheme="minorHAnsi"/>
        </w:rPr>
        <w:t xml:space="preserve">. However, </w:t>
      </w:r>
      <w:r w:rsidR="008F50B6">
        <w:rPr>
          <w:rFonts w:asciiTheme="minorHAnsi" w:hAnsiTheme="minorHAnsi" w:cstheme="minorHAnsi"/>
        </w:rPr>
        <w:t xml:space="preserve">it </w:t>
      </w:r>
      <w:r w:rsidR="00DA6756">
        <w:rPr>
          <w:rFonts w:asciiTheme="minorHAnsi" w:hAnsiTheme="minorHAnsi" w:cstheme="minorHAnsi"/>
        </w:rPr>
        <w:t xml:space="preserve">amounts to </w:t>
      </w:r>
      <w:r w:rsidR="00025004">
        <w:rPr>
          <w:rFonts w:asciiTheme="minorHAnsi" w:hAnsiTheme="minorHAnsi" w:cstheme="minorHAnsi"/>
        </w:rPr>
        <w:t xml:space="preserve">less than half of the </w:t>
      </w:r>
      <w:r w:rsidR="008F50B6">
        <w:rPr>
          <w:rFonts w:asciiTheme="minorHAnsi" w:hAnsiTheme="minorHAnsi" w:cstheme="minorHAnsi"/>
        </w:rPr>
        <w:t>‘</w:t>
      </w:r>
      <w:r w:rsidR="00025004">
        <w:rPr>
          <w:rFonts w:asciiTheme="minorHAnsi" w:hAnsiTheme="minorHAnsi" w:cstheme="minorHAnsi"/>
        </w:rPr>
        <w:t xml:space="preserve">savings’ being </w:t>
      </w:r>
      <w:r w:rsidR="00DA6756">
        <w:rPr>
          <w:rFonts w:asciiTheme="minorHAnsi" w:hAnsiTheme="minorHAnsi" w:cstheme="minorHAnsi"/>
        </w:rPr>
        <w:t xml:space="preserve">demanded </w:t>
      </w:r>
      <w:r w:rsidR="00025004">
        <w:rPr>
          <w:rFonts w:asciiTheme="minorHAnsi" w:hAnsiTheme="minorHAnsi" w:cstheme="minorHAnsi"/>
        </w:rPr>
        <w:t>of the directorate this year</w:t>
      </w:r>
      <w:r w:rsidR="00336DF8">
        <w:rPr>
          <w:rFonts w:asciiTheme="minorHAnsi" w:hAnsiTheme="minorHAnsi" w:cstheme="minorHAnsi"/>
        </w:rPr>
        <w:t xml:space="preserve">. HMRC has a growing ‘customer’ base, and its resources should not be further cut until </w:t>
      </w:r>
      <w:r w:rsidR="00DA6756">
        <w:rPr>
          <w:rFonts w:asciiTheme="minorHAnsi" w:hAnsiTheme="minorHAnsi" w:cstheme="minorHAnsi"/>
        </w:rPr>
        <w:t xml:space="preserve">improved </w:t>
      </w:r>
      <w:r w:rsidR="00336DF8">
        <w:rPr>
          <w:rFonts w:asciiTheme="minorHAnsi" w:hAnsiTheme="minorHAnsi" w:cstheme="minorHAnsi"/>
        </w:rPr>
        <w:t xml:space="preserve">digital systems </w:t>
      </w:r>
      <w:r w:rsidR="00DA6756">
        <w:rPr>
          <w:rFonts w:asciiTheme="minorHAnsi" w:hAnsiTheme="minorHAnsi" w:cstheme="minorHAnsi"/>
        </w:rPr>
        <w:t xml:space="preserve">have </w:t>
      </w:r>
      <w:r w:rsidR="00336DF8">
        <w:rPr>
          <w:rFonts w:asciiTheme="minorHAnsi" w:hAnsiTheme="minorHAnsi" w:cstheme="minorHAnsi"/>
        </w:rPr>
        <w:t>deliver</w:t>
      </w:r>
      <w:r w:rsidR="00DA6756">
        <w:rPr>
          <w:rFonts w:asciiTheme="minorHAnsi" w:hAnsiTheme="minorHAnsi" w:cstheme="minorHAnsi"/>
        </w:rPr>
        <w:t>ed</w:t>
      </w:r>
      <w:r w:rsidR="00336DF8">
        <w:rPr>
          <w:rFonts w:asciiTheme="minorHAnsi" w:hAnsiTheme="minorHAnsi" w:cstheme="minorHAnsi"/>
        </w:rPr>
        <w:t xml:space="preserve"> the intended efficiencies and resource savings.</w:t>
      </w:r>
    </w:p>
    <w:p w14:paraId="31AB0F09" w14:textId="77777777" w:rsidR="001F037D" w:rsidRDefault="001F037D" w:rsidP="00D849C0">
      <w:pPr>
        <w:jc w:val="both"/>
        <w:rPr>
          <w:rFonts w:asciiTheme="minorHAnsi" w:hAnsiTheme="minorHAnsi" w:cstheme="minorHAnsi"/>
        </w:rPr>
      </w:pPr>
    </w:p>
    <w:p w14:paraId="0A6C8A50" w14:textId="77777777" w:rsidR="00405DCD" w:rsidRPr="00405DCD" w:rsidRDefault="00405DCD" w:rsidP="00405DCD">
      <w:pPr>
        <w:pStyle w:val="ListParagraph"/>
        <w:numPr>
          <w:ilvl w:val="0"/>
          <w:numId w:val="6"/>
        </w:numPr>
        <w:contextualSpacing w:val="0"/>
        <w:jc w:val="both"/>
        <w:rPr>
          <w:rFonts w:asciiTheme="minorHAnsi" w:hAnsiTheme="minorHAnsi" w:cstheme="minorHAnsi"/>
          <w:b/>
          <w:bCs/>
        </w:rPr>
      </w:pPr>
      <w:r>
        <w:rPr>
          <w:rFonts w:asciiTheme="minorHAnsi" w:hAnsiTheme="minorHAnsi" w:cstheme="minorHAnsi"/>
          <w:b/>
          <w:bCs/>
        </w:rPr>
        <w:t>About us</w:t>
      </w:r>
    </w:p>
    <w:p w14:paraId="0102E1D4" w14:textId="77777777" w:rsidR="00405DCD" w:rsidRDefault="00405DCD" w:rsidP="00405DCD">
      <w:pPr>
        <w:pStyle w:val="ListParagraph"/>
        <w:numPr>
          <w:ilvl w:val="1"/>
          <w:numId w:val="6"/>
        </w:numPr>
        <w:contextualSpacing w:val="0"/>
        <w:jc w:val="both"/>
        <w:rPr>
          <w:rFonts w:asciiTheme="minorHAnsi" w:hAnsiTheme="minorHAnsi" w:cstheme="minorHAnsi"/>
        </w:rPr>
      </w:pPr>
      <w:r w:rsidRPr="00405DCD">
        <w:rPr>
          <w:rFonts w:asciiTheme="minorHAnsi" w:hAnsiTheme="minorHAnsi" w:cstheme="minorHAnsi"/>
        </w:rPr>
        <w:t xml:space="preserve">The CIOT is an educational charity, promoting education and study of the administration and practice of taxation. One of our key aims is to work for a better, more efficient, tax system for all affected by it – taxpayers, their advisers and the authorities. Our comments and recommendations on tax issues are made solely in order to achieve this aim; we are a non-party-political organisation. </w:t>
      </w:r>
    </w:p>
    <w:p w14:paraId="669E2F6C" w14:textId="77777777" w:rsidR="00405DCD" w:rsidRDefault="00405DCD" w:rsidP="00405DCD">
      <w:pPr>
        <w:pStyle w:val="ListParagraph"/>
        <w:numPr>
          <w:ilvl w:val="1"/>
          <w:numId w:val="6"/>
        </w:numPr>
        <w:contextualSpacing w:val="0"/>
        <w:jc w:val="both"/>
        <w:rPr>
          <w:rFonts w:asciiTheme="minorHAnsi" w:hAnsiTheme="minorHAnsi" w:cstheme="minorHAnsi"/>
        </w:rPr>
      </w:pPr>
      <w:r w:rsidRPr="00405DCD">
        <w:rPr>
          <w:rFonts w:asciiTheme="minorHAnsi" w:hAnsiTheme="minorHAnsi" w:cstheme="minorHAnsi"/>
        </w:rPr>
        <w:t>The CIOT’s work covers all aspects of taxation, including direct and indirect taxes and duties. Through our Low Incomes Tax Reform Group (LITRG), the CIOT has a particular focus on improving the tax system, including tax credits and benefits, for the unrepresented taxpayer.</w:t>
      </w:r>
    </w:p>
    <w:p w14:paraId="5D8E1EEC" w14:textId="77777777" w:rsidR="00405DCD" w:rsidRDefault="00405DCD" w:rsidP="00405DCD">
      <w:pPr>
        <w:pStyle w:val="ListParagraph"/>
        <w:numPr>
          <w:ilvl w:val="1"/>
          <w:numId w:val="6"/>
        </w:numPr>
        <w:contextualSpacing w:val="0"/>
        <w:jc w:val="both"/>
        <w:rPr>
          <w:rFonts w:asciiTheme="minorHAnsi" w:hAnsiTheme="minorHAnsi" w:cstheme="minorHAnsi"/>
        </w:rPr>
      </w:pPr>
      <w:r w:rsidRPr="00405DCD">
        <w:rPr>
          <w:rFonts w:asciiTheme="minorHAnsi" w:hAnsiTheme="minorHAnsi" w:cstheme="minorHAnsi"/>
        </w:rPr>
        <w:t xml:space="preserve">The CIOT draws on our members’ experience in private practice, commerce and industry, government and academia to improve tax administration and propose and explain how tax policy objectives can most effectively be achieved. We also link to, and draw on, similar leading professional tax bodies in other countries.  </w:t>
      </w:r>
    </w:p>
    <w:p w14:paraId="30451D20" w14:textId="77777777" w:rsidR="00F04DC4" w:rsidRPr="00F04DC4" w:rsidRDefault="00405DCD" w:rsidP="00F04DC4">
      <w:pPr>
        <w:pStyle w:val="ListParagraph"/>
        <w:numPr>
          <w:ilvl w:val="1"/>
          <w:numId w:val="6"/>
        </w:numPr>
        <w:contextualSpacing w:val="0"/>
        <w:jc w:val="both"/>
        <w:rPr>
          <w:rFonts w:asciiTheme="minorHAnsi" w:hAnsiTheme="minorHAnsi" w:cstheme="minorHAnsi"/>
        </w:rPr>
      </w:pPr>
      <w:r w:rsidRPr="00405DCD">
        <w:rPr>
          <w:rFonts w:asciiTheme="minorHAnsi" w:hAnsiTheme="minorHAnsi" w:cstheme="minorHAnsi"/>
        </w:rPr>
        <w:t xml:space="preserve">Our members have the practising title of ‘Chartered Tax Adviser’ and the designatory letters ‘CTA’, to represent the leading tax qualification.  </w:t>
      </w:r>
    </w:p>
    <w:p w14:paraId="667B22D9" w14:textId="77777777" w:rsidR="00405DCD" w:rsidRDefault="00405DCD" w:rsidP="00D849C0">
      <w:pPr>
        <w:jc w:val="both"/>
        <w:rPr>
          <w:rFonts w:asciiTheme="minorHAnsi" w:hAnsiTheme="minorHAnsi" w:cstheme="minorHAnsi"/>
        </w:rPr>
      </w:pPr>
    </w:p>
    <w:p w14:paraId="1CF4D0F3" w14:textId="77777777" w:rsidR="00405DCD" w:rsidRPr="00405DCD" w:rsidRDefault="00F04DC4" w:rsidP="00405DCD">
      <w:pPr>
        <w:pStyle w:val="ListParagraph"/>
        <w:numPr>
          <w:ilvl w:val="0"/>
          <w:numId w:val="6"/>
        </w:numPr>
        <w:contextualSpacing w:val="0"/>
        <w:jc w:val="both"/>
        <w:rPr>
          <w:rFonts w:asciiTheme="minorHAnsi" w:hAnsiTheme="minorHAnsi" w:cstheme="minorHAnsi"/>
          <w:b/>
          <w:bCs/>
        </w:rPr>
      </w:pPr>
      <w:r>
        <w:rPr>
          <w:rFonts w:asciiTheme="minorHAnsi" w:hAnsiTheme="minorHAnsi" w:cstheme="minorHAnsi"/>
          <w:b/>
          <w:bCs/>
        </w:rPr>
        <w:t>Introduction</w:t>
      </w:r>
    </w:p>
    <w:p w14:paraId="7700C640" w14:textId="77777777" w:rsidR="00405DCD" w:rsidRDefault="00113A5A" w:rsidP="00405DCD">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The CIOT is pleased to provide written evidence to the Committee’s inquiry.</w:t>
      </w:r>
    </w:p>
    <w:p w14:paraId="73C28C7E" w14:textId="7641B72A" w:rsidR="00F04DC4" w:rsidRDefault="00F04DC4" w:rsidP="00F04DC4">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lastRenderedPageBreak/>
        <w:t xml:space="preserve">Our stated objective for the tax system include: </w:t>
      </w:r>
    </w:p>
    <w:p w14:paraId="0994B8BC" w14:textId="77777777" w:rsidR="008578D4" w:rsidRPr="008578D4" w:rsidRDefault="00F04DC4" w:rsidP="008578D4">
      <w:pPr>
        <w:pStyle w:val="ListParagraph"/>
        <w:numPr>
          <w:ilvl w:val="0"/>
          <w:numId w:val="7"/>
        </w:numPr>
        <w:jc w:val="both"/>
        <w:rPr>
          <w:rFonts w:asciiTheme="minorHAnsi" w:hAnsiTheme="minorHAnsi" w:cstheme="minorHAnsi"/>
        </w:rPr>
      </w:pPr>
      <w:r w:rsidRPr="00F04DC4">
        <w:rPr>
          <w:rFonts w:asciiTheme="minorHAnsi" w:hAnsiTheme="minorHAnsi" w:cstheme="minorHAnsi"/>
        </w:rPr>
        <w:t>A legislative process that translates policy intentions into statute accurately and effectively, without unintended consequences.</w:t>
      </w:r>
    </w:p>
    <w:p w14:paraId="297FBA9F" w14:textId="77777777" w:rsidR="00F04DC4" w:rsidRPr="00F04DC4" w:rsidRDefault="00F04DC4" w:rsidP="00F04DC4">
      <w:pPr>
        <w:pStyle w:val="ListParagraph"/>
        <w:numPr>
          <w:ilvl w:val="0"/>
          <w:numId w:val="7"/>
        </w:numPr>
        <w:jc w:val="both"/>
        <w:rPr>
          <w:rFonts w:asciiTheme="minorHAnsi" w:hAnsiTheme="minorHAnsi" w:cstheme="minorHAnsi"/>
        </w:rPr>
      </w:pPr>
      <w:r w:rsidRPr="00F04DC4">
        <w:rPr>
          <w:rFonts w:asciiTheme="minorHAnsi" w:hAnsiTheme="minorHAnsi" w:cstheme="minorHAnsi"/>
        </w:rPr>
        <w:t xml:space="preserve">Greater simplicity and clarity, so people can understand how much tax they should be paying and why. </w:t>
      </w:r>
    </w:p>
    <w:p w14:paraId="242733B0" w14:textId="77777777" w:rsidR="00F04DC4" w:rsidRPr="00F04DC4" w:rsidRDefault="00F04DC4" w:rsidP="00F04DC4">
      <w:pPr>
        <w:pStyle w:val="ListParagraph"/>
        <w:numPr>
          <w:ilvl w:val="0"/>
          <w:numId w:val="7"/>
        </w:numPr>
        <w:jc w:val="both"/>
        <w:rPr>
          <w:rFonts w:asciiTheme="minorHAnsi" w:hAnsiTheme="minorHAnsi" w:cstheme="minorHAnsi"/>
        </w:rPr>
      </w:pPr>
      <w:r w:rsidRPr="00F04DC4">
        <w:rPr>
          <w:rFonts w:asciiTheme="minorHAnsi" w:hAnsiTheme="minorHAnsi" w:cstheme="minorHAnsi"/>
        </w:rPr>
        <w:t>Greater certainty, so businesses and individuals can plan ahead with confidence.</w:t>
      </w:r>
    </w:p>
    <w:p w14:paraId="0EF6BD2F" w14:textId="77777777" w:rsidR="00F04DC4" w:rsidRPr="00F04DC4" w:rsidRDefault="00F04DC4" w:rsidP="00F04DC4">
      <w:pPr>
        <w:pStyle w:val="ListParagraph"/>
        <w:numPr>
          <w:ilvl w:val="0"/>
          <w:numId w:val="7"/>
        </w:numPr>
        <w:jc w:val="both"/>
        <w:rPr>
          <w:rFonts w:asciiTheme="minorHAnsi" w:hAnsiTheme="minorHAnsi" w:cstheme="minorHAnsi"/>
        </w:rPr>
      </w:pPr>
      <w:r w:rsidRPr="00F04DC4">
        <w:rPr>
          <w:rFonts w:asciiTheme="minorHAnsi" w:hAnsiTheme="minorHAnsi" w:cstheme="minorHAnsi"/>
        </w:rPr>
        <w:t xml:space="preserve">A fair balance between the powers of tax collectors and the rights of taxpayers (both represented and unrepresented). </w:t>
      </w:r>
    </w:p>
    <w:p w14:paraId="2AC46A2D" w14:textId="77777777" w:rsidR="00F04DC4" w:rsidRDefault="00F04DC4" w:rsidP="00F04DC4">
      <w:pPr>
        <w:pStyle w:val="ListParagraph"/>
        <w:numPr>
          <w:ilvl w:val="0"/>
          <w:numId w:val="7"/>
        </w:numPr>
        <w:jc w:val="both"/>
        <w:rPr>
          <w:rFonts w:asciiTheme="minorHAnsi" w:hAnsiTheme="minorHAnsi" w:cstheme="minorHAnsi"/>
        </w:rPr>
      </w:pPr>
      <w:r w:rsidRPr="00F04DC4">
        <w:rPr>
          <w:rFonts w:asciiTheme="minorHAnsi" w:hAnsiTheme="minorHAnsi" w:cstheme="minorHAnsi"/>
        </w:rPr>
        <w:t>Responsive and competent tax administration, with a minimum of bureaucracy.</w:t>
      </w:r>
    </w:p>
    <w:p w14:paraId="4C29F95E" w14:textId="77777777" w:rsidR="00113A5A" w:rsidRDefault="00113A5A" w:rsidP="00113A5A">
      <w:pPr>
        <w:pStyle w:val="ListParagraph"/>
        <w:ind w:left="1400"/>
        <w:jc w:val="both"/>
        <w:rPr>
          <w:rFonts w:asciiTheme="minorHAnsi" w:hAnsiTheme="minorHAnsi" w:cstheme="minorHAnsi"/>
        </w:rPr>
      </w:pPr>
    </w:p>
    <w:p w14:paraId="01506DC2" w14:textId="77777777" w:rsidR="002927EE" w:rsidRDefault="00113A5A" w:rsidP="002927EE">
      <w:pPr>
        <w:pStyle w:val="ListParagraph"/>
        <w:numPr>
          <w:ilvl w:val="1"/>
          <w:numId w:val="6"/>
        </w:numPr>
        <w:rPr>
          <w:rFonts w:asciiTheme="minorHAnsi" w:hAnsiTheme="minorHAnsi" w:cstheme="minorHAnsi"/>
        </w:rPr>
      </w:pPr>
      <w:r w:rsidRPr="002927EE">
        <w:rPr>
          <w:rFonts w:asciiTheme="minorHAnsi" w:hAnsiTheme="minorHAnsi" w:cstheme="minorHAnsi"/>
        </w:rPr>
        <w:t xml:space="preserve">The Committee will see that a ‘responsive and competent tax administration’ is one of our stated objectives for the tax system. Meeting that objective will help the tax system to operate efficiently and effectively, building trust and confidence, </w:t>
      </w:r>
      <w:r w:rsidR="00785DF3" w:rsidRPr="002927EE">
        <w:rPr>
          <w:rFonts w:asciiTheme="minorHAnsi" w:hAnsiTheme="minorHAnsi" w:cstheme="minorHAnsi"/>
        </w:rPr>
        <w:t>and support businesses to grow. The converse may occur if that objective is not met.</w:t>
      </w:r>
      <w:r w:rsidR="002927EE" w:rsidRPr="002927EE">
        <w:rPr>
          <w:rFonts w:asciiTheme="minorHAnsi" w:hAnsiTheme="minorHAnsi" w:cstheme="minorHAnsi"/>
        </w:rPr>
        <w:t xml:space="preserve"> Similarly, ‘A fair balance between the powers of tax collectors and the rights of taxpayers (both represented and unrepresented)</w:t>
      </w:r>
      <w:r w:rsidR="002927EE">
        <w:rPr>
          <w:rFonts w:asciiTheme="minorHAnsi" w:hAnsiTheme="minorHAnsi" w:cstheme="minorHAnsi"/>
        </w:rPr>
        <w:t>’ will help engender the trust in the tax system that we and HMRC are keen to embed</w:t>
      </w:r>
      <w:r w:rsidR="002927EE" w:rsidRPr="002927EE">
        <w:rPr>
          <w:rFonts w:asciiTheme="minorHAnsi" w:hAnsiTheme="minorHAnsi" w:cstheme="minorHAnsi"/>
        </w:rPr>
        <w:t xml:space="preserve">. </w:t>
      </w:r>
    </w:p>
    <w:p w14:paraId="058F6074" w14:textId="77777777" w:rsidR="002927EE" w:rsidRPr="002927EE" w:rsidRDefault="002927EE" w:rsidP="002927EE">
      <w:pPr>
        <w:pStyle w:val="ListParagraph"/>
        <w:ind w:left="680"/>
        <w:rPr>
          <w:rFonts w:asciiTheme="minorHAnsi" w:hAnsiTheme="minorHAnsi" w:cstheme="minorHAnsi"/>
        </w:rPr>
      </w:pPr>
    </w:p>
    <w:p w14:paraId="687405BA" w14:textId="77777777" w:rsidR="00113A5A" w:rsidRDefault="00785DF3" w:rsidP="00405DCD">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In October 2023, the CIOT provided written evidence to the </w:t>
      </w:r>
      <w:r w:rsidR="00113A5A">
        <w:rPr>
          <w:rFonts w:asciiTheme="minorHAnsi" w:hAnsiTheme="minorHAnsi" w:cstheme="minorHAnsi"/>
        </w:rPr>
        <w:t xml:space="preserve">Committee’s inquiry </w:t>
      </w:r>
      <w:r>
        <w:rPr>
          <w:rFonts w:asciiTheme="minorHAnsi" w:hAnsiTheme="minorHAnsi" w:cstheme="minorHAnsi"/>
        </w:rPr>
        <w:t>entitled ‘</w:t>
      </w:r>
      <w:bookmarkStart w:id="0" w:name="_Hlk166156373"/>
      <w:r>
        <w:rPr>
          <w:rFonts w:asciiTheme="minorHAnsi" w:hAnsiTheme="minorHAnsi" w:cstheme="minorHAnsi"/>
        </w:rPr>
        <w:t>HMRC Standard Report 2022-23</w:t>
      </w:r>
      <w:bookmarkEnd w:id="0"/>
      <w:r>
        <w:rPr>
          <w:rFonts w:asciiTheme="minorHAnsi" w:hAnsiTheme="minorHAnsi" w:cstheme="minorHAnsi"/>
        </w:rPr>
        <w:t>’.</w:t>
      </w:r>
      <w:r>
        <w:rPr>
          <w:rStyle w:val="FootnoteReference"/>
          <w:rFonts w:asciiTheme="minorHAnsi" w:hAnsiTheme="minorHAnsi" w:cstheme="minorHAnsi"/>
        </w:rPr>
        <w:footnoteReference w:id="2"/>
      </w:r>
      <w:r>
        <w:rPr>
          <w:rFonts w:asciiTheme="minorHAnsi" w:hAnsiTheme="minorHAnsi" w:cstheme="minorHAnsi"/>
        </w:rPr>
        <w:t xml:space="preserve"> That evidence remains relevant today, and we will highlight some of the key elements of that evidence again. The remainder of our evidence will </w:t>
      </w:r>
      <w:r w:rsidR="002927EE">
        <w:rPr>
          <w:rFonts w:asciiTheme="minorHAnsi" w:hAnsiTheme="minorHAnsi" w:cstheme="minorHAnsi"/>
        </w:rPr>
        <w:t xml:space="preserve">generally </w:t>
      </w:r>
      <w:r w:rsidR="00241ED9">
        <w:rPr>
          <w:rFonts w:asciiTheme="minorHAnsi" w:hAnsiTheme="minorHAnsi" w:cstheme="minorHAnsi"/>
        </w:rPr>
        <w:t xml:space="preserve">focus </w:t>
      </w:r>
      <w:r w:rsidR="002927EE">
        <w:rPr>
          <w:rFonts w:asciiTheme="minorHAnsi" w:hAnsiTheme="minorHAnsi" w:cstheme="minorHAnsi"/>
        </w:rPr>
        <w:t xml:space="preserve">or build </w:t>
      </w:r>
      <w:r w:rsidR="00241ED9">
        <w:rPr>
          <w:rFonts w:asciiTheme="minorHAnsi" w:hAnsiTheme="minorHAnsi" w:cstheme="minorHAnsi"/>
        </w:rPr>
        <w:t>on</w:t>
      </w:r>
      <w:r>
        <w:rPr>
          <w:rFonts w:asciiTheme="minorHAnsi" w:hAnsiTheme="minorHAnsi" w:cstheme="minorHAnsi"/>
        </w:rPr>
        <w:t xml:space="preserve"> events and evidence gained since October 2023.</w:t>
      </w:r>
    </w:p>
    <w:p w14:paraId="460C8FC3" w14:textId="77777777" w:rsidR="00113A5A" w:rsidRDefault="00113A5A" w:rsidP="00405DCD">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The CIOT is represented on the Charter Stakeholder Group.</w:t>
      </w:r>
      <w:r>
        <w:rPr>
          <w:rStyle w:val="FootnoteReference"/>
          <w:rFonts w:asciiTheme="minorHAnsi" w:hAnsiTheme="minorHAnsi" w:cstheme="minorHAnsi"/>
        </w:rPr>
        <w:footnoteReference w:id="3"/>
      </w:r>
      <w:r>
        <w:rPr>
          <w:rFonts w:asciiTheme="minorHAnsi" w:hAnsiTheme="minorHAnsi" w:cstheme="minorHAnsi"/>
        </w:rPr>
        <w:t xml:space="preserve"> The Group has separately submitted evidence to the Committee’s inquiry</w:t>
      </w:r>
      <w:r w:rsidR="00785DF3">
        <w:rPr>
          <w:rFonts w:asciiTheme="minorHAnsi" w:hAnsiTheme="minorHAnsi" w:cstheme="minorHAnsi"/>
        </w:rPr>
        <w:t>, and where necessary we will refer</w:t>
      </w:r>
      <w:r w:rsidR="00241ED9">
        <w:rPr>
          <w:rFonts w:asciiTheme="minorHAnsi" w:hAnsiTheme="minorHAnsi" w:cstheme="minorHAnsi"/>
        </w:rPr>
        <w:t xml:space="preserve"> to </w:t>
      </w:r>
      <w:r w:rsidR="00785DF3">
        <w:rPr>
          <w:rFonts w:asciiTheme="minorHAnsi" w:hAnsiTheme="minorHAnsi" w:cstheme="minorHAnsi"/>
        </w:rPr>
        <w:t xml:space="preserve">that </w:t>
      </w:r>
      <w:r w:rsidR="00241ED9">
        <w:rPr>
          <w:rFonts w:asciiTheme="minorHAnsi" w:hAnsiTheme="minorHAnsi" w:cstheme="minorHAnsi"/>
        </w:rPr>
        <w:t xml:space="preserve">evidence </w:t>
      </w:r>
      <w:r w:rsidR="00785DF3">
        <w:rPr>
          <w:rFonts w:asciiTheme="minorHAnsi" w:hAnsiTheme="minorHAnsi" w:cstheme="minorHAnsi"/>
        </w:rPr>
        <w:t>here</w:t>
      </w:r>
      <w:r>
        <w:rPr>
          <w:rFonts w:asciiTheme="minorHAnsi" w:hAnsiTheme="minorHAnsi" w:cstheme="minorHAnsi"/>
        </w:rPr>
        <w:t>.</w:t>
      </w:r>
    </w:p>
    <w:p w14:paraId="2EFAD0D7" w14:textId="77777777" w:rsidR="00B34E19" w:rsidRDefault="00B34E19" w:rsidP="00D849C0">
      <w:pPr>
        <w:jc w:val="both"/>
        <w:rPr>
          <w:rFonts w:asciiTheme="minorHAnsi" w:hAnsiTheme="minorHAnsi" w:cstheme="minorHAnsi"/>
        </w:rPr>
      </w:pPr>
    </w:p>
    <w:p w14:paraId="672A9A4D" w14:textId="422A368C" w:rsidR="00EA476B" w:rsidRDefault="00785DF3" w:rsidP="00785DF3">
      <w:pPr>
        <w:pStyle w:val="ListParagraph"/>
        <w:numPr>
          <w:ilvl w:val="0"/>
          <w:numId w:val="6"/>
        </w:numPr>
        <w:contextualSpacing w:val="0"/>
        <w:jc w:val="both"/>
        <w:rPr>
          <w:rFonts w:asciiTheme="minorHAnsi" w:hAnsiTheme="minorHAnsi" w:cstheme="minorHAnsi"/>
        </w:rPr>
      </w:pPr>
      <w:r w:rsidRPr="00785DF3">
        <w:rPr>
          <w:rFonts w:asciiTheme="minorHAnsi" w:hAnsiTheme="minorHAnsi" w:cstheme="minorHAnsi"/>
          <w:b/>
          <w:bCs/>
        </w:rPr>
        <w:t>HMRC</w:t>
      </w:r>
      <w:r w:rsidR="002D0FFB">
        <w:rPr>
          <w:rFonts w:asciiTheme="minorHAnsi" w:hAnsiTheme="minorHAnsi" w:cstheme="minorHAnsi"/>
          <w:b/>
          <w:bCs/>
        </w:rPr>
        <w:t>’s ongoing customer service</w:t>
      </w:r>
      <w:r w:rsidRPr="00785DF3">
        <w:rPr>
          <w:rFonts w:asciiTheme="minorHAnsi" w:hAnsiTheme="minorHAnsi" w:cstheme="minorHAnsi"/>
          <w:b/>
          <w:bCs/>
        </w:rPr>
        <w:t xml:space="preserve"> </w:t>
      </w:r>
    </w:p>
    <w:p w14:paraId="6D5D2D08" w14:textId="7517C929" w:rsidR="00785DF3" w:rsidRPr="00855BCE" w:rsidRDefault="00785DF3" w:rsidP="00855BCE">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The Committee’s inquiry last year addressed the </w:t>
      </w:r>
      <w:r w:rsidRPr="00785DF3">
        <w:rPr>
          <w:rFonts w:asciiTheme="minorHAnsi" w:hAnsiTheme="minorHAnsi" w:cstheme="minorHAnsi"/>
        </w:rPr>
        <w:t>performance of HM Revenue &amp; Customs in 2022-23, how it is being affected by the current economic conditions, and the progress it is making in tackling error and fraud.</w:t>
      </w:r>
      <w:r w:rsidR="002D0FFB" w:rsidRPr="002D0FFB">
        <w:rPr>
          <w:rFonts w:asciiTheme="minorHAnsi" w:hAnsiTheme="minorHAnsi" w:cstheme="minorHAnsi"/>
        </w:rPr>
        <w:t xml:space="preserve"> </w:t>
      </w:r>
      <w:r w:rsidR="002D0FFB" w:rsidRPr="002D0FFB">
        <w:rPr>
          <w:rFonts w:asciiTheme="minorHAnsi" w:hAnsiTheme="minorHAnsi" w:cstheme="minorHAnsi"/>
        </w:rPr>
        <w:t>A significant part of our written evidence focused on HMRC’s performance, drawing on our then recent survey into HMRC’s service levels.</w:t>
      </w:r>
      <w:r w:rsidR="002D0FFB">
        <w:rPr>
          <w:rFonts w:asciiTheme="minorHAnsi" w:hAnsiTheme="minorHAnsi" w:cstheme="minorHAnsi"/>
        </w:rPr>
        <w:t xml:space="preserve"> </w:t>
      </w:r>
    </w:p>
    <w:p w14:paraId="2A9580A5" w14:textId="77777777" w:rsidR="00785DF3" w:rsidRDefault="00785DF3" w:rsidP="002D0FF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We remain concerned about the data and assumptions used by HMRC in decision making and for understanding the causes and impacts of poor service, and the transparency of such data. </w:t>
      </w:r>
      <w:r w:rsidR="00C3385C">
        <w:rPr>
          <w:rFonts w:asciiTheme="minorHAnsi" w:hAnsiTheme="minorHAnsi" w:cstheme="minorHAnsi"/>
        </w:rPr>
        <w:t xml:space="preserve">Published statements around the proportion of phone calls which relate to tasks which can be done online, the proportion of HMRC’s customers who are digitally excluded, and the quoted satisfaction rates for HMRC’s services drive decisions within HMRC, </w:t>
      </w:r>
      <w:r w:rsidR="00F326BC">
        <w:rPr>
          <w:rFonts w:asciiTheme="minorHAnsi" w:hAnsiTheme="minorHAnsi" w:cstheme="minorHAnsi"/>
        </w:rPr>
        <w:t xml:space="preserve">and </w:t>
      </w:r>
      <w:r w:rsidR="00C3385C">
        <w:rPr>
          <w:rFonts w:asciiTheme="minorHAnsi" w:hAnsiTheme="minorHAnsi" w:cstheme="minorHAnsi"/>
        </w:rPr>
        <w:t>need to be supported by published evidence and research if they are to have the credibility placed on them by HMRC.</w:t>
      </w:r>
    </w:p>
    <w:p w14:paraId="447513C8" w14:textId="635618BC" w:rsidR="00C3385C" w:rsidRDefault="00C3385C" w:rsidP="002D0FF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Allied to the above, there remains a significant gap between what HMRC think </w:t>
      </w:r>
      <w:r w:rsidR="00855BCE">
        <w:rPr>
          <w:rFonts w:asciiTheme="minorHAnsi" w:hAnsiTheme="minorHAnsi" w:cstheme="minorHAnsi"/>
        </w:rPr>
        <w:t>their</w:t>
      </w:r>
      <w:r>
        <w:rPr>
          <w:rFonts w:asciiTheme="minorHAnsi" w:hAnsiTheme="minorHAnsi" w:cstheme="minorHAnsi"/>
        </w:rPr>
        <w:t xml:space="preserve"> customers and agents can do online, and what happens in practice. This could be because HMRC’s digital systems are not in fact meeting the needs of customers and their agents, or there is a significant knowledge gap between what HMRC’s customers and their agents </w:t>
      </w:r>
      <w:r w:rsidRPr="00C3385C">
        <w:rPr>
          <w:rFonts w:asciiTheme="minorHAnsi" w:hAnsiTheme="minorHAnsi" w:cstheme="minorHAnsi"/>
          <w:u w:val="single"/>
        </w:rPr>
        <w:t>think</w:t>
      </w:r>
      <w:r>
        <w:rPr>
          <w:rFonts w:asciiTheme="minorHAnsi" w:hAnsiTheme="minorHAnsi" w:cstheme="minorHAnsi"/>
        </w:rPr>
        <w:t xml:space="preserve"> they can do online and what </w:t>
      </w:r>
      <w:r w:rsidRPr="00C3385C">
        <w:rPr>
          <w:rFonts w:asciiTheme="minorHAnsi" w:hAnsiTheme="minorHAnsi" w:cstheme="minorHAnsi"/>
          <w:u w:val="single"/>
        </w:rPr>
        <w:t>in fact</w:t>
      </w:r>
      <w:r>
        <w:rPr>
          <w:rFonts w:asciiTheme="minorHAnsi" w:hAnsiTheme="minorHAnsi" w:cstheme="minorHAnsi"/>
        </w:rPr>
        <w:t xml:space="preserve"> they can do online, or both.</w:t>
      </w:r>
      <w:r w:rsidR="00733800">
        <w:rPr>
          <w:rFonts w:asciiTheme="minorHAnsi" w:hAnsiTheme="minorHAnsi" w:cstheme="minorHAnsi"/>
        </w:rPr>
        <w:t xml:space="preserve"> Until that gap has been properly identified, it is not possible to determine the appropriate solutions.</w:t>
      </w:r>
    </w:p>
    <w:p w14:paraId="5A84B154" w14:textId="186596A7" w:rsidR="00733800" w:rsidRDefault="00733800" w:rsidP="002D0FF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lastRenderedPageBreak/>
        <w:t xml:space="preserve">Our </w:t>
      </w:r>
      <w:r w:rsidR="008D2790">
        <w:rPr>
          <w:rFonts w:asciiTheme="minorHAnsi" w:hAnsiTheme="minorHAnsi" w:cstheme="minorHAnsi"/>
        </w:rPr>
        <w:t xml:space="preserve">summer 2023 </w:t>
      </w:r>
      <w:r>
        <w:rPr>
          <w:rFonts w:asciiTheme="minorHAnsi" w:hAnsiTheme="minorHAnsi" w:cstheme="minorHAnsi"/>
        </w:rPr>
        <w:t xml:space="preserve">survey </w:t>
      </w:r>
      <w:r w:rsidR="008D2790">
        <w:rPr>
          <w:rFonts w:asciiTheme="minorHAnsi" w:hAnsiTheme="minorHAnsi" w:cstheme="minorHAnsi"/>
        </w:rPr>
        <w:t xml:space="preserve">found not just </w:t>
      </w:r>
      <w:r w:rsidR="004C247C" w:rsidRPr="004C247C">
        <w:rPr>
          <w:rFonts w:asciiTheme="minorHAnsi" w:hAnsiTheme="minorHAnsi" w:cstheme="minorHAnsi"/>
        </w:rPr>
        <w:t>widespread dissatisfaction with HMRC service levels among tax agents</w:t>
      </w:r>
      <w:r w:rsidR="004C247C">
        <w:rPr>
          <w:rFonts w:asciiTheme="minorHAnsi" w:hAnsiTheme="minorHAnsi" w:cstheme="minorHAnsi"/>
        </w:rPr>
        <w:t xml:space="preserve"> but overwhelming support for the view </w:t>
      </w:r>
      <w:r>
        <w:rPr>
          <w:rFonts w:asciiTheme="minorHAnsi" w:hAnsiTheme="minorHAnsi" w:cstheme="minorHAnsi"/>
        </w:rPr>
        <w:t xml:space="preserve">that poor service levels have a negative impact on the ability to do business, the costs of doing business, and on cash flow and finance. </w:t>
      </w:r>
      <w:r w:rsidR="00E43CC4">
        <w:rPr>
          <w:rFonts w:asciiTheme="minorHAnsi" w:hAnsiTheme="minorHAnsi" w:cstheme="minorHAnsi"/>
        </w:rPr>
        <w:t xml:space="preserve">Respondents to the survey also </w:t>
      </w:r>
      <w:r w:rsidR="00C64AA4">
        <w:rPr>
          <w:rFonts w:asciiTheme="minorHAnsi" w:hAnsiTheme="minorHAnsi" w:cstheme="minorHAnsi"/>
        </w:rPr>
        <w:t xml:space="preserve">overwhelmingly felt that poor levels of service harm </w:t>
      </w:r>
      <w:r>
        <w:rPr>
          <w:rFonts w:asciiTheme="minorHAnsi" w:hAnsiTheme="minorHAnsi" w:cstheme="minorHAnsi"/>
        </w:rPr>
        <w:t>tax compliance and trust in the tax system.</w:t>
      </w:r>
    </w:p>
    <w:p w14:paraId="2F93BCE8" w14:textId="77777777" w:rsidR="00F326BC" w:rsidRDefault="00F326BC" w:rsidP="002D0FF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Significant problems continue regarding HMRC’s Research and Development (R&amp;D) enquiries, as evidenced by the recent questioning during the Treasury Committee’s evidence session with HMRC on 24 April 2024</w:t>
      </w:r>
      <w:r>
        <w:rPr>
          <w:rStyle w:val="FootnoteReference"/>
          <w:rFonts w:asciiTheme="minorHAnsi" w:hAnsiTheme="minorHAnsi" w:cstheme="minorHAnsi"/>
        </w:rPr>
        <w:footnoteReference w:id="4"/>
      </w:r>
      <w:r>
        <w:rPr>
          <w:rFonts w:asciiTheme="minorHAnsi" w:hAnsiTheme="minorHAnsi" w:cstheme="minorHAnsi"/>
        </w:rPr>
        <w:t xml:space="preserve"> and our correspondence with HMRC about their handling of some R&amp;D tax relief claims. We are pleased that HMRC are engaging with us on this issue, but there is much more to do to ensure their approach does not </w:t>
      </w:r>
      <w:r w:rsidRPr="00F326BC">
        <w:rPr>
          <w:rFonts w:asciiTheme="minorHAnsi" w:hAnsiTheme="minorHAnsi" w:cstheme="minorHAnsi"/>
        </w:rPr>
        <w:t>undermine the policy objectives of R&amp;D tax relief to encourage investment.</w:t>
      </w:r>
    </w:p>
    <w:p w14:paraId="51C2DE81" w14:textId="0C513C58" w:rsidR="00785DF3" w:rsidRPr="00237734" w:rsidRDefault="002D0FFB" w:rsidP="00237734">
      <w:pPr>
        <w:pStyle w:val="ListParagraph"/>
        <w:numPr>
          <w:ilvl w:val="1"/>
          <w:numId w:val="6"/>
        </w:numPr>
        <w:contextualSpacing w:val="0"/>
        <w:jc w:val="both"/>
        <w:rPr>
          <w:rFonts w:asciiTheme="minorHAnsi" w:hAnsiTheme="minorHAnsi" w:cstheme="minorHAnsi"/>
        </w:rPr>
      </w:pPr>
      <w:r w:rsidRPr="00237734">
        <w:rPr>
          <w:rFonts w:asciiTheme="minorHAnsi" w:hAnsiTheme="minorHAnsi" w:cstheme="minorHAnsi"/>
        </w:rPr>
        <w:t xml:space="preserve">The recent report by the National Audit Office </w:t>
      </w:r>
      <w:r w:rsidR="005560BE" w:rsidRPr="00237734">
        <w:rPr>
          <w:rFonts w:asciiTheme="minorHAnsi" w:hAnsiTheme="minorHAnsi" w:cstheme="minorHAnsi"/>
        </w:rPr>
        <w:t xml:space="preserve">(NAO) </w:t>
      </w:r>
      <w:r w:rsidRPr="00237734">
        <w:rPr>
          <w:rFonts w:asciiTheme="minorHAnsi" w:hAnsiTheme="minorHAnsi" w:cstheme="minorHAnsi"/>
        </w:rPr>
        <w:t>into HMRC customer service</w:t>
      </w:r>
      <w:r>
        <w:rPr>
          <w:rStyle w:val="FootnoteReference"/>
          <w:rFonts w:asciiTheme="minorHAnsi" w:hAnsiTheme="minorHAnsi" w:cstheme="minorHAnsi"/>
        </w:rPr>
        <w:footnoteReference w:id="5"/>
      </w:r>
      <w:r w:rsidRPr="00237734">
        <w:rPr>
          <w:rFonts w:asciiTheme="minorHAnsi" w:hAnsiTheme="minorHAnsi" w:cstheme="minorHAnsi"/>
        </w:rPr>
        <w:t xml:space="preserve"> lays bare the extent of customer service failings and the scale of cuts being asked of HMRC</w:t>
      </w:r>
      <w:r w:rsidR="005560BE" w:rsidRPr="00237734">
        <w:rPr>
          <w:rFonts w:asciiTheme="minorHAnsi" w:hAnsiTheme="minorHAnsi" w:cstheme="minorHAnsi"/>
        </w:rPr>
        <w:t xml:space="preserve">. </w:t>
      </w:r>
      <w:r w:rsidR="00237734" w:rsidRPr="00237734">
        <w:rPr>
          <w:rFonts w:asciiTheme="minorHAnsi" w:hAnsiTheme="minorHAnsi" w:cstheme="minorHAnsi"/>
        </w:rPr>
        <w:t xml:space="preserve">This is taking place while the number of taxpayers and the complexity of their affairs is increasing. </w:t>
      </w:r>
      <w:r w:rsidR="005560BE" w:rsidRPr="00237734">
        <w:rPr>
          <w:rFonts w:asciiTheme="minorHAnsi" w:hAnsiTheme="minorHAnsi" w:cstheme="minorHAnsi"/>
        </w:rPr>
        <w:t>W</w:t>
      </w:r>
      <w:r w:rsidRPr="00237734">
        <w:rPr>
          <w:rFonts w:asciiTheme="minorHAnsi" w:hAnsiTheme="minorHAnsi" w:cstheme="minorHAnsi"/>
        </w:rPr>
        <w:t>e support the NAO’s conclusion that “more realist</w:t>
      </w:r>
      <w:r w:rsidR="005560BE" w:rsidRPr="00237734">
        <w:rPr>
          <w:rFonts w:asciiTheme="minorHAnsi" w:hAnsiTheme="minorHAnsi" w:cstheme="minorHAnsi"/>
        </w:rPr>
        <w:t>ic</w:t>
      </w:r>
      <w:r w:rsidRPr="00237734">
        <w:rPr>
          <w:rFonts w:asciiTheme="minorHAnsi" w:hAnsiTheme="minorHAnsi" w:cstheme="minorHAnsi"/>
        </w:rPr>
        <w:t xml:space="preserve"> plans”, focused on customer needs, are </w:t>
      </w:r>
      <w:r w:rsidR="00D21042" w:rsidRPr="00237734">
        <w:rPr>
          <w:rFonts w:asciiTheme="minorHAnsi" w:hAnsiTheme="minorHAnsi" w:cstheme="minorHAnsi"/>
        </w:rPr>
        <w:t>needed for HMRC’s shift to digital</w:t>
      </w:r>
      <w:r w:rsidRPr="00237734">
        <w:rPr>
          <w:rFonts w:asciiTheme="minorHAnsi" w:hAnsiTheme="minorHAnsi" w:cstheme="minorHAnsi"/>
        </w:rPr>
        <w:t xml:space="preserve">. </w:t>
      </w:r>
    </w:p>
    <w:p w14:paraId="3BDEECFB" w14:textId="42D0C7AE" w:rsidR="005560BE" w:rsidRDefault="005560BE" w:rsidP="00995D0F">
      <w:pPr>
        <w:pStyle w:val="ListParagraph"/>
        <w:numPr>
          <w:ilvl w:val="1"/>
          <w:numId w:val="6"/>
        </w:numPr>
        <w:jc w:val="both"/>
        <w:rPr>
          <w:rFonts w:asciiTheme="minorHAnsi" w:hAnsiTheme="minorHAnsi" w:cstheme="minorHAnsi"/>
        </w:rPr>
      </w:pPr>
      <w:r w:rsidRPr="005560BE">
        <w:rPr>
          <w:rFonts w:asciiTheme="minorHAnsi" w:hAnsiTheme="minorHAnsi" w:cstheme="minorHAnsi"/>
        </w:rPr>
        <w:t>The NAO state</w:t>
      </w:r>
      <w:r>
        <w:rPr>
          <w:rFonts w:asciiTheme="minorHAnsi" w:hAnsiTheme="minorHAnsi" w:cstheme="minorHAnsi"/>
        </w:rPr>
        <w:t>s</w:t>
      </w:r>
      <w:r w:rsidRPr="005560BE">
        <w:rPr>
          <w:rFonts w:asciiTheme="minorHAnsi" w:hAnsiTheme="minorHAnsi" w:cstheme="minorHAnsi"/>
        </w:rPr>
        <w:t xml:space="preserve"> that</w:t>
      </w:r>
      <w:r>
        <w:rPr>
          <w:rFonts w:asciiTheme="minorHAnsi" w:hAnsiTheme="minorHAnsi" w:cstheme="minorHAnsi"/>
        </w:rPr>
        <w:t xml:space="preserve"> c</w:t>
      </w:r>
      <w:r w:rsidRPr="005560BE">
        <w:rPr>
          <w:rFonts w:asciiTheme="minorHAnsi" w:hAnsiTheme="minorHAnsi" w:cstheme="minorHAnsi"/>
        </w:rPr>
        <w:t xml:space="preserve">ustomers spent </w:t>
      </w:r>
      <w:r w:rsidR="00DD5A78">
        <w:rPr>
          <w:rFonts w:asciiTheme="minorHAnsi" w:hAnsiTheme="minorHAnsi" w:cstheme="minorHAnsi"/>
        </w:rPr>
        <w:t xml:space="preserve">a staggering </w:t>
      </w:r>
      <w:r w:rsidRPr="005560BE">
        <w:rPr>
          <w:rFonts w:asciiTheme="minorHAnsi" w:hAnsiTheme="minorHAnsi" w:cstheme="minorHAnsi"/>
        </w:rPr>
        <w:t xml:space="preserve">7 million hours (the equivalent of 798 years) in 2022-23 waiting to speak to an adviser, </w:t>
      </w:r>
      <w:r>
        <w:rPr>
          <w:rFonts w:asciiTheme="minorHAnsi" w:hAnsiTheme="minorHAnsi" w:cstheme="minorHAnsi"/>
        </w:rPr>
        <w:t xml:space="preserve">more than double the </w:t>
      </w:r>
      <w:r w:rsidRPr="005560BE">
        <w:rPr>
          <w:rFonts w:asciiTheme="minorHAnsi" w:hAnsiTheme="minorHAnsi" w:cstheme="minorHAnsi"/>
        </w:rPr>
        <w:t>3.2 million hours (365 years) in 2019-20.</w:t>
      </w:r>
      <w:r>
        <w:rPr>
          <w:rFonts w:asciiTheme="minorHAnsi" w:hAnsiTheme="minorHAnsi" w:cstheme="minorHAnsi"/>
        </w:rPr>
        <w:t xml:space="preserve"> </w:t>
      </w:r>
      <w:r w:rsidR="00995D0F">
        <w:rPr>
          <w:rFonts w:asciiTheme="minorHAnsi" w:hAnsiTheme="minorHAnsi" w:cstheme="minorHAnsi"/>
        </w:rPr>
        <w:t>We note that the recent report</w:t>
      </w:r>
      <w:r w:rsidR="00D21042">
        <w:rPr>
          <w:rFonts w:asciiTheme="minorHAnsi" w:hAnsiTheme="minorHAnsi" w:cstheme="minorHAnsi"/>
        </w:rPr>
        <w:t>,</w:t>
      </w:r>
      <w:r w:rsidR="00995D0F">
        <w:rPr>
          <w:rFonts w:asciiTheme="minorHAnsi" w:hAnsiTheme="minorHAnsi" w:cstheme="minorHAnsi"/>
        </w:rPr>
        <w:t xml:space="preserve"> ‘Funding the Nation: Optimising HMRC’, produced by </w:t>
      </w:r>
      <w:r w:rsidR="00995D0F" w:rsidRPr="00995D0F">
        <w:rPr>
          <w:rFonts w:asciiTheme="minorHAnsi" w:hAnsiTheme="minorHAnsi" w:cstheme="minorHAnsi"/>
        </w:rPr>
        <w:t>The Association of Revenue</w:t>
      </w:r>
      <w:r w:rsidR="00995D0F">
        <w:rPr>
          <w:rFonts w:asciiTheme="minorHAnsi" w:hAnsiTheme="minorHAnsi" w:cstheme="minorHAnsi"/>
        </w:rPr>
        <w:t xml:space="preserve"> </w:t>
      </w:r>
      <w:r w:rsidR="00995D0F" w:rsidRPr="00995D0F">
        <w:rPr>
          <w:rFonts w:asciiTheme="minorHAnsi" w:hAnsiTheme="minorHAnsi" w:cstheme="minorHAnsi"/>
        </w:rPr>
        <w:t xml:space="preserve">and Customs, </w:t>
      </w:r>
      <w:r w:rsidR="00995D0F">
        <w:rPr>
          <w:rFonts w:asciiTheme="minorHAnsi" w:hAnsiTheme="minorHAnsi" w:cstheme="minorHAnsi"/>
        </w:rPr>
        <w:t>estimates this much higher at 15.2</w:t>
      </w:r>
      <w:r w:rsidR="00D21042">
        <w:rPr>
          <w:rFonts w:asciiTheme="minorHAnsi" w:hAnsiTheme="minorHAnsi" w:cstheme="minorHAnsi"/>
        </w:rPr>
        <w:t xml:space="preserve"> </w:t>
      </w:r>
      <w:r w:rsidR="00995D0F">
        <w:rPr>
          <w:rFonts w:asciiTheme="minorHAnsi" w:hAnsiTheme="minorHAnsi" w:cstheme="minorHAnsi"/>
        </w:rPr>
        <w:t>m</w:t>
      </w:r>
      <w:r w:rsidR="00D21042">
        <w:rPr>
          <w:rFonts w:asciiTheme="minorHAnsi" w:hAnsiTheme="minorHAnsi" w:cstheme="minorHAnsi"/>
        </w:rPr>
        <w:t>illion</w:t>
      </w:r>
      <w:r w:rsidR="00995D0F">
        <w:rPr>
          <w:rFonts w:asciiTheme="minorHAnsi" w:hAnsiTheme="minorHAnsi" w:cstheme="minorHAnsi"/>
        </w:rPr>
        <w:t xml:space="preserve"> hours. Wh</w:t>
      </w:r>
      <w:r w:rsidR="00D21042">
        <w:rPr>
          <w:rFonts w:asciiTheme="minorHAnsi" w:hAnsiTheme="minorHAnsi" w:cstheme="minorHAnsi"/>
        </w:rPr>
        <w:t>ich</w:t>
      </w:r>
      <w:r w:rsidR="00995D0F">
        <w:rPr>
          <w:rFonts w:asciiTheme="minorHAnsi" w:hAnsiTheme="minorHAnsi" w:cstheme="minorHAnsi"/>
        </w:rPr>
        <w:t>ever analysis is adopted, w</w:t>
      </w:r>
      <w:r w:rsidR="00DD5A78" w:rsidRPr="00995D0F">
        <w:rPr>
          <w:rFonts w:asciiTheme="minorHAnsi" w:hAnsiTheme="minorHAnsi" w:cstheme="minorHAnsi"/>
        </w:rPr>
        <w:t xml:space="preserve">hile March 2024 performance figures have not yet been published, </w:t>
      </w:r>
      <w:r w:rsidRPr="00995D0F">
        <w:rPr>
          <w:rFonts w:asciiTheme="minorHAnsi" w:hAnsiTheme="minorHAnsi" w:cstheme="minorHAnsi"/>
        </w:rPr>
        <w:t>2023-24 is likely to be even higher</w:t>
      </w:r>
      <w:r w:rsidR="00995D0F">
        <w:rPr>
          <w:rFonts w:asciiTheme="minorHAnsi" w:hAnsiTheme="minorHAnsi" w:cstheme="minorHAnsi"/>
        </w:rPr>
        <w:t>. S</w:t>
      </w:r>
      <w:r w:rsidRPr="00995D0F">
        <w:rPr>
          <w:rFonts w:asciiTheme="minorHAnsi" w:hAnsiTheme="minorHAnsi" w:cstheme="minorHAnsi"/>
        </w:rPr>
        <w:t>imilar number</w:t>
      </w:r>
      <w:r w:rsidR="00995D0F">
        <w:rPr>
          <w:rFonts w:asciiTheme="minorHAnsi" w:hAnsiTheme="minorHAnsi" w:cstheme="minorHAnsi"/>
        </w:rPr>
        <w:t>s</w:t>
      </w:r>
      <w:r w:rsidRPr="00995D0F">
        <w:rPr>
          <w:rFonts w:asciiTheme="minorHAnsi" w:hAnsiTheme="minorHAnsi" w:cstheme="minorHAnsi"/>
        </w:rPr>
        <w:t xml:space="preserve"> of calls </w:t>
      </w:r>
      <w:r w:rsidR="00DD5A78" w:rsidRPr="00995D0F">
        <w:rPr>
          <w:rFonts w:asciiTheme="minorHAnsi" w:hAnsiTheme="minorHAnsi" w:cstheme="minorHAnsi"/>
        </w:rPr>
        <w:t>were received</w:t>
      </w:r>
      <w:r w:rsidR="00995D0F">
        <w:rPr>
          <w:rFonts w:asciiTheme="minorHAnsi" w:hAnsiTheme="minorHAnsi" w:cstheme="minorHAnsi"/>
        </w:rPr>
        <w:t xml:space="preserve"> by HMRC</w:t>
      </w:r>
      <w:r w:rsidR="00DD5A78" w:rsidRPr="00995D0F">
        <w:rPr>
          <w:rFonts w:asciiTheme="minorHAnsi" w:hAnsiTheme="minorHAnsi" w:cstheme="minorHAnsi"/>
        </w:rPr>
        <w:t xml:space="preserve"> over equivalent period</w:t>
      </w:r>
      <w:r w:rsidR="00995D0F">
        <w:rPr>
          <w:rFonts w:asciiTheme="minorHAnsi" w:hAnsiTheme="minorHAnsi" w:cstheme="minorHAnsi"/>
        </w:rPr>
        <w:t>s</w:t>
      </w:r>
      <w:r w:rsidR="00DD5A78" w:rsidRPr="00995D0F">
        <w:rPr>
          <w:rFonts w:asciiTheme="minorHAnsi" w:hAnsiTheme="minorHAnsi" w:cstheme="minorHAnsi"/>
        </w:rPr>
        <w:t>, yet average call waiting times in 2023-24 were around 40% longer</w:t>
      </w:r>
      <w:r w:rsidR="00995D0F">
        <w:rPr>
          <w:rFonts w:asciiTheme="minorHAnsi" w:hAnsiTheme="minorHAnsi" w:cstheme="minorHAnsi"/>
        </w:rPr>
        <w:t xml:space="preserve"> than in 2022-23</w:t>
      </w:r>
      <w:r w:rsidR="00DD5A78" w:rsidRPr="00995D0F">
        <w:rPr>
          <w:rFonts w:asciiTheme="minorHAnsi" w:hAnsiTheme="minorHAnsi" w:cstheme="minorHAnsi"/>
        </w:rPr>
        <w:t xml:space="preserve"> (22:50 year to date February 2024, vers</w:t>
      </w:r>
      <w:r w:rsidR="00BE2DDA">
        <w:rPr>
          <w:rFonts w:asciiTheme="minorHAnsi" w:hAnsiTheme="minorHAnsi" w:cstheme="minorHAnsi"/>
        </w:rPr>
        <w:t>u</w:t>
      </w:r>
      <w:r w:rsidR="00DD5A78" w:rsidRPr="00995D0F">
        <w:rPr>
          <w:rFonts w:asciiTheme="minorHAnsi" w:hAnsiTheme="minorHAnsi" w:cstheme="minorHAnsi"/>
        </w:rPr>
        <w:t>s 16:24 for the year 2022-23).</w:t>
      </w:r>
    </w:p>
    <w:p w14:paraId="72362528" w14:textId="77777777" w:rsidR="009237C8" w:rsidRPr="00995D0F" w:rsidRDefault="009237C8" w:rsidP="009237C8">
      <w:pPr>
        <w:pStyle w:val="ListParagraph"/>
        <w:ind w:left="680"/>
        <w:jc w:val="both"/>
        <w:rPr>
          <w:rFonts w:asciiTheme="minorHAnsi" w:hAnsiTheme="minorHAnsi" w:cstheme="minorHAnsi"/>
        </w:rPr>
      </w:pPr>
    </w:p>
    <w:p w14:paraId="6660E844" w14:textId="1A01E87B" w:rsidR="001F751B" w:rsidRPr="004073BC" w:rsidRDefault="00985588" w:rsidP="004073BC">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While we welcome the recent announcement</w:t>
      </w:r>
      <w:r>
        <w:rPr>
          <w:rStyle w:val="FootnoteReference"/>
          <w:rFonts w:asciiTheme="minorHAnsi" w:hAnsiTheme="minorHAnsi" w:cstheme="minorHAnsi"/>
        </w:rPr>
        <w:footnoteReference w:id="6"/>
      </w:r>
      <w:r>
        <w:rPr>
          <w:rFonts w:asciiTheme="minorHAnsi" w:hAnsiTheme="minorHAnsi" w:cstheme="minorHAnsi"/>
        </w:rPr>
        <w:t xml:space="preserve"> of an additional £51</w:t>
      </w:r>
      <w:r w:rsidR="007F34AA">
        <w:rPr>
          <w:rFonts w:asciiTheme="minorHAnsi" w:hAnsiTheme="minorHAnsi" w:cstheme="minorHAnsi"/>
        </w:rPr>
        <w:t xml:space="preserve"> </w:t>
      </w:r>
      <w:r>
        <w:rPr>
          <w:rFonts w:asciiTheme="minorHAnsi" w:hAnsiTheme="minorHAnsi" w:cstheme="minorHAnsi"/>
        </w:rPr>
        <w:t>m</w:t>
      </w:r>
      <w:r w:rsidR="007F34AA">
        <w:rPr>
          <w:rFonts w:asciiTheme="minorHAnsi" w:hAnsiTheme="minorHAnsi" w:cstheme="minorHAnsi"/>
        </w:rPr>
        <w:t>illion</w:t>
      </w:r>
      <w:r>
        <w:rPr>
          <w:rFonts w:asciiTheme="minorHAnsi" w:hAnsiTheme="minorHAnsi" w:cstheme="minorHAnsi"/>
        </w:rPr>
        <w:t xml:space="preserve"> of </w:t>
      </w:r>
      <w:r w:rsidR="00FE29D8">
        <w:rPr>
          <w:rFonts w:asciiTheme="minorHAnsi" w:hAnsiTheme="minorHAnsi" w:cstheme="minorHAnsi"/>
        </w:rPr>
        <w:t xml:space="preserve">funding for </w:t>
      </w:r>
      <w:r>
        <w:rPr>
          <w:rFonts w:asciiTheme="minorHAnsi" w:hAnsiTheme="minorHAnsi" w:cstheme="minorHAnsi"/>
        </w:rPr>
        <w:t xml:space="preserve">HMRC customer services, this represents </w:t>
      </w:r>
      <w:r w:rsidR="00C51D4C">
        <w:rPr>
          <w:rFonts w:asciiTheme="minorHAnsi" w:hAnsiTheme="minorHAnsi" w:cstheme="minorHAnsi"/>
        </w:rPr>
        <w:t>less than 6% of HMRC’s customer service budget (£881</w:t>
      </w:r>
      <w:r w:rsidR="007F34AA">
        <w:rPr>
          <w:rFonts w:asciiTheme="minorHAnsi" w:hAnsiTheme="minorHAnsi" w:cstheme="minorHAnsi"/>
        </w:rPr>
        <w:t xml:space="preserve"> </w:t>
      </w:r>
      <w:r w:rsidR="00C51D4C">
        <w:rPr>
          <w:rFonts w:asciiTheme="minorHAnsi" w:hAnsiTheme="minorHAnsi" w:cstheme="minorHAnsi"/>
        </w:rPr>
        <w:t>m</w:t>
      </w:r>
      <w:r w:rsidR="007F34AA">
        <w:rPr>
          <w:rFonts w:asciiTheme="minorHAnsi" w:hAnsiTheme="minorHAnsi" w:cstheme="minorHAnsi"/>
        </w:rPr>
        <w:t>illion</w:t>
      </w:r>
      <w:r w:rsidR="00C51D4C">
        <w:rPr>
          <w:rFonts w:asciiTheme="minorHAnsi" w:hAnsiTheme="minorHAnsi" w:cstheme="minorHAnsi"/>
        </w:rPr>
        <w:t xml:space="preserve"> net cost in 2022-23), </w:t>
      </w:r>
      <w:r w:rsidR="009275D3">
        <w:rPr>
          <w:rFonts w:asciiTheme="minorHAnsi" w:hAnsiTheme="minorHAnsi" w:cstheme="minorHAnsi"/>
        </w:rPr>
        <w:t xml:space="preserve">and is being provided in a context where </w:t>
      </w:r>
      <w:r w:rsidR="00C51D4C">
        <w:rPr>
          <w:rFonts w:asciiTheme="minorHAnsi" w:hAnsiTheme="minorHAnsi" w:cstheme="minorHAnsi"/>
        </w:rPr>
        <w:t xml:space="preserve">HMRC is </w:t>
      </w:r>
      <w:r w:rsidR="009275D3">
        <w:rPr>
          <w:rFonts w:asciiTheme="minorHAnsi" w:hAnsiTheme="minorHAnsi" w:cstheme="minorHAnsi"/>
        </w:rPr>
        <w:t xml:space="preserve">being </w:t>
      </w:r>
      <w:r w:rsidR="00C51D4C">
        <w:rPr>
          <w:rFonts w:asciiTheme="minorHAnsi" w:hAnsiTheme="minorHAnsi" w:cstheme="minorHAnsi"/>
        </w:rPr>
        <w:t xml:space="preserve">expected to deliver efficiency savings </w:t>
      </w:r>
      <w:r w:rsidR="001F751B">
        <w:rPr>
          <w:rFonts w:asciiTheme="minorHAnsi" w:hAnsiTheme="minorHAnsi" w:cstheme="minorHAnsi"/>
        </w:rPr>
        <w:t xml:space="preserve">within this budget </w:t>
      </w:r>
      <w:r w:rsidR="009275D3">
        <w:rPr>
          <w:rFonts w:asciiTheme="minorHAnsi" w:hAnsiTheme="minorHAnsi" w:cstheme="minorHAnsi"/>
        </w:rPr>
        <w:t xml:space="preserve">(customer services) </w:t>
      </w:r>
      <w:r w:rsidR="00C51D4C">
        <w:rPr>
          <w:rFonts w:asciiTheme="minorHAnsi" w:hAnsiTheme="minorHAnsi" w:cstheme="minorHAnsi"/>
        </w:rPr>
        <w:t>of at least £116</w:t>
      </w:r>
      <w:r w:rsidR="007F34AA">
        <w:rPr>
          <w:rFonts w:asciiTheme="minorHAnsi" w:hAnsiTheme="minorHAnsi" w:cstheme="minorHAnsi"/>
        </w:rPr>
        <w:t xml:space="preserve"> </w:t>
      </w:r>
      <w:r w:rsidR="00C51D4C">
        <w:rPr>
          <w:rFonts w:asciiTheme="minorHAnsi" w:hAnsiTheme="minorHAnsi" w:cstheme="minorHAnsi"/>
        </w:rPr>
        <w:t>m</w:t>
      </w:r>
      <w:r w:rsidR="007F34AA">
        <w:rPr>
          <w:rFonts w:asciiTheme="minorHAnsi" w:hAnsiTheme="minorHAnsi" w:cstheme="minorHAnsi"/>
        </w:rPr>
        <w:t>illion</w:t>
      </w:r>
      <w:r w:rsidR="00C51D4C">
        <w:rPr>
          <w:rFonts w:asciiTheme="minorHAnsi" w:hAnsiTheme="minorHAnsi" w:cstheme="minorHAnsi"/>
        </w:rPr>
        <w:t xml:space="preserve"> in 2024-25. </w:t>
      </w:r>
      <w:r w:rsidR="009275D3">
        <w:rPr>
          <w:rFonts w:asciiTheme="minorHAnsi" w:hAnsiTheme="minorHAnsi" w:cstheme="minorHAnsi"/>
        </w:rPr>
        <w:t>Thus</w:t>
      </w:r>
      <w:r w:rsidR="00540C21">
        <w:rPr>
          <w:rFonts w:asciiTheme="minorHAnsi" w:hAnsiTheme="minorHAnsi" w:cstheme="minorHAnsi"/>
        </w:rPr>
        <w:t>,</w:t>
      </w:r>
      <w:r w:rsidR="009275D3">
        <w:rPr>
          <w:rFonts w:asciiTheme="minorHAnsi" w:hAnsiTheme="minorHAnsi" w:cstheme="minorHAnsi"/>
        </w:rPr>
        <w:t xml:space="preserve"> it appears </w:t>
      </w:r>
      <w:r w:rsidR="00D3689F">
        <w:rPr>
          <w:rFonts w:asciiTheme="minorHAnsi" w:hAnsiTheme="minorHAnsi" w:cstheme="minorHAnsi"/>
        </w:rPr>
        <w:t xml:space="preserve">likely </w:t>
      </w:r>
      <w:r w:rsidR="00C51D4C">
        <w:rPr>
          <w:rFonts w:asciiTheme="minorHAnsi" w:hAnsiTheme="minorHAnsi" w:cstheme="minorHAnsi"/>
        </w:rPr>
        <w:t xml:space="preserve">that this </w:t>
      </w:r>
      <w:r w:rsidR="00FE29D8">
        <w:rPr>
          <w:rFonts w:asciiTheme="minorHAnsi" w:hAnsiTheme="minorHAnsi" w:cstheme="minorHAnsi"/>
        </w:rPr>
        <w:t xml:space="preserve">£51 million injection </w:t>
      </w:r>
      <w:r w:rsidR="00D3689F">
        <w:rPr>
          <w:rFonts w:asciiTheme="minorHAnsi" w:hAnsiTheme="minorHAnsi" w:cstheme="minorHAnsi"/>
        </w:rPr>
        <w:t xml:space="preserve">will merely </w:t>
      </w:r>
      <w:r w:rsidR="00C51D4C">
        <w:rPr>
          <w:rFonts w:asciiTheme="minorHAnsi" w:hAnsiTheme="minorHAnsi" w:cstheme="minorHAnsi"/>
        </w:rPr>
        <w:t xml:space="preserve">slow the pace of cuts in HMRC’s services, </w:t>
      </w:r>
      <w:r w:rsidR="00FE29D8">
        <w:rPr>
          <w:rFonts w:asciiTheme="minorHAnsi" w:hAnsiTheme="minorHAnsi" w:cstheme="minorHAnsi"/>
        </w:rPr>
        <w:t xml:space="preserve">rather than </w:t>
      </w:r>
      <w:r w:rsidR="00D3689F">
        <w:rPr>
          <w:rFonts w:asciiTheme="minorHAnsi" w:hAnsiTheme="minorHAnsi" w:cstheme="minorHAnsi"/>
        </w:rPr>
        <w:t xml:space="preserve">providing a basis for </w:t>
      </w:r>
      <w:r w:rsidR="00B758FB">
        <w:rPr>
          <w:rFonts w:asciiTheme="minorHAnsi" w:hAnsiTheme="minorHAnsi" w:cstheme="minorHAnsi"/>
        </w:rPr>
        <w:t>improvements.</w:t>
      </w:r>
      <w:r w:rsidR="001F751B">
        <w:rPr>
          <w:rFonts w:asciiTheme="minorHAnsi" w:hAnsiTheme="minorHAnsi" w:cstheme="minorHAnsi"/>
        </w:rPr>
        <w:t xml:space="preserve"> </w:t>
      </w:r>
    </w:p>
    <w:p w14:paraId="223C76C7" w14:textId="1B003D7C" w:rsidR="00DD5A78" w:rsidRPr="005560BE" w:rsidRDefault="00B758FB" w:rsidP="005560BE">
      <w:pPr>
        <w:pStyle w:val="ListParagraph"/>
        <w:numPr>
          <w:ilvl w:val="1"/>
          <w:numId w:val="6"/>
        </w:numPr>
        <w:contextualSpacing w:val="0"/>
        <w:jc w:val="both"/>
        <w:rPr>
          <w:rFonts w:asciiTheme="minorHAnsi" w:hAnsiTheme="minorHAnsi" w:cstheme="minorHAnsi"/>
        </w:rPr>
      </w:pPr>
      <w:r w:rsidRPr="00B758FB">
        <w:rPr>
          <w:rFonts w:asciiTheme="minorHAnsi" w:hAnsiTheme="minorHAnsi" w:cstheme="minorHAnsi"/>
        </w:rPr>
        <w:t xml:space="preserve">Helping willing taxpayers to be compliant is a vital part of HMRC’s job. Unless and until automated digital services can be radically improved HMRC must be provided with the resources to provide all year round, well-publicised help and advice to taxpayers from a human adviser over phone and webchat. </w:t>
      </w:r>
    </w:p>
    <w:p w14:paraId="04A584E4" w14:textId="77777777" w:rsidR="00EA476B" w:rsidRDefault="00EA476B" w:rsidP="00D849C0">
      <w:pPr>
        <w:jc w:val="both"/>
        <w:rPr>
          <w:rFonts w:asciiTheme="minorHAnsi" w:hAnsiTheme="minorHAnsi" w:cstheme="minorHAnsi"/>
        </w:rPr>
      </w:pPr>
    </w:p>
    <w:p w14:paraId="5CE7D513" w14:textId="77777777" w:rsidR="00EA476B" w:rsidRPr="00405DCD" w:rsidRDefault="0028538B" w:rsidP="00EA476B">
      <w:pPr>
        <w:pStyle w:val="ListParagraph"/>
        <w:numPr>
          <w:ilvl w:val="0"/>
          <w:numId w:val="6"/>
        </w:numPr>
        <w:contextualSpacing w:val="0"/>
        <w:jc w:val="both"/>
        <w:rPr>
          <w:rFonts w:asciiTheme="minorHAnsi" w:hAnsiTheme="minorHAnsi" w:cstheme="minorHAnsi"/>
          <w:b/>
          <w:bCs/>
        </w:rPr>
      </w:pPr>
      <w:r>
        <w:rPr>
          <w:rFonts w:asciiTheme="minorHAnsi" w:hAnsiTheme="minorHAnsi" w:cstheme="minorHAnsi"/>
          <w:b/>
          <w:bCs/>
        </w:rPr>
        <w:t>HMRC’s announcements regarding its telephone lines</w:t>
      </w:r>
    </w:p>
    <w:p w14:paraId="64111A7A" w14:textId="0752E168" w:rsidR="00A2505D" w:rsidRDefault="00C521E8" w:rsidP="00EA476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In our previous evidence </w:t>
      </w:r>
      <w:r w:rsidR="003B16C3">
        <w:rPr>
          <w:rFonts w:asciiTheme="minorHAnsi" w:hAnsiTheme="minorHAnsi" w:cstheme="minorHAnsi"/>
        </w:rPr>
        <w:t xml:space="preserve">to the </w:t>
      </w:r>
      <w:r w:rsidR="00540C21">
        <w:rPr>
          <w:rFonts w:asciiTheme="minorHAnsi" w:hAnsiTheme="minorHAnsi" w:cstheme="minorHAnsi"/>
        </w:rPr>
        <w:t>committee,</w:t>
      </w:r>
      <w:r w:rsidR="003B16C3">
        <w:rPr>
          <w:rFonts w:asciiTheme="minorHAnsi" w:hAnsiTheme="minorHAnsi" w:cstheme="minorHAnsi"/>
        </w:rPr>
        <w:t xml:space="preserve"> </w:t>
      </w:r>
      <w:r>
        <w:rPr>
          <w:rFonts w:asciiTheme="minorHAnsi" w:hAnsiTheme="minorHAnsi" w:cstheme="minorHAnsi"/>
        </w:rPr>
        <w:t xml:space="preserve">we expressed concern that HMRC were adopting radical strategies, such as the closure of telephone lines and diverting callers to online resources. Unfortunately, this approach </w:t>
      </w:r>
      <w:r w:rsidR="003B16C3">
        <w:rPr>
          <w:rFonts w:asciiTheme="minorHAnsi" w:hAnsiTheme="minorHAnsi" w:cstheme="minorHAnsi"/>
        </w:rPr>
        <w:t xml:space="preserve">has </w:t>
      </w:r>
      <w:r>
        <w:rPr>
          <w:rFonts w:asciiTheme="minorHAnsi" w:hAnsiTheme="minorHAnsi" w:cstheme="minorHAnsi"/>
        </w:rPr>
        <w:t>continued</w:t>
      </w:r>
      <w:r w:rsidR="00A2505D">
        <w:rPr>
          <w:rFonts w:asciiTheme="minorHAnsi" w:hAnsiTheme="minorHAnsi" w:cstheme="minorHAnsi"/>
        </w:rPr>
        <w:t xml:space="preserve"> since</w:t>
      </w:r>
      <w:r>
        <w:rPr>
          <w:rFonts w:asciiTheme="minorHAnsi" w:hAnsiTheme="minorHAnsi" w:cstheme="minorHAnsi"/>
        </w:rPr>
        <w:t xml:space="preserve">, </w:t>
      </w:r>
      <w:r w:rsidR="00A2505D">
        <w:rPr>
          <w:rFonts w:asciiTheme="minorHAnsi" w:hAnsiTheme="minorHAnsi" w:cstheme="minorHAnsi"/>
        </w:rPr>
        <w:t>resulting in the 19 March announcement of big, permanent cuts to HMRC’s self-assessment, VAT and PAYE helplines.</w:t>
      </w:r>
    </w:p>
    <w:p w14:paraId="14EC4051" w14:textId="3014DECD" w:rsidR="002F7B31" w:rsidRDefault="002F7B31" w:rsidP="00EA476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We strongly criticised this announcement, describing it as misguided</w:t>
      </w:r>
      <w:r w:rsidR="007E7876">
        <w:rPr>
          <w:rFonts w:asciiTheme="minorHAnsi" w:hAnsiTheme="minorHAnsi" w:cstheme="minorHAnsi"/>
        </w:rPr>
        <w:t xml:space="preserve"> and saying we were ‘deeply dismayed’</w:t>
      </w:r>
      <w:r w:rsidRPr="002F7B31">
        <w:rPr>
          <w:rFonts w:asciiTheme="minorHAnsi" w:hAnsiTheme="minorHAnsi" w:cstheme="minorHAnsi"/>
        </w:rPr>
        <w:t xml:space="preserve">.  </w:t>
      </w:r>
      <w:r>
        <w:rPr>
          <w:rFonts w:asciiTheme="minorHAnsi" w:hAnsiTheme="minorHAnsi" w:cstheme="minorHAnsi"/>
        </w:rPr>
        <w:t>We said that</w:t>
      </w:r>
      <w:r w:rsidRPr="002F7B31">
        <w:rPr>
          <w:rFonts w:asciiTheme="minorHAnsi" w:hAnsiTheme="minorHAnsi" w:cstheme="minorHAnsi"/>
        </w:rPr>
        <w:t xml:space="preserve">, if </w:t>
      </w:r>
      <w:r>
        <w:rPr>
          <w:rFonts w:asciiTheme="minorHAnsi" w:hAnsiTheme="minorHAnsi" w:cstheme="minorHAnsi"/>
        </w:rPr>
        <w:t xml:space="preserve">2023’s </w:t>
      </w:r>
      <w:r w:rsidRPr="002F7B31">
        <w:rPr>
          <w:rFonts w:asciiTheme="minorHAnsi" w:hAnsiTheme="minorHAnsi" w:cstheme="minorHAnsi"/>
        </w:rPr>
        <w:t xml:space="preserve">temporary closure was – as </w:t>
      </w:r>
      <w:r>
        <w:rPr>
          <w:rFonts w:asciiTheme="minorHAnsi" w:hAnsiTheme="minorHAnsi" w:cstheme="minorHAnsi"/>
        </w:rPr>
        <w:t>we</w:t>
      </w:r>
      <w:r w:rsidRPr="002F7B31">
        <w:rPr>
          <w:rFonts w:asciiTheme="minorHAnsi" w:hAnsiTheme="minorHAnsi" w:cstheme="minorHAnsi"/>
        </w:rPr>
        <w:t xml:space="preserve"> said at the time - a ‘flashing indicator’ that HMRC could not cope, the new announcement was a </w:t>
      </w:r>
      <w:r>
        <w:rPr>
          <w:rFonts w:asciiTheme="minorHAnsi" w:hAnsiTheme="minorHAnsi" w:cstheme="minorHAnsi"/>
        </w:rPr>
        <w:t>‘</w:t>
      </w:r>
      <w:r w:rsidRPr="002F7B31">
        <w:rPr>
          <w:rFonts w:asciiTheme="minorHAnsi" w:hAnsiTheme="minorHAnsi" w:cstheme="minorHAnsi"/>
        </w:rPr>
        <w:t>blinding light</w:t>
      </w:r>
      <w:r>
        <w:rPr>
          <w:rFonts w:asciiTheme="minorHAnsi" w:hAnsiTheme="minorHAnsi" w:cstheme="minorHAnsi"/>
        </w:rPr>
        <w:t>’</w:t>
      </w:r>
      <w:r w:rsidRPr="002F7B31">
        <w:rPr>
          <w:rFonts w:asciiTheme="minorHAnsi" w:hAnsiTheme="minorHAnsi" w:cstheme="minorHAnsi"/>
        </w:rPr>
        <w:t>.</w:t>
      </w:r>
    </w:p>
    <w:p w14:paraId="4C7B9012" w14:textId="3DE83257" w:rsidR="00C521E8" w:rsidRDefault="006C0F00" w:rsidP="00EA476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lastRenderedPageBreak/>
        <w:t xml:space="preserve">This reaction should not have come as a surprise to HMRC. </w:t>
      </w:r>
      <w:r w:rsidR="00BE2DDA">
        <w:rPr>
          <w:rFonts w:asciiTheme="minorHAnsi" w:hAnsiTheme="minorHAnsi" w:cstheme="minorHAnsi"/>
        </w:rPr>
        <w:t>We (and other professional bodies) had raised concerns about th</w:t>
      </w:r>
      <w:r>
        <w:rPr>
          <w:rFonts w:asciiTheme="minorHAnsi" w:hAnsiTheme="minorHAnsi" w:cstheme="minorHAnsi"/>
        </w:rPr>
        <w:t>is</w:t>
      </w:r>
      <w:r w:rsidR="00BE2DDA">
        <w:rPr>
          <w:rFonts w:asciiTheme="minorHAnsi" w:hAnsiTheme="minorHAnsi" w:cstheme="minorHAnsi"/>
        </w:rPr>
        <w:t xml:space="preserve"> approach</w:t>
      </w:r>
      <w:r>
        <w:rPr>
          <w:rFonts w:asciiTheme="minorHAnsi" w:hAnsiTheme="minorHAnsi" w:cstheme="minorHAnsi"/>
        </w:rPr>
        <w:t xml:space="preserve"> on numerous occasions</w:t>
      </w:r>
      <w:r w:rsidR="00BE2DDA">
        <w:rPr>
          <w:rFonts w:asciiTheme="minorHAnsi" w:hAnsiTheme="minorHAnsi" w:cstheme="minorHAnsi"/>
        </w:rPr>
        <w:t xml:space="preserve">, and </w:t>
      </w:r>
      <w:r>
        <w:rPr>
          <w:rFonts w:asciiTheme="minorHAnsi" w:hAnsiTheme="minorHAnsi" w:cstheme="minorHAnsi"/>
        </w:rPr>
        <w:t xml:space="preserve">repeatedly </w:t>
      </w:r>
      <w:r w:rsidR="00BE2DDA">
        <w:rPr>
          <w:rFonts w:asciiTheme="minorHAnsi" w:hAnsiTheme="minorHAnsi" w:cstheme="minorHAnsi"/>
        </w:rPr>
        <w:t>questioned the evidence HMRC claimed supported it</w:t>
      </w:r>
      <w:r w:rsidR="00C51D4C">
        <w:rPr>
          <w:rFonts w:asciiTheme="minorHAnsi" w:hAnsiTheme="minorHAnsi" w:cstheme="minorHAnsi"/>
        </w:rPr>
        <w:t>.</w:t>
      </w:r>
    </w:p>
    <w:p w14:paraId="3B52DEA0" w14:textId="24457649" w:rsidR="00CB3EE2" w:rsidRDefault="001944B2" w:rsidP="00C51D4C">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We did not find t</w:t>
      </w:r>
      <w:r w:rsidR="00C37086">
        <w:rPr>
          <w:rFonts w:asciiTheme="minorHAnsi" w:hAnsiTheme="minorHAnsi" w:cstheme="minorHAnsi"/>
        </w:rPr>
        <w:t>h</w:t>
      </w:r>
      <w:r w:rsidR="008753E1">
        <w:rPr>
          <w:rFonts w:asciiTheme="minorHAnsi" w:hAnsiTheme="minorHAnsi" w:cstheme="minorHAnsi"/>
        </w:rPr>
        <w:t>e</w:t>
      </w:r>
      <w:r w:rsidR="00C37086">
        <w:rPr>
          <w:rFonts w:asciiTheme="minorHAnsi" w:hAnsiTheme="minorHAnsi" w:cstheme="minorHAnsi"/>
        </w:rPr>
        <w:t xml:space="preserve"> </w:t>
      </w:r>
      <w:r w:rsidR="008753E1">
        <w:rPr>
          <w:rFonts w:asciiTheme="minorHAnsi" w:hAnsiTheme="minorHAnsi" w:cstheme="minorHAnsi"/>
        </w:rPr>
        <w:t xml:space="preserve">evaluation published by HMRC </w:t>
      </w:r>
      <w:r>
        <w:rPr>
          <w:rFonts w:asciiTheme="minorHAnsi" w:hAnsiTheme="minorHAnsi" w:cstheme="minorHAnsi"/>
        </w:rPr>
        <w:t xml:space="preserve">on 19 March, </w:t>
      </w:r>
      <w:r w:rsidR="008753E1">
        <w:rPr>
          <w:rFonts w:asciiTheme="minorHAnsi" w:hAnsiTheme="minorHAnsi" w:cstheme="minorHAnsi"/>
        </w:rPr>
        <w:t>alongside its closure announcement</w:t>
      </w:r>
      <w:r>
        <w:rPr>
          <w:rFonts w:asciiTheme="minorHAnsi" w:hAnsiTheme="minorHAnsi" w:cstheme="minorHAnsi"/>
        </w:rPr>
        <w:t>, persuasive</w:t>
      </w:r>
      <w:r w:rsidR="00433616">
        <w:rPr>
          <w:rFonts w:asciiTheme="minorHAnsi" w:hAnsiTheme="minorHAnsi" w:cstheme="minorHAnsi"/>
        </w:rPr>
        <w:t xml:space="preserve"> on the merits of previous helpline closure trials</w:t>
      </w:r>
      <w:r>
        <w:rPr>
          <w:rFonts w:asciiTheme="minorHAnsi" w:hAnsiTheme="minorHAnsi" w:cstheme="minorHAnsi"/>
        </w:rPr>
        <w:t>.</w:t>
      </w:r>
      <w:r w:rsidR="00CB3EE2">
        <w:rPr>
          <w:rStyle w:val="FootnoteReference"/>
          <w:rFonts w:asciiTheme="minorHAnsi" w:hAnsiTheme="minorHAnsi" w:cstheme="minorHAnsi"/>
        </w:rPr>
        <w:footnoteReference w:id="7"/>
      </w:r>
      <w:r w:rsidR="00CB3EE2">
        <w:rPr>
          <w:rFonts w:asciiTheme="minorHAnsi" w:hAnsiTheme="minorHAnsi" w:cstheme="minorHAnsi"/>
        </w:rPr>
        <w:t xml:space="preserve"> It is instructive to quote from the detailed evaluation paper:</w:t>
      </w:r>
    </w:p>
    <w:p w14:paraId="75338307" w14:textId="77777777" w:rsidR="00CB3EE2" w:rsidRDefault="00CB3EE2" w:rsidP="00CB3EE2">
      <w:pPr>
        <w:pStyle w:val="ListParagraph"/>
        <w:ind w:left="1080"/>
        <w:contextualSpacing w:val="0"/>
        <w:jc w:val="both"/>
        <w:rPr>
          <w:rFonts w:asciiTheme="minorHAnsi" w:hAnsiTheme="minorHAnsi" w:cstheme="minorHAnsi"/>
        </w:rPr>
      </w:pPr>
      <w:r>
        <w:rPr>
          <w:rFonts w:asciiTheme="minorHAnsi" w:hAnsiTheme="minorHAnsi" w:cstheme="minorHAnsi"/>
        </w:rPr>
        <w:t>“</w:t>
      </w:r>
      <w:r w:rsidRPr="00CB3EE2">
        <w:rPr>
          <w:rFonts w:asciiTheme="minorHAnsi" w:hAnsiTheme="minorHAnsi" w:cstheme="minorHAnsi"/>
        </w:rPr>
        <w:t>Part A: Seasonal model trial</w:t>
      </w:r>
      <w:r>
        <w:rPr>
          <w:rFonts w:asciiTheme="minorHAnsi" w:hAnsiTheme="minorHAnsi" w:cstheme="minorHAnsi"/>
        </w:rPr>
        <w:t>…</w:t>
      </w:r>
    </w:p>
    <w:p w14:paraId="54369AC1" w14:textId="77777777" w:rsidR="00CB3EE2" w:rsidRPr="00CB3EE2" w:rsidRDefault="00CB3EE2" w:rsidP="00CB3EE2">
      <w:pPr>
        <w:pStyle w:val="ListParagraph"/>
        <w:ind w:left="1080"/>
        <w:contextualSpacing w:val="0"/>
        <w:jc w:val="both"/>
        <w:rPr>
          <w:rFonts w:asciiTheme="minorHAnsi" w:hAnsiTheme="minorHAnsi" w:cstheme="minorHAnsi"/>
          <w:i/>
          <w:iCs/>
        </w:rPr>
      </w:pPr>
      <w:r w:rsidRPr="00CB3EE2">
        <w:rPr>
          <w:rFonts w:asciiTheme="minorHAnsi" w:hAnsiTheme="minorHAnsi" w:cstheme="minorHAnsi"/>
          <w:i/>
          <w:iCs/>
        </w:rPr>
        <w:t>Question 4: Did the seasonal SA model trial result in a long-term shift from phone contact to online self-service?</w:t>
      </w:r>
    </w:p>
    <w:p w14:paraId="4DDBB7A7" w14:textId="77777777" w:rsidR="00CB3EE2" w:rsidRDefault="00CB3EE2" w:rsidP="00CB3EE2">
      <w:pPr>
        <w:pStyle w:val="ListParagraph"/>
        <w:ind w:left="1080"/>
        <w:contextualSpacing w:val="0"/>
        <w:jc w:val="both"/>
        <w:rPr>
          <w:rFonts w:asciiTheme="minorHAnsi" w:hAnsiTheme="minorHAnsi" w:cstheme="minorHAnsi"/>
        </w:rPr>
      </w:pPr>
      <w:r w:rsidRPr="00CB3EE2">
        <w:rPr>
          <w:rFonts w:asciiTheme="minorHAnsi" w:hAnsiTheme="minorHAnsi" w:cstheme="minorHAnsi"/>
          <w:i/>
          <w:iCs/>
        </w:rPr>
        <w:t>It is too early to say if the trial has changed contact from phone to online self-service</w:t>
      </w:r>
      <w:r w:rsidRPr="00CB3EE2">
        <w:rPr>
          <w:rFonts w:asciiTheme="minorHAnsi" w:hAnsiTheme="minorHAnsi" w:cstheme="minorHAnsi"/>
        </w:rPr>
        <w:t>.</w:t>
      </w:r>
    </w:p>
    <w:p w14:paraId="01215DD5" w14:textId="77777777" w:rsidR="00C51D4C" w:rsidRDefault="00C51D4C" w:rsidP="00CB3EE2">
      <w:pPr>
        <w:pStyle w:val="ListParagraph"/>
        <w:ind w:left="1080"/>
        <w:contextualSpacing w:val="0"/>
        <w:jc w:val="both"/>
        <w:rPr>
          <w:rFonts w:asciiTheme="minorHAnsi" w:hAnsiTheme="minorHAnsi" w:cstheme="minorHAnsi"/>
        </w:rPr>
      </w:pPr>
      <w:r>
        <w:rPr>
          <w:rFonts w:asciiTheme="minorHAnsi" w:hAnsiTheme="minorHAnsi" w:cstheme="minorHAnsi"/>
        </w:rPr>
        <w:t>…</w:t>
      </w:r>
    </w:p>
    <w:p w14:paraId="781977E3" w14:textId="77777777" w:rsidR="00CB3EE2" w:rsidRDefault="00CB3EE2" w:rsidP="00CB3EE2">
      <w:pPr>
        <w:pStyle w:val="ListParagraph"/>
        <w:ind w:left="1080"/>
        <w:contextualSpacing w:val="0"/>
        <w:jc w:val="both"/>
        <w:rPr>
          <w:rFonts w:asciiTheme="minorHAnsi" w:hAnsiTheme="minorHAnsi" w:cstheme="minorHAnsi"/>
        </w:rPr>
      </w:pPr>
      <w:r>
        <w:rPr>
          <w:rFonts w:asciiTheme="minorHAnsi" w:hAnsiTheme="minorHAnsi" w:cstheme="minorHAnsi"/>
          <w:i/>
          <w:iCs/>
        </w:rPr>
        <w:t>Part B</w:t>
      </w:r>
      <w:r w:rsidRPr="00CB3EE2">
        <w:rPr>
          <w:rFonts w:asciiTheme="minorHAnsi" w:hAnsiTheme="minorHAnsi" w:cstheme="minorHAnsi"/>
        </w:rPr>
        <w:t>:</w:t>
      </w:r>
      <w:r>
        <w:rPr>
          <w:rFonts w:asciiTheme="minorHAnsi" w:hAnsiTheme="minorHAnsi" w:cstheme="minorHAnsi"/>
        </w:rPr>
        <w:t xml:space="preserve"> </w:t>
      </w:r>
      <w:r w:rsidRPr="00CB3EE2">
        <w:rPr>
          <w:rFonts w:asciiTheme="minorHAnsi" w:hAnsiTheme="minorHAnsi" w:cstheme="minorHAnsi"/>
        </w:rPr>
        <w:t>Self Assessment peak trial</w:t>
      </w:r>
    </w:p>
    <w:p w14:paraId="0419328F" w14:textId="77777777" w:rsidR="00CB3EE2" w:rsidRPr="00CB3EE2" w:rsidRDefault="00CB3EE2" w:rsidP="00CB3EE2">
      <w:pPr>
        <w:pStyle w:val="ListParagraph"/>
        <w:ind w:left="1080"/>
        <w:jc w:val="both"/>
        <w:rPr>
          <w:rFonts w:asciiTheme="minorHAnsi" w:hAnsiTheme="minorHAnsi" w:cstheme="minorHAnsi"/>
          <w:i/>
          <w:iCs/>
        </w:rPr>
      </w:pPr>
      <w:r w:rsidRPr="00CB3EE2">
        <w:rPr>
          <w:rFonts w:asciiTheme="minorHAnsi" w:hAnsiTheme="minorHAnsi" w:cstheme="minorHAnsi"/>
          <w:i/>
          <w:iCs/>
        </w:rPr>
        <w:t>Question 4: Did the SA peak trial result in a long-term shift from phone contact to online self-service?</w:t>
      </w:r>
    </w:p>
    <w:p w14:paraId="55B556F7" w14:textId="77777777" w:rsidR="00CB3EE2" w:rsidRPr="00CB3EE2" w:rsidRDefault="00CB3EE2" w:rsidP="00CB3EE2">
      <w:pPr>
        <w:pStyle w:val="ListParagraph"/>
        <w:ind w:left="1080"/>
        <w:jc w:val="both"/>
        <w:rPr>
          <w:rFonts w:asciiTheme="minorHAnsi" w:hAnsiTheme="minorHAnsi" w:cstheme="minorHAnsi"/>
          <w:i/>
          <w:iCs/>
        </w:rPr>
      </w:pPr>
    </w:p>
    <w:p w14:paraId="28D6125B" w14:textId="77777777" w:rsidR="00CB3EE2" w:rsidRDefault="00CB3EE2" w:rsidP="00CB3EE2">
      <w:pPr>
        <w:pStyle w:val="ListParagraph"/>
        <w:ind w:left="1080"/>
        <w:contextualSpacing w:val="0"/>
        <w:jc w:val="both"/>
        <w:rPr>
          <w:rFonts w:asciiTheme="minorHAnsi" w:hAnsiTheme="minorHAnsi" w:cstheme="minorHAnsi"/>
        </w:rPr>
      </w:pPr>
      <w:r w:rsidRPr="00CB3EE2">
        <w:rPr>
          <w:rFonts w:asciiTheme="minorHAnsi" w:hAnsiTheme="minorHAnsi" w:cstheme="minorHAnsi"/>
          <w:i/>
          <w:iCs/>
        </w:rPr>
        <w:t>It is too early to say if there has been a long-term shift from phone contact to online self-service.”</w:t>
      </w:r>
    </w:p>
    <w:p w14:paraId="378AF19E" w14:textId="5C4A6627" w:rsidR="00CB3EE2" w:rsidRDefault="00433616" w:rsidP="00CB3EE2">
      <w:pPr>
        <w:pStyle w:val="ListParagraph"/>
        <w:ind w:left="1080"/>
        <w:contextualSpacing w:val="0"/>
        <w:jc w:val="both"/>
        <w:rPr>
          <w:rFonts w:asciiTheme="minorHAnsi" w:hAnsiTheme="minorHAnsi" w:cstheme="minorHAnsi"/>
        </w:rPr>
      </w:pPr>
      <w:r>
        <w:rPr>
          <w:rFonts w:asciiTheme="minorHAnsi" w:hAnsiTheme="minorHAnsi" w:cstheme="minorHAnsi"/>
        </w:rPr>
        <w:t>T</w:t>
      </w:r>
      <w:r w:rsidR="00CB3EE2">
        <w:rPr>
          <w:rFonts w:asciiTheme="minorHAnsi" w:hAnsiTheme="minorHAnsi" w:cstheme="minorHAnsi"/>
        </w:rPr>
        <w:t xml:space="preserve">he inconclusive nature of both trials, together with the lack of any evidence that accuracy of taxpayers’ returns had been unaffected, </w:t>
      </w:r>
      <w:r w:rsidR="0035718F">
        <w:rPr>
          <w:rFonts w:asciiTheme="minorHAnsi" w:hAnsiTheme="minorHAnsi" w:cstheme="minorHAnsi"/>
        </w:rPr>
        <w:t>seem</w:t>
      </w:r>
      <w:r w:rsidR="00092D85">
        <w:rPr>
          <w:rFonts w:asciiTheme="minorHAnsi" w:hAnsiTheme="minorHAnsi" w:cstheme="minorHAnsi"/>
        </w:rPr>
        <w:t>ed</w:t>
      </w:r>
      <w:r w:rsidR="0035718F">
        <w:rPr>
          <w:rFonts w:asciiTheme="minorHAnsi" w:hAnsiTheme="minorHAnsi" w:cstheme="minorHAnsi"/>
        </w:rPr>
        <w:t xml:space="preserve"> to us a feeble basis on which to implement </w:t>
      </w:r>
      <w:r w:rsidR="00092D85">
        <w:rPr>
          <w:rFonts w:asciiTheme="minorHAnsi" w:hAnsiTheme="minorHAnsi" w:cstheme="minorHAnsi"/>
        </w:rPr>
        <w:t xml:space="preserve">permanent </w:t>
      </w:r>
      <w:r w:rsidR="00CB3EE2">
        <w:rPr>
          <w:rFonts w:asciiTheme="minorHAnsi" w:hAnsiTheme="minorHAnsi" w:cstheme="minorHAnsi"/>
        </w:rPr>
        <w:t>helpline closures.</w:t>
      </w:r>
    </w:p>
    <w:p w14:paraId="410D0549" w14:textId="77777777" w:rsidR="00092D85" w:rsidRDefault="00092D85" w:rsidP="00092D85">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We therefore warmly welcomed the announcement the following day that the helpline cuts would be halted. We welcomed the statement by HMRC’s chief executive that </w:t>
      </w:r>
      <w:r w:rsidRPr="003B009F">
        <w:rPr>
          <w:rFonts w:asciiTheme="minorHAnsi" w:hAnsiTheme="minorHAnsi" w:cstheme="minorHAnsi"/>
        </w:rPr>
        <w:t xml:space="preserve">the pace of change </w:t>
      </w:r>
      <w:r>
        <w:rPr>
          <w:rFonts w:asciiTheme="minorHAnsi" w:hAnsiTheme="minorHAnsi" w:cstheme="minorHAnsi"/>
        </w:rPr>
        <w:t xml:space="preserve">has </w:t>
      </w:r>
      <w:r w:rsidRPr="003B009F">
        <w:rPr>
          <w:rFonts w:asciiTheme="minorHAnsi" w:hAnsiTheme="minorHAnsi" w:cstheme="minorHAnsi"/>
        </w:rPr>
        <w:t xml:space="preserve">to </w:t>
      </w:r>
      <w:r>
        <w:rPr>
          <w:rFonts w:asciiTheme="minorHAnsi" w:hAnsiTheme="minorHAnsi" w:cstheme="minorHAnsi"/>
        </w:rPr>
        <w:t>“</w:t>
      </w:r>
      <w:r w:rsidRPr="003B009F">
        <w:rPr>
          <w:rFonts w:asciiTheme="minorHAnsi" w:hAnsiTheme="minorHAnsi" w:cstheme="minorHAnsi"/>
        </w:rPr>
        <w:t>match the public appetite for managing their tax affairs online</w:t>
      </w:r>
      <w:r>
        <w:rPr>
          <w:rFonts w:asciiTheme="minorHAnsi" w:hAnsiTheme="minorHAnsi" w:cstheme="minorHAnsi"/>
        </w:rPr>
        <w:t>” and a commitment to engaging with stakeholders on the way forward.</w:t>
      </w:r>
    </w:p>
    <w:p w14:paraId="17C390A5" w14:textId="4111EBDA" w:rsidR="00092D85" w:rsidRPr="003D351B" w:rsidRDefault="00092D85" w:rsidP="003D351B">
      <w:pPr>
        <w:pStyle w:val="ListParagraph"/>
        <w:numPr>
          <w:ilvl w:val="1"/>
          <w:numId w:val="6"/>
        </w:numPr>
        <w:contextualSpacing w:val="0"/>
        <w:jc w:val="both"/>
        <w:rPr>
          <w:rFonts w:asciiTheme="minorHAnsi" w:hAnsiTheme="minorHAnsi" w:cstheme="minorHAnsi"/>
        </w:rPr>
      </w:pPr>
      <w:r w:rsidRPr="00B33F08">
        <w:rPr>
          <w:rFonts w:asciiTheme="minorHAnsi" w:hAnsiTheme="minorHAnsi" w:cstheme="minorHAnsi"/>
        </w:rPr>
        <w:t xml:space="preserve">We are concerned that </w:t>
      </w:r>
      <w:r>
        <w:rPr>
          <w:rFonts w:asciiTheme="minorHAnsi" w:hAnsiTheme="minorHAnsi" w:cstheme="minorHAnsi"/>
        </w:rPr>
        <w:t xml:space="preserve">in the past </w:t>
      </w:r>
      <w:r w:rsidRPr="00B33F08">
        <w:rPr>
          <w:rFonts w:asciiTheme="minorHAnsi" w:hAnsiTheme="minorHAnsi" w:cstheme="minorHAnsi"/>
        </w:rPr>
        <w:t xml:space="preserve">HMRC </w:t>
      </w:r>
      <w:r>
        <w:rPr>
          <w:rFonts w:asciiTheme="minorHAnsi" w:hAnsiTheme="minorHAnsi" w:cstheme="minorHAnsi"/>
        </w:rPr>
        <w:t xml:space="preserve">have </w:t>
      </w:r>
      <w:r w:rsidRPr="00B33F08">
        <w:rPr>
          <w:rFonts w:asciiTheme="minorHAnsi" w:hAnsiTheme="minorHAnsi" w:cstheme="minorHAnsi"/>
        </w:rPr>
        <w:t>seem</w:t>
      </w:r>
      <w:r>
        <w:rPr>
          <w:rFonts w:asciiTheme="minorHAnsi" w:hAnsiTheme="minorHAnsi" w:cstheme="minorHAnsi"/>
        </w:rPr>
        <w:t>ed</w:t>
      </w:r>
      <w:r w:rsidRPr="00B33F08">
        <w:rPr>
          <w:rFonts w:asciiTheme="minorHAnsi" w:hAnsiTheme="minorHAnsi" w:cstheme="minorHAnsi"/>
        </w:rPr>
        <w:t xml:space="preserve"> to make their commitments on ‘efficiency savings’ in isolation, without properly engaging with their stakeholders to see whether they are sensible and will deliver the intended outcomes. </w:t>
      </w:r>
    </w:p>
    <w:p w14:paraId="68641BF4" w14:textId="5413F3E6" w:rsidR="00CB3EE2" w:rsidRDefault="00CB3EE2" w:rsidP="00C51D4C">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During the evidence given to the Treasury Committee by </w:t>
      </w:r>
      <w:r w:rsidR="00311F58">
        <w:rPr>
          <w:rFonts w:asciiTheme="minorHAnsi" w:hAnsiTheme="minorHAnsi" w:cstheme="minorHAnsi"/>
        </w:rPr>
        <w:t>HMRC on 24 April</w:t>
      </w:r>
      <w:r>
        <w:rPr>
          <w:rFonts w:asciiTheme="minorHAnsi" w:hAnsiTheme="minorHAnsi" w:cstheme="minorHAnsi"/>
        </w:rPr>
        <w:t xml:space="preserve">, it was suggested that if professional bodies like </w:t>
      </w:r>
      <w:r w:rsidR="00311F58">
        <w:rPr>
          <w:rFonts w:asciiTheme="minorHAnsi" w:hAnsiTheme="minorHAnsi" w:cstheme="minorHAnsi"/>
        </w:rPr>
        <w:t>ourselves</w:t>
      </w:r>
      <w:r>
        <w:rPr>
          <w:rFonts w:asciiTheme="minorHAnsi" w:hAnsiTheme="minorHAnsi" w:cstheme="minorHAnsi"/>
        </w:rPr>
        <w:t xml:space="preserve"> had had more time to review the evaluation, we would have supported the changes</w:t>
      </w:r>
      <w:r w:rsidR="00311F58">
        <w:rPr>
          <w:rFonts w:asciiTheme="minorHAnsi" w:hAnsiTheme="minorHAnsi" w:cstheme="minorHAnsi"/>
        </w:rPr>
        <w:t>. For example:</w:t>
      </w:r>
      <w:r w:rsidR="0077073E">
        <w:rPr>
          <w:rFonts w:asciiTheme="minorHAnsi" w:hAnsiTheme="minorHAnsi" w:cstheme="minorHAnsi"/>
        </w:rPr>
        <w:t xml:space="preserve"> </w:t>
      </w:r>
    </w:p>
    <w:p w14:paraId="63914C82" w14:textId="3F722D46" w:rsidR="00C51D4C" w:rsidRDefault="00C51D4C" w:rsidP="00C51D4C">
      <w:pPr>
        <w:pStyle w:val="ListParagraph"/>
        <w:ind w:left="1080"/>
        <w:jc w:val="both"/>
        <w:rPr>
          <w:rFonts w:asciiTheme="minorHAnsi" w:hAnsiTheme="minorHAnsi" w:cstheme="minorHAnsi"/>
        </w:rPr>
      </w:pPr>
      <w:r>
        <w:rPr>
          <w:rFonts w:asciiTheme="minorHAnsi" w:hAnsiTheme="minorHAnsi" w:cstheme="minorHAnsi"/>
        </w:rPr>
        <w:t>“</w:t>
      </w:r>
      <w:r w:rsidRPr="0077073E">
        <w:rPr>
          <w:rFonts w:asciiTheme="minorHAnsi" w:hAnsiTheme="minorHAnsi" w:cstheme="minorHAnsi"/>
          <w:i/>
          <w:iCs/>
        </w:rPr>
        <w:t>I think we did not give enough time when we published the evaluation to take our stakeholders through it and explain the evidence. We published a detailed evaluation on the same day that we announced what we were going to do as a result of it, and frankly, I think some of the speed of the stakeholder reaction indicates that they did not have the time to digest the evaluation that we had published.</w:t>
      </w:r>
      <w:r w:rsidR="008C3CCB">
        <w:rPr>
          <w:rFonts w:asciiTheme="minorHAnsi" w:hAnsiTheme="minorHAnsi" w:cstheme="minorHAnsi"/>
          <w:i/>
          <w:iCs/>
        </w:rPr>
        <w:t>”</w:t>
      </w:r>
      <w:r>
        <w:rPr>
          <w:rFonts w:asciiTheme="minorHAnsi" w:hAnsiTheme="minorHAnsi" w:cstheme="minorHAnsi"/>
        </w:rPr>
        <w:t xml:space="preserve"> [</w:t>
      </w:r>
      <w:r w:rsidR="00311F58">
        <w:rPr>
          <w:rFonts w:asciiTheme="minorHAnsi" w:hAnsiTheme="minorHAnsi" w:cstheme="minorHAnsi"/>
        </w:rPr>
        <w:t xml:space="preserve">Jim Harra, </w:t>
      </w:r>
      <w:r>
        <w:rPr>
          <w:rFonts w:asciiTheme="minorHAnsi" w:hAnsiTheme="minorHAnsi" w:cstheme="minorHAnsi"/>
        </w:rPr>
        <w:t>Q407]</w:t>
      </w:r>
    </w:p>
    <w:p w14:paraId="58311481" w14:textId="77777777" w:rsidR="00C51D4C" w:rsidRDefault="00C51D4C" w:rsidP="00C51D4C">
      <w:pPr>
        <w:pStyle w:val="ListParagraph"/>
        <w:ind w:left="1080"/>
        <w:jc w:val="both"/>
        <w:rPr>
          <w:rFonts w:asciiTheme="minorHAnsi" w:hAnsiTheme="minorHAnsi" w:cstheme="minorHAnsi"/>
        </w:rPr>
      </w:pPr>
    </w:p>
    <w:p w14:paraId="6DEC8DAD" w14:textId="61AF73F0" w:rsidR="00C51D4C" w:rsidRDefault="00311F58" w:rsidP="008C3CCB">
      <w:pPr>
        <w:pStyle w:val="ListParagraph"/>
        <w:ind w:left="1080"/>
        <w:contextualSpacing w:val="0"/>
        <w:jc w:val="both"/>
        <w:rPr>
          <w:rFonts w:asciiTheme="minorHAnsi" w:hAnsiTheme="minorHAnsi" w:cstheme="minorHAnsi"/>
        </w:rPr>
      </w:pPr>
      <w:r>
        <w:rPr>
          <w:rFonts w:asciiTheme="minorHAnsi" w:hAnsiTheme="minorHAnsi" w:cstheme="minorHAnsi"/>
          <w:i/>
          <w:iCs/>
        </w:rPr>
        <w:t>“</w:t>
      </w:r>
      <w:r w:rsidR="00C51D4C" w:rsidRPr="0077073E">
        <w:rPr>
          <w:rFonts w:asciiTheme="minorHAnsi" w:hAnsiTheme="minorHAnsi" w:cstheme="minorHAnsi"/>
          <w:i/>
          <w:iCs/>
        </w:rPr>
        <w:t>I believe that maybe we would have assuaged some of the concerns if we had taken more time to go through the results of the evaluation of last year’s trials and to explain how we were going to make sure that vulnerable or digitally excluded customers could get through to an adviser</w:t>
      </w:r>
      <w:r w:rsidR="008C3CCB">
        <w:rPr>
          <w:rFonts w:asciiTheme="minorHAnsi" w:hAnsiTheme="minorHAnsi" w:cstheme="minorHAnsi"/>
          <w:i/>
          <w:iCs/>
        </w:rPr>
        <w:t xml:space="preserve">” </w:t>
      </w:r>
      <w:r w:rsidR="008C3CCB" w:rsidRPr="008C3CCB">
        <w:rPr>
          <w:rFonts w:asciiTheme="minorHAnsi" w:hAnsiTheme="minorHAnsi" w:cstheme="minorHAnsi"/>
        </w:rPr>
        <w:t>[</w:t>
      </w:r>
      <w:r>
        <w:rPr>
          <w:rFonts w:asciiTheme="minorHAnsi" w:hAnsiTheme="minorHAnsi" w:cstheme="minorHAnsi"/>
        </w:rPr>
        <w:t xml:space="preserve">Jim Harra, </w:t>
      </w:r>
      <w:r w:rsidR="008C3CCB" w:rsidRPr="008C3CCB">
        <w:rPr>
          <w:rFonts w:asciiTheme="minorHAnsi" w:hAnsiTheme="minorHAnsi" w:cstheme="minorHAnsi"/>
        </w:rPr>
        <w:t>Q409]</w:t>
      </w:r>
    </w:p>
    <w:p w14:paraId="27040682" w14:textId="7C552927" w:rsidR="00C51D4C" w:rsidRDefault="008C3CCB" w:rsidP="00C51D4C">
      <w:pPr>
        <w:pStyle w:val="ListParagraph"/>
        <w:numPr>
          <w:ilvl w:val="1"/>
          <w:numId w:val="6"/>
        </w:numPr>
        <w:contextualSpacing w:val="0"/>
        <w:jc w:val="both"/>
        <w:rPr>
          <w:rFonts w:asciiTheme="minorHAnsi" w:hAnsiTheme="minorHAnsi" w:cstheme="minorHAnsi"/>
        </w:rPr>
      </w:pPr>
      <w:r w:rsidRPr="008C3CCB">
        <w:rPr>
          <w:rFonts w:asciiTheme="minorHAnsi" w:hAnsiTheme="minorHAnsi" w:cstheme="minorHAnsi"/>
        </w:rPr>
        <w:t xml:space="preserve">As </w:t>
      </w:r>
      <w:r w:rsidR="0002112D">
        <w:rPr>
          <w:rFonts w:asciiTheme="minorHAnsi" w:hAnsiTheme="minorHAnsi" w:cstheme="minorHAnsi"/>
        </w:rPr>
        <w:t xml:space="preserve">set </w:t>
      </w:r>
      <w:r w:rsidRPr="008C3CCB">
        <w:rPr>
          <w:rFonts w:asciiTheme="minorHAnsi" w:hAnsiTheme="minorHAnsi" w:cstheme="minorHAnsi"/>
        </w:rPr>
        <w:t xml:space="preserve">out above, we do not believe that the evaluation </w:t>
      </w:r>
      <w:r w:rsidR="0002112D">
        <w:rPr>
          <w:rFonts w:asciiTheme="minorHAnsi" w:hAnsiTheme="minorHAnsi" w:cstheme="minorHAnsi"/>
        </w:rPr>
        <w:t xml:space="preserve">of previous trials </w:t>
      </w:r>
      <w:r w:rsidRPr="008C3CCB">
        <w:rPr>
          <w:rFonts w:asciiTheme="minorHAnsi" w:hAnsiTheme="minorHAnsi" w:cstheme="minorHAnsi"/>
        </w:rPr>
        <w:t xml:space="preserve">published by HMRC </w:t>
      </w:r>
      <w:r w:rsidR="005C1068">
        <w:rPr>
          <w:rFonts w:asciiTheme="minorHAnsi" w:hAnsiTheme="minorHAnsi" w:cstheme="minorHAnsi"/>
        </w:rPr>
        <w:t xml:space="preserve">provides an </w:t>
      </w:r>
      <w:r w:rsidRPr="008C3CCB">
        <w:rPr>
          <w:rFonts w:asciiTheme="minorHAnsi" w:hAnsiTheme="minorHAnsi" w:cstheme="minorHAnsi"/>
        </w:rPr>
        <w:t xml:space="preserve">adequate </w:t>
      </w:r>
      <w:r w:rsidR="005C1068">
        <w:rPr>
          <w:rFonts w:asciiTheme="minorHAnsi" w:hAnsiTheme="minorHAnsi" w:cstheme="minorHAnsi"/>
        </w:rPr>
        <w:t xml:space="preserve">basis </w:t>
      </w:r>
      <w:r w:rsidRPr="008C3CCB">
        <w:rPr>
          <w:rFonts w:asciiTheme="minorHAnsi" w:hAnsiTheme="minorHAnsi" w:cstheme="minorHAnsi"/>
        </w:rPr>
        <w:t>for their decision to close their telephone lines.</w:t>
      </w:r>
    </w:p>
    <w:p w14:paraId="607A68FD" w14:textId="6A18C7C8" w:rsidR="008C3CCB" w:rsidRDefault="008C3CCB" w:rsidP="00C51D4C">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lastRenderedPageBreak/>
        <w:t xml:space="preserve">Mr Harra also suggested </w:t>
      </w:r>
      <w:r w:rsidR="005C1068">
        <w:rPr>
          <w:rFonts w:asciiTheme="minorHAnsi" w:hAnsiTheme="minorHAnsi" w:cstheme="minorHAnsi"/>
        </w:rPr>
        <w:t xml:space="preserve">to the Treasury Committee </w:t>
      </w:r>
      <w:r>
        <w:rPr>
          <w:rFonts w:asciiTheme="minorHAnsi" w:hAnsiTheme="minorHAnsi" w:cstheme="minorHAnsi"/>
        </w:rPr>
        <w:t>that some stakeholders would like things to remain as they are:</w:t>
      </w:r>
    </w:p>
    <w:p w14:paraId="531AA1DA" w14:textId="77777777" w:rsidR="008C3CCB" w:rsidRDefault="008C3CCB" w:rsidP="008C3CCB">
      <w:pPr>
        <w:pStyle w:val="ListParagraph"/>
        <w:ind w:left="1080"/>
        <w:jc w:val="both"/>
        <w:rPr>
          <w:rFonts w:asciiTheme="minorHAnsi" w:hAnsiTheme="minorHAnsi" w:cstheme="minorHAnsi"/>
        </w:rPr>
      </w:pPr>
      <w:r>
        <w:rPr>
          <w:rFonts w:asciiTheme="minorHAnsi" w:hAnsiTheme="minorHAnsi" w:cstheme="minorHAnsi"/>
          <w:i/>
          <w:iCs/>
        </w:rPr>
        <w:t>“</w:t>
      </w:r>
      <w:r w:rsidRPr="00E20EA4">
        <w:rPr>
          <w:rFonts w:asciiTheme="minorHAnsi" w:hAnsiTheme="minorHAnsi" w:cstheme="minorHAnsi"/>
          <w:i/>
          <w:iCs/>
        </w:rPr>
        <w:t>But it also the case that</w:t>
      </w:r>
      <w:r>
        <w:rPr>
          <w:rFonts w:asciiTheme="minorHAnsi" w:hAnsiTheme="minorHAnsi" w:cstheme="minorHAnsi"/>
          <w:i/>
          <w:iCs/>
        </w:rPr>
        <w:t xml:space="preserve"> </w:t>
      </w:r>
      <w:r w:rsidRPr="00E20EA4">
        <w:rPr>
          <w:rFonts w:asciiTheme="minorHAnsi" w:hAnsiTheme="minorHAnsi" w:cstheme="minorHAnsi"/>
          <w:i/>
          <w:iCs/>
        </w:rPr>
        <w:t>modernisation of HMRC is not always in the immediate interests of some of our stakeholders, so sometimes we will have to be prepared to make decisions in the face of disagreement with our stakeholders</w:t>
      </w:r>
      <w:r>
        <w:rPr>
          <w:rFonts w:asciiTheme="minorHAnsi" w:hAnsiTheme="minorHAnsi" w:cstheme="minorHAnsi"/>
          <w:i/>
          <w:iCs/>
        </w:rPr>
        <w:t xml:space="preserve">.” </w:t>
      </w:r>
      <w:r>
        <w:rPr>
          <w:rFonts w:asciiTheme="minorHAnsi" w:hAnsiTheme="minorHAnsi" w:cstheme="minorHAnsi"/>
        </w:rPr>
        <w:t>[Q409]</w:t>
      </w:r>
    </w:p>
    <w:p w14:paraId="084C14A5" w14:textId="77777777" w:rsidR="004073BC" w:rsidRDefault="004073BC" w:rsidP="004073BC">
      <w:pPr>
        <w:pStyle w:val="ListParagraph"/>
        <w:ind w:left="680"/>
        <w:jc w:val="both"/>
        <w:rPr>
          <w:rFonts w:asciiTheme="minorHAnsi" w:hAnsiTheme="minorHAnsi" w:cstheme="minorHAnsi"/>
        </w:rPr>
      </w:pPr>
    </w:p>
    <w:p w14:paraId="463D0C5F" w14:textId="6E0D1E30" w:rsidR="008C3CCB" w:rsidRDefault="00B520EB" w:rsidP="008C3CCB">
      <w:pPr>
        <w:pStyle w:val="ListParagraph"/>
        <w:numPr>
          <w:ilvl w:val="1"/>
          <w:numId w:val="6"/>
        </w:numPr>
        <w:jc w:val="both"/>
        <w:rPr>
          <w:rFonts w:asciiTheme="minorHAnsi" w:hAnsiTheme="minorHAnsi" w:cstheme="minorHAnsi"/>
        </w:rPr>
      </w:pPr>
      <w:r>
        <w:rPr>
          <w:rFonts w:asciiTheme="minorHAnsi" w:hAnsiTheme="minorHAnsi" w:cstheme="minorHAnsi"/>
        </w:rPr>
        <w:t>While we do not know which stakeholders HMRC’s chief executive had in mind when he said this, f</w:t>
      </w:r>
      <w:r w:rsidR="008C3CCB">
        <w:rPr>
          <w:rFonts w:asciiTheme="minorHAnsi" w:hAnsiTheme="minorHAnsi" w:cstheme="minorHAnsi"/>
        </w:rPr>
        <w:t>or the avoidance of any doubt, it is not (and has never been) our position that that we are wedded to the use of telephone lines. On the contrary, our members tell us that phoning HMRC is often a last resort, but it is necessary because HMRC’s digital systems do not enable them to do what they need to do. We very much support HMRC’s ‘digital first’ strategy; but the digital systems have to work effectively</w:t>
      </w:r>
      <w:r w:rsidR="001545B6">
        <w:rPr>
          <w:rFonts w:asciiTheme="minorHAnsi" w:hAnsiTheme="minorHAnsi" w:cstheme="minorHAnsi"/>
        </w:rPr>
        <w:t xml:space="preserve"> and be supported by adequate signposting and guidance</w:t>
      </w:r>
      <w:r w:rsidR="008C3CCB">
        <w:rPr>
          <w:rFonts w:asciiTheme="minorHAnsi" w:hAnsiTheme="minorHAnsi" w:cstheme="minorHAnsi"/>
        </w:rPr>
        <w:t xml:space="preserve">. </w:t>
      </w:r>
      <w:r w:rsidR="001545B6">
        <w:rPr>
          <w:rFonts w:asciiTheme="minorHAnsi" w:hAnsiTheme="minorHAnsi" w:cstheme="minorHAnsi"/>
        </w:rPr>
        <w:t xml:space="preserve">This comes back to the point that HMRC need a better understanding </w:t>
      </w:r>
      <w:r>
        <w:rPr>
          <w:rFonts w:asciiTheme="minorHAnsi" w:hAnsiTheme="minorHAnsi" w:cstheme="minorHAnsi"/>
        </w:rPr>
        <w:t>of</w:t>
      </w:r>
      <w:r w:rsidR="001545B6">
        <w:rPr>
          <w:rFonts w:asciiTheme="minorHAnsi" w:hAnsiTheme="minorHAnsi" w:cstheme="minorHAnsi"/>
        </w:rPr>
        <w:t xml:space="preserve"> why people are not using the digital services, given the appetite for them and potential time and cost savings for all parties. We expand on this below. </w:t>
      </w:r>
    </w:p>
    <w:p w14:paraId="2F10622B" w14:textId="77777777" w:rsidR="00D82B50" w:rsidRPr="00D82B50" w:rsidRDefault="00D82B50" w:rsidP="00D82B50">
      <w:pPr>
        <w:jc w:val="both"/>
        <w:rPr>
          <w:rFonts w:asciiTheme="minorHAnsi" w:hAnsiTheme="minorHAnsi" w:cstheme="minorHAnsi"/>
        </w:rPr>
      </w:pPr>
    </w:p>
    <w:p w14:paraId="2292D44E" w14:textId="77777777" w:rsidR="0028538B" w:rsidRPr="00241ED9" w:rsidRDefault="00241ED9" w:rsidP="0033664B">
      <w:pPr>
        <w:pStyle w:val="ListParagraph"/>
        <w:numPr>
          <w:ilvl w:val="0"/>
          <w:numId w:val="6"/>
        </w:numPr>
        <w:contextualSpacing w:val="0"/>
        <w:jc w:val="both"/>
        <w:rPr>
          <w:rFonts w:asciiTheme="minorHAnsi" w:hAnsiTheme="minorHAnsi" w:cstheme="minorHAnsi"/>
          <w:b/>
          <w:bCs/>
        </w:rPr>
      </w:pPr>
      <w:r w:rsidRPr="00241ED9">
        <w:rPr>
          <w:rFonts w:asciiTheme="minorHAnsi" w:hAnsiTheme="minorHAnsi" w:cstheme="minorHAnsi"/>
          <w:b/>
          <w:bCs/>
        </w:rPr>
        <w:t>HMRC’s digital services</w:t>
      </w:r>
    </w:p>
    <w:p w14:paraId="75E76F27" w14:textId="77777777" w:rsidR="0033664B" w:rsidRDefault="00D82B50" w:rsidP="0033664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Our members tell us that their preference is to deal with HMRC digitally. In our survey, 80% of respondents said they would use HMRC’s online services or third-party software if it would resolve the cause for their contact. According to HMRC’s own research (although note our caveat above), a similar percentage of taxpayers are capable and content to engage with HMRC digitally.</w:t>
      </w:r>
    </w:p>
    <w:p w14:paraId="4AA01B8F" w14:textId="73B1ECA1" w:rsidR="0033664B" w:rsidRDefault="00D82B50" w:rsidP="0033664B">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However, in our survey, 89% of respondents said that the cause of their phone call to HMRC could not have been resolved using HMRC’s online services. </w:t>
      </w:r>
      <w:r w:rsidR="00486976">
        <w:rPr>
          <w:rFonts w:asciiTheme="minorHAnsi" w:hAnsiTheme="minorHAnsi" w:cstheme="minorHAnsi"/>
        </w:rPr>
        <w:t>W</w:t>
      </w:r>
      <w:r>
        <w:rPr>
          <w:rFonts w:asciiTheme="minorHAnsi" w:hAnsiTheme="minorHAnsi" w:cstheme="minorHAnsi"/>
        </w:rPr>
        <w:t xml:space="preserve">e are bemused as to why taxpayers and agents would spend a significant length of time on hold, trying to get through to a HMRC adviser, if their issue could be resolved online. </w:t>
      </w:r>
    </w:p>
    <w:p w14:paraId="7B4E2878" w14:textId="77777777" w:rsidR="0033664B" w:rsidRDefault="00D82B50" w:rsidP="00022989">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As noted above, HMRC need to reconcile these differences. We have previously asked HMRC to share with us details of the nature of the calls they receive, so that we can help identify the reason for the calls. Until now, this has not been forthcoming, although since the helpline announcements in March </w:t>
      </w:r>
      <w:r w:rsidR="00022989">
        <w:rPr>
          <w:rFonts w:asciiTheme="minorHAnsi" w:hAnsiTheme="minorHAnsi" w:cstheme="minorHAnsi"/>
        </w:rPr>
        <w:t>there is a greater emphasis on working together to resolve HMRC’s service level issues.</w:t>
      </w:r>
    </w:p>
    <w:p w14:paraId="0073768A" w14:textId="0BCFDB92" w:rsidR="00022989" w:rsidRDefault="00022989" w:rsidP="00022989">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 xml:space="preserve">One area of concern is the extent to which HMRC’s digital services meet the needs of </w:t>
      </w:r>
      <w:r w:rsidR="00E00384">
        <w:rPr>
          <w:rFonts w:asciiTheme="minorHAnsi" w:hAnsiTheme="minorHAnsi" w:cstheme="minorHAnsi"/>
        </w:rPr>
        <w:t>their</w:t>
      </w:r>
      <w:r>
        <w:rPr>
          <w:rFonts w:asciiTheme="minorHAnsi" w:hAnsiTheme="minorHAnsi" w:cstheme="minorHAnsi"/>
        </w:rPr>
        <w:t xml:space="preserve"> users. Too often we have seen new digital services which do not work effectively, offer less functionality than their predecessor equivalent, and do not accommodate large proportions of the affected population. This led us to produce, and share with HMRC, our minimum standards for the introduction of new HMRC digital systems,</w:t>
      </w:r>
      <w:r w:rsidR="001750F9">
        <w:rPr>
          <w:rStyle w:val="FootnoteReference"/>
          <w:rFonts w:asciiTheme="minorHAnsi" w:hAnsiTheme="minorHAnsi" w:cstheme="minorHAnsi"/>
        </w:rPr>
        <w:footnoteReference w:id="8"/>
      </w:r>
      <w:r>
        <w:rPr>
          <w:rFonts w:asciiTheme="minorHAnsi" w:hAnsiTheme="minorHAnsi" w:cstheme="minorHAnsi"/>
        </w:rPr>
        <w:t xml:space="preserve"> and minimum standards for HMRC digital forms.</w:t>
      </w:r>
      <w:r w:rsidR="001750F9">
        <w:rPr>
          <w:rStyle w:val="FootnoteReference"/>
          <w:rFonts w:asciiTheme="minorHAnsi" w:hAnsiTheme="minorHAnsi" w:cstheme="minorHAnsi"/>
        </w:rPr>
        <w:footnoteReference w:id="9"/>
      </w:r>
      <w:r w:rsidR="00E175EA">
        <w:rPr>
          <w:rFonts w:asciiTheme="minorHAnsi" w:hAnsiTheme="minorHAnsi" w:cstheme="minorHAnsi"/>
        </w:rPr>
        <w:t xml:space="preserve"> We have previously shared these with HMRC, and they are reproduced in the appendices to this submission.</w:t>
      </w:r>
    </w:p>
    <w:p w14:paraId="689731D2" w14:textId="38E64C7D" w:rsidR="00BC6A09" w:rsidRDefault="00BC6A09" w:rsidP="00022989">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The functionality of new services is frequently limited by that of legacy systems with which the new system interacts. This is why the new VAT registration service cannot accommodate special characters (such as umlauts) which often form part of the names of foreign businesses which have to register for UK VAT. Before any new system is developed, the limitations of linked, legacy systems need to be addressed.</w:t>
      </w:r>
      <w:r w:rsidR="000E1AA3">
        <w:rPr>
          <w:rFonts w:asciiTheme="minorHAnsi" w:hAnsiTheme="minorHAnsi" w:cstheme="minorHAnsi"/>
        </w:rPr>
        <w:t xml:space="preserve"> Indeed, it is vital that investment in legacy systems continues, as it is often many years before new systems become fully </w:t>
      </w:r>
      <w:r w:rsidR="000E1AA3">
        <w:rPr>
          <w:rFonts w:asciiTheme="minorHAnsi" w:hAnsiTheme="minorHAnsi" w:cstheme="minorHAnsi"/>
        </w:rPr>
        <w:lastRenderedPageBreak/>
        <w:t>operational and legacy systems decommissioned. We frequently identify problems arising because of the lack of interaction between HMRC’s two main legacy systems</w:t>
      </w:r>
      <w:r w:rsidR="00E00384">
        <w:rPr>
          <w:rFonts w:asciiTheme="minorHAnsi" w:hAnsiTheme="minorHAnsi" w:cstheme="minorHAnsi"/>
        </w:rPr>
        <w:t>:</w:t>
      </w:r>
      <w:r w:rsidR="000E1AA3">
        <w:rPr>
          <w:rFonts w:asciiTheme="minorHAnsi" w:hAnsiTheme="minorHAnsi" w:cstheme="minorHAnsi"/>
        </w:rPr>
        <w:t xml:space="preserve"> </w:t>
      </w:r>
      <w:r w:rsidR="000E1AA3" w:rsidRPr="000E1AA3">
        <w:rPr>
          <w:rFonts w:asciiTheme="minorHAnsi" w:hAnsiTheme="minorHAnsi" w:cstheme="minorHAnsi"/>
        </w:rPr>
        <w:t xml:space="preserve">Computerised Environment for Self-Assessment (CESA) </w:t>
      </w:r>
      <w:r w:rsidR="000E1AA3">
        <w:rPr>
          <w:rFonts w:asciiTheme="minorHAnsi" w:hAnsiTheme="minorHAnsi" w:cstheme="minorHAnsi"/>
        </w:rPr>
        <w:t xml:space="preserve">and the </w:t>
      </w:r>
      <w:r w:rsidR="000E1AA3" w:rsidRPr="000E1AA3">
        <w:rPr>
          <w:rFonts w:asciiTheme="minorHAnsi" w:hAnsiTheme="minorHAnsi" w:cstheme="minorHAnsi"/>
        </w:rPr>
        <w:t>National Insurance and PAYE Service (NPS)</w:t>
      </w:r>
      <w:r w:rsidR="000E1AA3">
        <w:rPr>
          <w:rFonts w:asciiTheme="minorHAnsi" w:hAnsiTheme="minorHAnsi" w:cstheme="minorHAnsi"/>
        </w:rPr>
        <w:t>, yet there appears little appetite to link these systems, even though it will be many years before they are fully replaced by HMRC’s new Enterprise Tax Management Platform (ETMP).</w:t>
      </w:r>
    </w:p>
    <w:p w14:paraId="0B5F2D25" w14:textId="77777777" w:rsidR="00022989" w:rsidRDefault="00E175EA" w:rsidP="00022989">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The (re)commencement of the private beta testing for Making Tax Digital for Income Tax Self-Assessment gave us an opportunity to consider and publish our ‘principles of digitalisation’.</w:t>
      </w:r>
      <w:r>
        <w:rPr>
          <w:rStyle w:val="FootnoteReference"/>
          <w:rFonts w:asciiTheme="minorHAnsi" w:hAnsiTheme="minorHAnsi" w:cstheme="minorHAnsi"/>
        </w:rPr>
        <w:footnoteReference w:id="10"/>
      </w:r>
      <w:r>
        <w:rPr>
          <w:rFonts w:asciiTheme="minorHAnsi" w:hAnsiTheme="minorHAnsi" w:cstheme="minorHAnsi"/>
        </w:rPr>
        <w:t xml:space="preserve"> We believe these principles should act as a benchmark against which digital tax services should be measured. Again, </w:t>
      </w:r>
      <w:r w:rsidRPr="00E175EA">
        <w:rPr>
          <w:rFonts w:asciiTheme="minorHAnsi" w:hAnsiTheme="minorHAnsi" w:cstheme="minorHAnsi"/>
        </w:rPr>
        <w:t xml:space="preserve">these </w:t>
      </w:r>
      <w:r>
        <w:rPr>
          <w:rFonts w:asciiTheme="minorHAnsi" w:hAnsiTheme="minorHAnsi" w:cstheme="minorHAnsi"/>
        </w:rPr>
        <w:t xml:space="preserve">have been shared </w:t>
      </w:r>
      <w:r w:rsidRPr="00E175EA">
        <w:rPr>
          <w:rFonts w:asciiTheme="minorHAnsi" w:hAnsiTheme="minorHAnsi" w:cstheme="minorHAnsi"/>
        </w:rPr>
        <w:t>with HMRC, and they are reproduced in the appendices to this submission.</w:t>
      </w:r>
    </w:p>
    <w:p w14:paraId="5D5399F0" w14:textId="76112003" w:rsidR="002927EE" w:rsidRDefault="00673650" w:rsidP="00022989">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We understand that HMRC are working on their own core digital standards, and we would welcome the opportunity to work with them on this</w:t>
      </w:r>
      <w:r w:rsidR="00B7557D">
        <w:rPr>
          <w:rFonts w:asciiTheme="minorHAnsi" w:hAnsiTheme="minorHAnsi" w:cstheme="minorHAnsi"/>
        </w:rPr>
        <w:t>. We</w:t>
      </w:r>
      <w:r>
        <w:rPr>
          <w:rFonts w:asciiTheme="minorHAnsi" w:hAnsiTheme="minorHAnsi" w:cstheme="minorHAnsi"/>
        </w:rPr>
        <w:t xml:space="preserve"> will be recommending that they are shared publicly.</w:t>
      </w:r>
    </w:p>
    <w:p w14:paraId="6B45808C" w14:textId="77777777" w:rsidR="0033664B" w:rsidRPr="00E175EA" w:rsidRDefault="00E175EA" w:rsidP="0033664B">
      <w:pPr>
        <w:pStyle w:val="ListParagraph"/>
        <w:numPr>
          <w:ilvl w:val="0"/>
          <w:numId w:val="6"/>
        </w:numPr>
        <w:contextualSpacing w:val="0"/>
        <w:jc w:val="both"/>
        <w:rPr>
          <w:rFonts w:asciiTheme="minorHAnsi" w:hAnsiTheme="minorHAnsi" w:cstheme="minorHAnsi"/>
          <w:b/>
          <w:bCs/>
        </w:rPr>
      </w:pPr>
      <w:r w:rsidRPr="00E175EA">
        <w:rPr>
          <w:rFonts w:asciiTheme="minorHAnsi" w:hAnsiTheme="minorHAnsi" w:cstheme="minorHAnsi"/>
          <w:b/>
          <w:bCs/>
        </w:rPr>
        <w:t>Accountability</w:t>
      </w:r>
    </w:p>
    <w:p w14:paraId="64617E6E" w14:textId="77777777" w:rsidR="00E175EA" w:rsidRDefault="00673650" w:rsidP="00E175EA">
      <w:pPr>
        <w:pStyle w:val="ListParagraph"/>
        <w:numPr>
          <w:ilvl w:val="1"/>
          <w:numId w:val="6"/>
        </w:numPr>
        <w:contextualSpacing w:val="0"/>
        <w:jc w:val="both"/>
        <w:rPr>
          <w:rFonts w:asciiTheme="minorHAnsi" w:hAnsiTheme="minorHAnsi" w:cstheme="minorHAnsi"/>
        </w:rPr>
      </w:pPr>
      <w:r>
        <w:rPr>
          <w:rFonts w:asciiTheme="minorHAnsi" w:hAnsiTheme="minorHAnsi" w:cstheme="minorHAnsi"/>
        </w:rPr>
        <w:t>We are concerned that HMRC is not held sufficiently accountable for its failings. Several factors – some new, some long-established – contribute to this view.</w:t>
      </w:r>
    </w:p>
    <w:p w14:paraId="10239C5B" w14:textId="77777777" w:rsidR="001A6A66" w:rsidRDefault="00673650"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i/>
          <w:iCs/>
        </w:rPr>
        <w:t>F</w:t>
      </w:r>
      <w:r w:rsidR="002927EE" w:rsidRPr="001A6A66">
        <w:rPr>
          <w:rFonts w:asciiTheme="minorHAnsi" w:hAnsiTheme="minorHAnsi" w:cstheme="minorHAnsi"/>
          <w:i/>
          <w:iCs/>
        </w:rPr>
        <w:t xml:space="preserve">eedback </w:t>
      </w:r>
      <w:r w:rsidRPr="001A6A66">
        <w:rPr>
          <w:rFonts w:asciiTheme="minorHAnsi" w:hAnsiTheme="minorHAnsi" w:cstheme="minorHAnsi"/>
          <w:i/>
          <w:iCs/>
        </w:rPr>
        <w:t>on HMRC’s performance against its Charter</w:t>
      </w:r>
    </w:p>
    <w:p w14:paraId="6EB02081" w14:textId="77777777" w:rsidR="001A6A66" w:rsidRPr="001A6A66" w:rsidRDefault="00AA08C2"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rPr>
        <w:t>In the Charter Stakeholder Group’s survey for 2022-23, 86% of respondents said they did not think that HMRC was held sufficiently accountable for its performance against the Charter. For 2023-24 that had increased to 88%.</w:t>
      </w:r>
    </w:p>
    <w:p w14:paraId="44B1945D" w14:textId="77777777" w:rsidR="001A6A66" w:rsidRPr="001A6A66" w:rsidRDefault="006A4DD0"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rPr>
        <w:t>Separately, CIOT has raised questions in connection with HMRC’s Compliance Professional Standards (CPS</w:t>
      </w:r>
      <w:r w:rsidR="00B7557D" w:rsidRPr="001A6A66">
        <w:rPr>
          <w:rFonts w:asciiTheme="minorHAnsi" w:hAnsiTheme="minorHAnsi" w:cstheme="minorHAnsi"/>
        </w:rPr>
        <w:t>)</w:t>
      </w:r>
      <w:r w:rsidRPr="001A6A66">
        <w:rPr>
          <w:rFonts w:asciiTheme="minorHAnsi" w:hAnsiTheme="minorHAnsi" w:cstheme="minorHAnsi"/>
        </w:rPr>
        <w:t>, which link through to their Charter. While it is help</w:t>
      </w:r>
      <w:r w:rsidR="00B7557D" w:rsidRPr="001A6A66">
        <w:rPr>
          <w:rFonts w:asciiTheme="minorHAnsi" w:hAnsiTheme="minorHAnsi" w:cstheme="minorHAnsi"/>
        </w:rPr>
        <w:t>ful</w:t>
      </w:r>
      <w:r w:rsidRPr="001A6A66">
        <w:rPr>
          <w:rFonts w:asciiTheme="minorHAnsi" w:hAnsiTheme="minorHAnsi" w:cstheme="minorHAnsi"/>
        </w:rPr>
        <w:t xml:space="preserve"> to have a set of expectations or aspirations, it is not clear what the recourse is in cases where these are not met. This is particularly evident from the “volume compliance” approach to R&amp;D enquiries where there have been multiple failings of basic standards counter to the Charter and CPS.</w:t>
      </w:r>
      <w:r w:rsidR="00AA08C2" w:rsidRPr="001A6A66">
        <w:rPr>
          <w:rFonts w:asciiTheme="minorHAnsi" w:hAnsiTheme="minorHAnsi" w:cstheme="minorHAnsi"/>
        </w:rPr>
        <w:t xml:space="preserve"> </w:t>
      </w:r>
    </w:p>
    <w:p w14:paraId="62B7214E" w14:textId="77777777" w:rsidR="001A6A66" w:rsidRPr="001A6A66" w:rsidRDefault="00AA08C2"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i/>
          <w:iCs/>
        </w:rPr>
        <w:t>Relative financial sanctions</w:t>
      </w:r>
    </w:p>
    <w:p w14:paraId="257948E1" w14:textId="77777777" w:rsidR="001A6A66" w:rsidRPr="001A6A66" w:rsidRDefault="00AA08C2"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rPr>
        <w:t xml:space="preserve">If HMRC fails to make tax repayments in time, or makes errors leading to taxpayer refunds, it pays interest at 4.25% per annum. If a taxpayer fails to make a tax payment in time, or makes errors leading to an underpayment of tax, they will pay interest at 7.75% per annum. Penalty interest or other late payment penalties may also be charged on the taxpayer. Therefore, the financial consequences for HMRC are significantly lower than those for taxpayers. While HMRC may pay modest amounts of compensation if a successful complaint is made, since the removal of Repayment Supplement for VAT in 2023, there are no financial penalties on HMRC. </w:t>
      </w:r>
      <w:r w:rsidR="006F6979" w:rsidRPr="001A6A66">
        <w:rPr>
          <w:rFonts w:asciiTheme="minorHAnsi" w:hAnsiTheme="minorHAnsi" w:cstheme="minorHAnsi"/>
        </w:rPr>
        <w:t xml:space="preserve">This can feel particularly unfair now the principle of commercial restitution can no longer be applied, meaning it is no longer possible </w:t>
      </w:r>
      <w:r w:rsidR="00C57723" w:rsidRPr="001A6A66">
        <w:rPr>
          <w:rFonts w:asciiTheme="minorHAnsi" w:hAnsiTheme="minorHAnsi" w:cstheme="minorHAnsi"/>
        </w:rPr>
        <w:t>for HMRC to not charge interest, even though there has been no overall loss of revenue to the Exchequer.</w:t>
      </w:r>
      <w:r w:rsidR="00C57723">
        <w:rPr>
          <w:rStyle w:val="FootnoteReference"/>
          <w:rFonts w:asciiTheme="minorHAnsi" w:hAnsiTheme="minorHAnsi" w:cstheme="minorHAnsi"/>
        </w:rPr>
        <w:footnoteReference w:id="11"/>
      </w:r>
    </w:p>
    <w:p w14:paraId="12397E19" w14:textId="42A7411A" w:rsidR="001A6A66" w:rsidRPr="001A6A66" w:rsidRDefault="00AA08C2"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i/>
          <w:iCs/>
        </w:rPr>
        <w:t>Underperformance is accepted</w:t>
      </w:r>
    </w:p>
    <w:p w14:paraId="1179C583" w14:textId="77777777" w:rsidR="001A6A66" w:rsidRPr="001A6A66" w:rsidRDefault="00D26AEA" w:rsidP="001A6A66">
      <w:pPr>
        <w:pStyle w:val="ListParagraph"/>
        <w:numPr>
          <w:ilvl w:val="1"/>
          <w:numId w:val="6"/>
        </w:numPr>
        <w:contextualSpacing w:val="0"/>
        <w:jc w:val="both"/>
        <w:rPr>
          <w:rFonts w:asciiTheme="minorHAnsi" w:hAnsiTheme="minorHAnsi" w:cstheme="minorHAnsi"/>
          <w:i/>
          <w:iCs/>
        </w:rPr>
      </w:pPr>
      <w:r w:rsidRPr="001A6A66">
        <w:rPr>
          <w:rFonts w:asciiTheme="minorHAnsi" w:hAnsiTheme="minorHAnsi" w:cstheme="minorHAnsi"/>
        </w:rPr>
        <w:t xml:space="preserve">The recent NAO report notes that HMRC has not met many of its customer service targets for several years. We are concerned that it has become the ‘norm’ for HMRC to underperform. </w:t>
      </w:r>
    </w:p>
    <w:p w14:paraId="7F4AD3C1" w14:textId="37436022" w:rsidR="00EA476B" w:rsidRPr="001A6A66" w:rsidRDefault="001A6A66" w:rsidP="001A6A66">
      <w:pPr>
        <w:pStyle w:val="ListParagraph"/>
        <w:numPr>
          <w:ilvl w:val="1"/>
          <w:numId w:val="6"/>
        </w:numPr>
        <w:contextualSpacing w:val="0"/>
        <w:jc w:val="both"/>
        <w:rPr>
          <w:rFonts w:asciiTheme="minorHAnsi" w:hAnsiTheme="minorHAnsi" w:cstheme="minorHAnsi"/>
          <w:i/>
          <w:iCs/>
        </w:rPr>
      </w:pPr>
      <w:r>
        <w:rPr>
          <w:rFonts w:asciiTheme="minorHAnsi" w:hAnsiTheme="minorHAnsi" w:cstheme="minorHAnsi"/>
        </w:rPr>
        <w:t xml:space="preserve">While we do not suggest this is a contributory factor to the failure to meet customer service targets, </w:t>
      </w:r>
      <w:r w:rsidR="00D26AEA" w:rsidRPr="001A6A66">
        <w:rPr>
          <w:rFonts w:asciiTheme="minorHAnsi" w:hAnsiTheme="minorHAnsi" w:cstheme="minorHAnsi"/>
        </w:rPr>
        <w:t xml:space="preserve">in his recent evidence to the Treasury Committee, Jim Harra noted that HMRC’s standard is that employees should </w:t>
      </w:r>
      <w:r w:rsidR="00D26AEA" w:rsidRPr="001A6A66">
        <w:rPr>
          <w:rFonts w:asciiTheme="minorHAnsi" w:hAnsiTheme="minorHAnsi" w:cstheme="minorHAnsi"/>
        </w:rPr>
        <w:lastRenderedPageBreak/>
        <w:t>come in to the office at least 60% of the time, but that only around 57% of staff were meeting that expectation.</w:t>
      </w:r>
      <w:r w:rsidR="00D26AEA">
        <w:rPr>
          <w:rStyle w:val="FootnoteReference"/>
          <w:rFonts w:asciiTheme="minorHAnsi" w:hAnsiTheme="minorHAnsi" w:cstheme="minorHAnsi"/>
        </w:rPr>
        <w:footnoteReference w:id="12"/>
      </w:r>
      <w:r w:rsidR="00D26AEA" w:rsidRPr="001A6A66">
        <w:rPr>
          <w:rFonts w:asciiTheme="minorHAnsi" w:hAnsiTheme="minorHAnsi" w:cstheme="minorHAnsi"/>
        </w:rPr>
        <w:t xml:space="preserve"> </w:t>
      </w:r>
      <w:r w:rsidR="007F280F">
        <w:rPr>
          <w:rFonts w:asciiTheme="minorHAnsi" w:hAnsiTheme="minorHAnsi" w:cstheme="minorHAnsi"/>
        </w:rPr>
        <w:t>We do not understand why that internal target is not being met, and we are concerned that there is a wider cultural problem around the enforcement of standards and the lack of accountability when they are not met</w:t>
      </w:r>
      <w:r w:rsidR="00D26AEA" w:rsidRPr="001A6A66">
        <w:rPr>
          <w:rFonts w:asciiTheme="minorHAnsi" w:hAnsiTheme="minorHAnsi" w:cstheme="minorHAnsi"/>
        </w:rPr>
        <w:t>.</w:t>
      </w:r>
    </w:p>
    <w:p w14:paraId="74AA9B41" w14:textId="77777777" w:rsidR="00EA476B" w:rsidRDefault="00EA476B" w:rsidP="00D849C0">
      <w:pPr>
        <w:jc w:val="both"/>
        <w:rPr>
          <w:rFonts w:asciiTheme="minorHAnsi" w:hAnsiTheme="minorHAnsi" w:cstheme="minorHAnsi"/>
        </w:rPr>
      </w:pPr>
    </w:p>
    <w:p w14:paraId="50130E77" w14:textId="77777777" w:rsidR="00EA476B" w:rsidRPr="00405DCD" w:rsidRDefault="00EA476B" w:rsidP="00EA476B">
      <w:pPr>
        <w:pStyle w:val="ListParagraph"/>
        <w:numPr>
          <w:ilvl w:val="0"/>
          <w:numId w:val="6"/>
        </w:numPr>
        <w:contextualSpacing w:val="0"/>
        <w:jc w:val="both"/>
        <w:rPr>
          <w:rFonts w:asciiTheme="minorHAnsi" w:hAnsiTheme="minorHAnsi" w:cstheme="minorHAnsi"/>
          <w:b/>
          <w:bCs/>
        </w:rPr>
      </w:pPr>
      <w:r>
        <w:rPr>
          <w:rFonts w:asciiTheme="minorHAnsi" w:hAnsiTheme="minorHAnsi" w:cstheme="minorHAnsi"/>
          <w:b/>
          <w:bCs/>
        </w:rPr>
        <w:t>Acknowledgement of submission</w:t>
      </w:r>
    </w:p>
    <w:p w14:paraId="061EBCD5" w14:textId="331DA781" w:rsidR="00EA476B" w:rsidRDefault="00EA476B" w:rsidP="00EA476B">
      <w:pPr>
        <w:pStyle w:val="ListParagraph"/>
        <w:numPr>
          <w:ilvl w:val="1"/>
          <w:numId w:val="6"/>
        </w:numPr>
        <w:contextualSpacing w:val="0"/>
        <w:jc w:val="both"/>
        <w:rPr>
          <w:rFonts w:asciiTheme="minorHAnsi" w:hAnsiTheme="minorHAnsi" w:cstheme="minorHAnsi"/>
        </w:rPr>
      </w:pPr>
      <w:r w:rsidRPr="00EA476B">
        <w:rPr>
          <w:rFonts w:asciiTheme="minorHAnsi" w:hAnsiTheme="minorHAnsi" w:cstheme="minorHAnsi"/>
        </w:rPr>
        <w:t xml:space="preserve">We would be grateful if you could acknowledge safe receipt of this submission, and ensure that the Chartered Institute of Taxation is included in the </w:t>
      </w:r>
      <w:r w:rsidR="00540C21">
        <w:rPr>
          <w:rFonts w:asciiTheme="minorHAnsi" w:hAnsiTheme="minorHAnsi" w:cstheme="minorHAnsi"/>
        </w:rPr>
        <w:t>l</w:t>
      </w:r>
      <w:r w:rsidRPr="00EA476B">
        <w:rPr>
          <w:rFonts w:asciiTheme="minorHAnsi" w:hAnsiTheme="minorHAnsi" w:cstheme="minorHAnsi"/>
        </w:rPr>
        <w:t xml:space="preserve">ist of </w:t>
      </w:r>
      <w:r w:rsidR="00540C21">
        <w:rPr>
          <w:rFonts w:asciiTheme="minorHAnsi" w:hAnsiTheme="minorHAnsi" w:cstheme="minorHAnsi"/>
        </w:rPr>
        <w:t>those providing written evidence</w:t>
      </w:r>
      <w:r w:rsidRPr="00EA476B">
        <w:rPr>
          <w:rFonts w:asciiTheme="minorHAnsi" w:hAnsiTheme="minorHAnsi" w:cstheme="minorHAnsi"/>
        </w:rPr>
        <w:t xml:space="preserve"> when any outcome of the </w:t>
      </w:r>
      <w:r w:rsidR="00540C21">
        <w:rPr>
          <w:rFonts w:asciiTheme="minorHAnsi" w:hAnsiTheme="minorHAnsi" w:cstheme="minorHAnsi"/>
        </w:rPr>
        <w:t>inquiry</w:t>
      </w:r>
      <w:r w:rsidRPr="00EA476B">
        <w:rPr>
          <w:rFonts w:asciiTheme="minorHAnsi" w:hAnsiTheme="minorHAnsi" w:cstheme="minorHAnsi"/>
        </w:rPr>
        <w:t xml:space="preserve"> is published</w:t>
      </w:r>
      <w:r w:rsidR="008578D4">
        <w:rPr>
          <w:rFonts w:asciiTheme="minorHAnsi" w:hAnsiTheme="minorHAnsi" w:cstheme="minorHAnsi"/>
        </w:rPr>
        <w:t>.</w:t>
      </w:r>
    </w:p>
    <w:p w14:paraId="643EE36F" w14:textId="77777777" w:rsidR="00D849C0" w:rsidRPr="00D849C0" w:rsidRDefault="00D849C0" w:rsidP="00D849C0">
      <w:pPr>
        <w:jc w:val="both"/>
        <w:rPr>
          <w:rFonts w:asciiTheme="minorHAnsi" w:hAnsiTheme="minorHAnsi" w:cstheme="minorHAnsi"/>
        </w:rPr>
      </w:pPr>
    </w:p>
    <w:p w14:paraId="5BA81208" w14:textId="77777777" w:rsidR="00D849C0" w:rsidRPr="00D849C0" w:rsidRDefault="00D849C0" w:rsidP="00D849C0">
      <w:pPr>
        <w:jc w:val="both"/>
        <w:rPr>
          <w:rFonts w:asciiTheme="minorHAnsi" w:hAnsiTheme="minorHAnsi" w:cstheme="minorHAnsi"/>
        </w:rPr>
      </w:pPr>
      <w:r w:rsidRPr="00D849C0">
        <w:rPr>
          <w:rFonts w:asciiTheme="minorHAnsi" w:hAnsiTheme="minorHAnsi" w:cstheme="minorHAnsi"/>
        </w:rPr>
        <w:t>The Chartered Institute of Taxation</w:t>
      </w:r>
    </w:p>
    <w:p w14:paraId="59C8AEA5" w14:textId="47769B6B" w:rsidR="00D849C0" w:rsidRPr="00D849C0" w:rsidRDefault="00D849C0" w:rsidP="00D849C0">
      <w:pPr>
        <w:jc w:val="both"/>
        <w:rPr>
          <w:rFonts w:asciiTheme="minorHAnsi" w:hAnsiTheme="minorHAnsi" w:cstheme="minorHAnsi"/>
        </w:rPr>
      </w:pPr>
      <w:r w:rsidRPr="00D849C0">
        <w:rPr>
          <w:rFonts w:asciiTheme="minorHAnsi" w:hAnsiTheme="minorHAnsi" w:cstheme="minorHAnsi"/>
        </w:rPr>
        <w:fldChar w:fldCharType="begin"/>
      </w:r>
      <w:r w:rsidRPr="00D849C0">
        <w:rPr>
          <w:rFonts w:asciiTheme="minorHAnsi" w:hAnsiTheme="minorHAnsi" w:cstheme="minorHAnsi"/>
        </w:rPr>
        <w:instrText xml:space="preserve"> DATE  \@ "d MMMM yyyy"  \* MERGEFORMAT </w:instrText>
      </w:r>
      <w:r w:rsidRPr="00D849C0">
        <w:rPr>
          <w:rFonts w:asciiTheme="minorHAnsi" w:hAnsiTheme="minorHAnsi" w:cstheme="minorHAnsi"/>
        </w:rPr>
        <w:fldChar w:fldCharType="separate"/>
      </w:r>
      <w:r w:rsidR="00C3104A">
        <w:rPr>
          <w:rFonts w:asciiTheme="minorHAnsi" w:hAnsiTheme="minorHAnsi" w:cstheme="minorHAnsi"/>
          <w:noProof/>
        </w:rPr>
        <w:t>23 May 2024</w:t>
      </w:r>
      <w:r w:rsidRPr="00D849C0">
        <w:rPr>
          <w:rFonts w:asciiTheme="minorHAnsi" w:hAnsiTheme="minorHAnsi" w:cstheme="minorHAnsi"/>
        </w:rPr>
        <w:fldChar w:fldCharType="end"/>
      </w:r>
    </w:p>
    <w:p w14:paraId="02E0E5CF" w14:textId="77777777" w:rsidR="00DF429B" w:rsidRDefault="008E2F5F" w:rsidP="008E2F5F">
      <w:pPr>
        <w:tabs>
          <w:tab w:val="left" w:pos="3443"/>
        </w:tabs>
        <w:jc w:val="both"/>
        <w:rPr>
          <w:rFonts w:asciiTheme="minorHAnsi" w:hAnsiTheme="minorHAnsi" w:cstheme="minorHAnsi"/>
        </w:rPr>
      </w:pPr>
      <w:r>
        <w:rPr>
          <w:rFonts w:asciiTheme="minorHAnsi" w:hAnsiTheme="minorHAnsi" w:cstheme="minorHAnsi"/>
        </w:rPr>
        <w:tab/>
      </w:r>
    </w:p>
    <w:p w14:paraId="08DCDEF7" w14:textId="77777777" w:rsidR="00E175EA" w:rsidRDefault="00E175EA">
      <w:pPr>
        <w:spacing w:after="0" w:line="240" w:lineRule="auto"/>
        <w:rPr>
          <w:rFonts w:asciiTheme="minorHAnsi" w:hAnsiTheme="minorHAnsi" w:cstheme="minorHAnsi"/>
        </w:rPr>
      </w:pPr>
      <w:r>
        <w:rPr>
          <w:rFonts w:asciiTheme="minorHAnsi" w:hAnsiTheme="minorHAnsi" w:cstheme="minorHAnsi"/>
        </w:rPr>
        <w:br w:type="page"/>
      </w:r>
    </w:p>
    <w:p w14:paraId="1C625605" w14:textId="77777777" w:rsidR="00E175EA" w:rsidRPr="00E175EA" w:rsidRDefault="00E175EA" w:rsidP="00E175EA">
      <w:pPr>
        <w:jc w:val="right"/>
        <w:rPr>
          <w:rFonts w:asciiTheme="minorHAnsi" w:hAnsiTheme="minorHAnsi" w:cstheme="minorHAnsi"/>
          <w:b/>
          <w:bCs/>
        </w:rPr>
      </w:pPr>
      <w:r w:rsidRPr="00E175EA">
        <w:rPr>
          <w:rFonts w:asciiTheme="minorHAnsi" w:hAnsiTheme="minorHAnsi" w:cstheme="minorHAnsi"/>
          <w:b/>
          <w:bCs/>
        </w:rPr>
        <w:lastRenderedPageBreak/>
        <w:t>Appendix one</w:t>
      </w:r>
    </w:p>
    <w:p w14:paraId="038AAF57" w14:textId="77777777" w:rsidR="00E175EA" w:rsidRPr="00E175EA" w:rsidRDefault="00E175EA" w:rsidP="00E175EA">
      <w:pPr>
        <w:spacing w:after="160" w:line="259" w:lineRule="auto"/>
        <w:jc w:val="center"/>
        <w:rPr>
          <w:rFonts w:cs="Arial"/>
          <w:b/>
          <w:kern w:val="2"/>
          <w14:ligatures w14:val="standardContextual"/>
        </w:rPr>
      </w:pPr>
      <w:r w:rsidRPr="00E175EA">
        <w:rPr>
          <w:rFonts w:cs="Arial"/>
          <w:b/>
          <w:kern w:val="2"/>
          <w14:ligatures w14:val="standardContextual"/>
        </w:rPr>
        <w:t>Minimum standards for the introduction of new HMRC digital systems</w:t>
      </w:r>
    </w:p>
    <w:p w14:paraId="7A75434D" w14:textId="77777777" w:rsidR="00E175EA" w:rsidRPr="00E175EA" w:rsidRDefault="00E175EA" w:rsidP="00E175EA">
      <w:pPr>
        <w:spacing w:after="160" w:line="259" w:lineRule="auto"/>
        <w:rPr>
          <w:rFonts w:cs="Arial"/>
          <w:kern w:val="2"/>
          <w14:ligatures w14:val="standardContextual"/>
        </w:rPr>
      </w:pPr>
      <w:r w:rsidRPr="00E175EA">
        <w:rPr>
          <w:rFonts w:cs="Arial"/>
          <w:kern w:val="2"/>
          <w14:ligatures w14:val="standardContextual"/>
        </w:rPr>
        <w:t>We set out below what we believe are the minimum standards which should be applied by HMRC when developing new digital systems to be used by taxpayers and agents. In this regard we mean digital systems and processes by which taxpayers and agents interact with HMRC to fulfil their tax obligations (examples include the VAT registration service, the Trust Registration Service, RTI reporting, the property reporting service, Making Tax Digital etc).</w:t>
      </w:r>
    </w:p>
    <w:p w14:paraId="7FA3ED59"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Policy development should consider the extent of digitalisation required to deliver it.</w:t>
      </w:r>
    </w:p>
    <w:p w14:paraId="4ED5680A" w14:textId="77777777" w:rsidR="00E175EA" w:rsidRPr="00E175EA" w:rsidRDefault="00E175EA" w:rsidP="00E175EA">
      <w:pPr>
        <w:spacing w:after="160" w:line="259" w:lineRule="auto"/>
        <w:ind w:left="360"/>
        <w:contextualSpacing/>
        <w:rPr>
          <w:rFonts w:cs="Arial"/>
          <w:kern w:val="2"/>
          <w14:ligatures w14:val="standardContextual"/>
        </w:rPr>
      </w:pPr>
    </w:p>
    <w:p w14:paraId="6C053972" w14:textId="77777777" w:rsidR="00E175EA" w:rsidRPr="00E175EA" w:rsidRDefault="00E175EA" w:rsidP="00E175EA">
      <w:pPr>
        <w:spacing w:after="160" w:line="259" w:lineRule="auto"/>
        <w:ind w:left="360"/>
        <w:contextualSpacing/>
        <w:rPr>
          <w:rFonts w:cs="Arial"/>
          <w:kern w:val="2"/>
          <w14:ligatures w14:val="standardContextual"/>
        </w:rPr>
      </w:pPr>
      <w:r w:rsidRPr="00E175EA">
        <w:rPr>
          <w:rFonts w:cs="Arial"/>
          <w:i/>
          <w:iCs/>
          <w:kern w:val="2"/>
          <w14:ligatures w14:val="standardContextual"/>
        </w:rPr>
        <w:t>Changes to the tax system invariably require the introduction of new, or changes to existing, digital systems. When developing tax policy, the consultation process should include consideration of how the policy will be delivered, a realistic evaluation of how long new systems will take to put in place, and the costs of development and ongoing compliance</w:t>
      </w:r>
      <w:r w:rsidRPr="00E175EA">
        <w:rPr>
          <w:rFonts w:cs="Arial"/>
          <w:kern w:val="2"/>
          <w14:ligatures w14:val="standardContextual"/>
        </w:rPr>
        <w:t xml:space="preserve">. </w:t>
      </w:r>
    </w:p>
    <w:p w14:paraId="1F79C73F" w14:textId="77777777" w:rsidR="00E175EA" w:rsidRPr="00E175EA" w:rsidRDefault="00E175EA" w:rsidP="00E175EA">
      <w:pPr>
        <w:spacing w:after="160" w:line="259" w:lineRule="auto"/>
        <w:ind w:left="360"/>
        <w:contextualSpacing/>
        <w:rPr>
          <w:rFonts w:cs="Arial"/>
          <w:kern w:val="2"/>
          <w14:ligatures w14:val="standardContextual"/>
        </w:rPr>
      </w:pPr>
    </w:p>
    <w:p w14:paraId="1DDD870B"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 xml:space="preserve">Consultation and testing of the digital system before its use becomes mandatory. </w:t>
      </w:r>
    </w:p>
    <w:p w14:paraId="56926B97" w14:textId="77777777" w:rsidR="00E175EA" w:rsidRPr="00E175EA" w:rsidRDefault="00E175EA" w:rsidP="00E175EA">
      <w:pPr>
        <w:spacing w:after="160" w:line="259" w:lineRule="auto"/>
        <w:ind w:left="360"/>
        <w:contextualSpacing/>
        <w:rPr>
          <w:rFonts w:cs="Arial"/>
          <w:kern w:val="2"/>
          <w14:ligatures w14:val="standardContextual"/>
        </w:rPr>
      </w:pPr>
    </w:p>
    <w:p w14:paraId="4A365B58"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 xml:space="preserve">New digital systems should be the subject of consultation and full end-to-end pilot testing process prior to </w:t>
      </w:r>
      <w:r w:rsidRPr="00E175EA">
        <w:rPr>
          <w:rFonts w:cs="Arial"/>
          <w:i/>
          <w:iCs/>
          <w:kern w:val="2"/>
          <w14:ligatures w14:val="standardContextual"/>
        </w:rPr>
        <w:t>their</w:t>
      </w:r>
      <w:r w:rsidRPr="00E175EA">
        <w:rPr>
          <w:rFonts w:cs="Arial"/>
          <w:i/>
          <w:kern w:val="2"/>
          <w14:ligatures w14:val="standardContextual"/>
        </w:rPr>
        <w:t xml:space="preserve"> use becoming mandatory. </w:t>
      </w:r>
      <w:r w:rsidRPr="00E175EA">
        <w:rPr>
          <w:rFonts w:cs="Arial"/>
          <w:i/>
          <w:iCs/>
          <w:kern w:val="2"/>
          <w14:ligatures w14:val="standardContextual"/>
        </w:rPr>
        <w:t>Participation in testing</w:t>
      </w:r>
      <w:r w:rsidRPr="00E175EA">
        <w:rPr>
          <w:rFonts w:cs="Arial"/>
          <w:i/>
          <w:kern w:val="2"/>
          <w14:ligatures w14:val="standardContextual"/>
        </w:rPr>
        <w:t xml:space="preserve"> should be voluntary, and encompass a variety of circumstances, including represented and unrepresented taxpayers, and both large and smaller agents. Systems should only become mandatory once this has taken place and any glitches rectified, so as to ensure they work as envisaged, meet the requirements set out below, and fulfil the policy objective.</w:t>
      </w:r>
    </w:p>
    <w:p w14:paraId="225B107E" w14:textId="77777777" w:rsidR="00E175EA" w:rsidRPr="00E175EA" w:rsidRDefault="00E175EA" w:rsidP="00E175EA">
      <w:pPr>
        <w:spacing w:after="160" w:line="259" w:lineRule="auto"/>
        <w:ind w:left="360"/>
        <w:contextualSpacing/>
        <w:rPr>
          <w:rFonts w:cs="Arial"/>
          <w:kern w:val="2"/>
          <w14:ligatures w14:val="standardContextual"/>
        </w:rPr>
      </w:pPr>
    </w:p>
    <w:p w14:paraId="1A947D3B"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The new digital system has at least the same level of functionality as the system it replaces.</w:t>
      </w:r>
    </w:p>
    <w:p w14:paraId="4D94F089" w14:textId="77777777" w:rsidR="00E175EA" w:rsidRPr="00E175EA" w:rsidRDefault="00E175EA" w:rsidP="00E175EA">
      <w:pPr>
        <w:spacing w:after="160" w:line="259" w:lineRule="auto"/>
        <w:ind w:left="360"/>
        <w:contextualSpacing/>
        <w:rPr>
          <w:rFonts w:cs="Arial"/>
          <w:kern w:val="2"/>
          <w14:ligatures w14:val="standardContextual"/>
        </w:rPr>
      </w:pPr>
    </w:p>
    <w:p w14:paraId="65DCA922"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HMRC’s ambition is to be ‘the most digitally advanced tax authority in the world’. New systems should deliver against that ambition and introduce additional, improved functionality without removing that which exists already.</w:t>
      </w:r>
      <w:r w:rsidRPr="00E175EA">
        <w:rPr>
          <w:rFonts w:cs="Arial"/>
          <w:kern w:val="2"/>
          <w14:ligatures w14:val="standardContextual"/>
        </w:rPr>
        <w:t xml:space="preserve"> </w:t>
      </w:r>
      <w:r w:rsidRPr="00E175EA">
        <w:rPr>
          <w:rFonts w:cs="Arial"/>
          <w:i/>
          <w:kern w:val="2"/>
          <w14:ligatures w14:val="standardContextual"/>
        </w:rPr>
        <w:t>Where the new system requires the completion of digital forms, we have separately set out the minimum requirements for such forms.</w:t>
      </w:r>
    </w:p>
    <w:p w14:paraId="5D5176BC" w14:textId="77777777" w:rsidR="00E175EA" w:rsidRPr="00E175EA" w:rsidRDefault="00E175EA" w:rsidP="00E175EA">
      <w:pPr>
        <w:spacing w:after="160" w:line="259" w:lineRule="auto"/>
        <w:ind w:left="360"/>
        <w:contextualSpacing/>
        <w:rPr>
          <w:rFonts w:cs="Arial"/>
          <w:i/>
          <w:kern w:val="2"/>
          <w14:ligatures w14:val="standardContextual"/>
        </w:rPr>
      </w:pPr>
    </w:p>
    <w:p w14:paraId="1944EE07"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Interaction with existing HMRC systems is maximised.</w:t>
      </w:r>
    </w:p>
    <w:p w14:paraId="046C5352" w14:textId="77777777" w:rsidR="00E175EA" w:rsidRPr="00E175EA" w:rsidRDefault="00E175EA" w:rsidP="00E175EA">
      <w:pPr>
        <w:spacing w:after="160" w:line="259" w:lineRule="auto"/>
        <w:ind w:left="360"/>
        <w:contextualSpacing/>
        <w:rPr>
          <w:rFonts w:cs="Arial"/>
          <w:kern w:val="2"/>
          <w14:ligatures w14:val="standardContextual"/>
        </w:rPr>
      </w:pPr>
    </w:p>
    <w:p w14:paraId="4AC51CEC"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 xml:space="preserve">New digital systems should </w:t>
      </w:r>
      <w:r w:rsidRPr="00E175EA">
        <w:rPr>
          <w:rFonts w:cs="Arial"/>
          <w:i/>
          <w:iCs/>
          <w:kern w:val="2"/>
          <w14:ligatures w14:val="standardContextual"/>
        </w:rPr>
        <w:t>complement</w:t>
      </w:r>
      <w:r w:rsidRPr="00E175EA">
        <w:rPr>
          <w:rFonts w:cs="Arial"/>
          <w:i/>
          <w:kern w:val="2"/>
          <w14:ligatures w14:val="standardContextual"/>
        </w:rPr>
        <w:t xml:space="preserve"> HMRC’s existing IT infrastructure, pulling through information from existing systems, and seamlessly interacting with those systems. This will improve the overall ‘customer experience’, as well as improving accuracy and reducing costs all round.</w:t>
      </w:r>
    </w:p>
    <w:p w14:paraId="06F3630D" w14:textId="77777777" w:rsidR="00E175EA" w:rsidRPr="00E175EA" w:rsidRDefault="00E175EA" w:rsidP="00E175EA">
      <w:pPr>
        <w:spacing w:after="160" w:line="259" w:lineRule="auto"/>
        <w:ind w:left="360"/>
        <w:contextualSpacing/>
        <w:rPr>
          <w:rFonts w:cs="Arial"/>
          <w:kern w:val="2"/>
          <w14:ligatures w14:val="standardContextual"/>
        </w:rPr>
      </w:pPr>
    </w:p>
    <w:p w14:paraId="422BB0FB"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Guidance is available on how to use the new digital system before it goes live.</w:t>
      </w:r>
    </w:p>
    <w:p w14:paraId="21315D0F" w14:textId="77777777" w:rsidR="00E175EA" w:rsidRPr="00E175EA" w:rsidRDefault="00E175EA" w:rsidP="00E175EA">
      <w:pPr>
        <w:spacing w:after="160" w:line="259" w:lineRule="auto"/>
        <w:ind w:left="360"/>
        <w:contextualSpacing/>
        <w:rPr>
          <w:rFonts w:cs="Arial"/>
          <w:kern w:val="2"/>
          <w14:ligatures w14:val="standardContextual"/>
        </w:rPr>
      </w:pPr>
    </w:p>
    <w:p w14:paraId="7DCBD40C"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 xml:space="preserve">This will enable its users to make the necessary preparatory steps to their procedures </w:t>
      </w:r>
      <w:r w:rsidRPr="00E175EA">
        <w:rPr>
          <w:rFonts w:cs="Arial"/>
          <w:i/>
          <w:iCs/>
          <w:kern w:val="2"/>
          <w14:ligatures w14:val="standardContextual"/>
        </w:rPr>
        <w:t xml:space="preserve">and in-house IT capabilities </w:t>
      </w:r>
      <w:r w:rsidRPr="00E175EA">
        <w:rPr>
          <w:rFonts w:cs="Arial"/>
          <w:i/>
          <w:kern w:val="2"/>
          <w14:ligatures w14:val="standardContextual"/>
        </w:rPr>
        <w:t>so they can use the new system effectively and it can deliver the intended benefits and functionality. This should include step-by-step guidance and up-to-date screenshots or YouTube videos to aid understanding. Those testing the system should be able to access the draft guidance to ensure it supports them through the process.</w:t>
      </w:r>
    </w:p>
    <w:p w14:paraId="0F92DB21" w14:textId="77777777" w:rsidR="00E175EA" w:rsidRPr="00E175EA" w:rsidRDefault="00E175EA" w:rsidP="00E175EA">
      <w:pPr>
        <w:spacing w:after="160" w:line="259" w:lineRule="auto"/>
        <w:ind w:left="360"/>
        <w:contextualSpacing/>
        <w:rPr>
          <w:rFonts w:cs="Arial"/>
          <w:kern w:val="2"/>
          <w14:ligatures w14:val="standardContextual"/>
        </w:rPr>
      </w:pPr>
    </w:p>
    <w:p w14:paraId="0FED43C1"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The digital system should keep pace with legislative and policy changes.</w:t>
      </w:r>
    </w:p>
    <w:p w14:paraId="1C4CF086" w14:textId="77777777" w:rsidR="00E175EA" w:rsidRPr="00E175EA" w:rsidRDefault="00E175EA" w:rsidP="00E175EA">
      <w:pPr>
        <w:spacing w:after="160" w:line="259" w:lineRule="auto"/>
        <w:ind w:left="360"/>
        <w:contextualSpacing/>
        <w:rPr>
          <w:rFonts w:cs="Arial"/>
          <w:i/>
          <w:iCs/>
          <w:kern w:val="2"/>
          <w14:ligatures w14:val="standardContextual"/>
        </w:rPr>
      </w:pPr>
    </w:p>
    <w:p w14:paraId="4EB3FB01" w14:textId="77777777" w:rsidR="00E175EA" w:rsidRPr="00E175EA" w:rsidRDefault="00E175EA" w:rsidP="00E175EA">
      <w:pPr>
        <w:spacing w:after="160" w:line="259" w:lineRule="auto"/>
        <w:ind w:left="360"/>
        <w:contextualSpacing/>
        <w:rPr>
          <w:rFonts w:cs="Arial"/>
          <w:i/>
          <w:iCs/>
          <w:kern w:val="2"/>
          <w14:ligatures w14:val="standardContextual"/>
        </w:rPr>
      </w:pPr>
      <w:r w:rsidRPr="00E175EA">
        <w:rPr>
          <w:rFonts w:cs="Arial"/>
          <w:i/>
          <w:iCs/>
          <w:kern w:val="2"/>
          <w14:ligatures w14:val="standardContextual"/>
        </w:rPr>
        <w:t>The digital system should be regularly reviewed and updated so that it reflects changes to legislative and policy requirements, so that its users remain compliant.</w:t>
      </w:r>
    </w:p>
    <w:p w14:paraId="69B12349" w14:textId="77777777" w:rsidR="00E175EA" w:rsidRPr="00E175EA" w:rsidRDefault="00E175EA" w:rsidP="00E175EA">
      <w:pPr>
        <w:spacing w:after="160" w:line="259" w:lineRule="auto"/>
        <w:ind w:left="360"/>
        <w:contextualSpacing/>
        <w:rPr>
          <w:rFonts w:cs="Arial"/>
          <w:kern w:val="2"/>
          <w14:ligatures w14:val="standardContextual"/>
        </w:rPr>
      </w:pPr>
    </w:p>
    <w:p w14:paraId="4BA3A420"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The new digital system should respect existing agent authorisations, and that a taxpayer may use different agents for different taxes / obligations.</w:t>
      </w:r>
    </w:p>
    <w:p w14:paraId="5FDC3C16" w14:textId="77777777" w:rsidR="00E175EA" w:rsidRPr="00E175EA" w:rsidRDefault="00E175EA" w:rsidP="00E175EA">
      <w:pPr>
        <w:spacing w:after="160" w:line="259" w:lineRule="auto"/>
        <w:ind w:left="360"/>
        <w:contextualSpacing/>
        <w:rPr>
          <w:rFonts w:cs="Arial"/>
          <w:kern w:val="2"/>
          <w14:ligatures w14:val="standardContextual"/>
        </w:rPr>
      </w:pPr>
    </w:p>
    <w:p w14:paraId="1EF9F761"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lastRenderedPageBreak/>
        <w:t>HMRC’s Charter promises to ‘respect your wish to have someone else deal with us on your behalf’, which might include multiple agents for various taxes / obligations. Where that wish has already been granted for a particular area of tax, it should not be necessary to repeat that authorisation as a result of the introduction of a new digital system.</w:t>
      </w:r>
    </w:p>
    <w:p w14:paraId="7694007A" w14:textId="77777777" w:rsidR="00E175EA" w:rsidRPr="00E175EA" w:rsidRDefault="00E175EA" w:rsidP="00E175EA">
      <w:pPr>
        <w:spacing w:after="160" w:line="259" w:lineRule="auto"/>
        <w:ind w:left="360"/>
        <w:contextualSpacing/>
        <w:rPr>
          <w:rFonts w:cs="Arial"/>
          <w:i/>
          <w:kern w:val="2"/>
          <w14:ligatures w14:val="standardContextual"/>
        </w:rPr>
      </w:pPr>
    </w:p>
    <w:p w14:paraId="26E34A06"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Agent access should keep pace with that for taxpayers themselves.</w:t>
      </w:r>
    </w:p>
    <w:p w14:paraId="789B8BD6" w14:textId="77777777" w:rsidR="00E175EA" w:rsidRPr="00E175EA" w:rsidRDefault="00E175EA" w:rsidP="00E175EA">
      <w:pPr>
        <w:spacing w:after="160" w:line="259" w:lineRule="auto"/>
        <w:ind w:left="360"/>
        <w:contextualSpacing/>
        <w:rPr>
          <w:rFonts w:cs="Arial"/>
          <w:kern w:val="2"/>
          <w14:ligatures w14:val="standardContextual"/>
        </w:rPr>
      </w:pPr>
    </w:p>
    <w:p w14:paraId="025091C6"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 xml:space="preserve">One of the HMRC Charter promises is: ‘Recognising that someone can represent you’, and HMRC’s vision is that agents should have access from the outset of new systems. </w:t>
      </w:r>
      <w:bookmarkStart w:id="1" w:name="_Hlk135292407"/>
      <w:r w:rsidRPr="00E175EA">
        <w:rPr>
          <w:rFonts w:cs="Arial"/>
          <w:i/>
          <w:kern w:val="2"/>
          <w14:ligatures w14:val="standardContextual"/>
        </w:rPr>
        <w:t>This will ensure that taxpayers who have instructed an agent to deal with their affairs (a significant majority in some areas) do not miss out on the benefits of digitalisation, or</w:t>
      </w:r>
      <w:bookmarkEnd w:id="1"/>
      <w:r w:rsidRPr="00E175EA">
        <w:rPr>
          <w:rFonts w:cs="Arial"/>
          <w:i/>
          <w:kern w:val="2"/>
          <w14:ligatures w14:val="standardContextual"/>
        </w:rPr>
        <w:t xml:space="preserve"> </w:t>
      </w:r>
      <w:r w:rsidRPr="00E175EA">
        <w:rPr>
          <w:rFonts w:cs="Arial"/>
          <w:i/>
          <w:iCs/>
          <w:kern w:val="2"/>
          <w14:ligatures w14:val="standardContextual"/>
        </w:rPr>
        <w:t xml:space="preserve">are </w:t>
      </w:r>
      <w:r w:rsidRPr="00E175EA">
        <w:rPr>
          <w:rFonts w:cs="Arial"/>
          <w:i/>
          <w:kern w:val="2"/>
          <w14:ligatures w14:val="standardContextual"/>
        </w:rPr>
        <w:t>prevented from complying with their obligations.</w:t>
      </w:r>
    </w:p>
    <w:p w14:paraId="67F50450" w14:textId="77777777" w:rsidR="00E175EA" w:rsidRPr="00E175EA" w:rsidRDefault="00E175EA" w:rsidP="00E175EA">
      <w:pPr>
        <w:spacing w:after="160" w:line="259" w:lineRule="auto"/>
        <w:ind w:left="360"/>
        <w:contextualSpacing/>
        <w:rPr>
          <w:rFonts w:cs="Arial"/>
          <w:kern w:val="2"/>
          <w14:ligatures w14:val="standardContextual"/>
        </w:rPr>
      </w:pPr>
    </w:p>
    <w:p w14:paraId="3DB3516C"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Agent functionality to mirror that for taxpayers themselves.</w:t>
      </w:r>
    </w:p>
    <w:p w14:paraId="23477D58" w14:textId="77777777" w:rsidR="00E175EA" w:rsidRPr="00E175EA" w:rsidRDefault="00E175EA" w:rsidP="00E175EA">
      <w:pPr>
        <w:spacing w:after="160" w:line="259" w:lineRule="auto"/>
        <w:ind w:left="360"/>
        <w:contextualSpacing/>
        <w:rPr>
          <w:rFonts w:cs="Arial"/>
          <w:kern w:val="2"/>
          <w14:ligatures w14:val="standardContextual"/>
        </w:rPr>
      </w:pPr>
    </w:p>
    <w:p w14:paraId="08A05C09"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In addition to the Charter promise of ‘Recognising that someone can represent you’, HMRC’s vision is for agents to be able to see and do what their clients can. Adherence to these undertakings will ensure that taxpayers who have instructed an agent to deal with their affairs (again, a significant majority in some areas) can do so effectively, thus promoting compliance and reducing costs.</w:t>
      </w:r>
    </w:p>
    <w:p w14:paraId="0AF76831" w14:textId="77777777" w:rsidR="00E175EA" w:rsidRPr="00E175EA" w:rsidRDefault="00E175EA" w:rsidP="00E175EA">
      <w:pPr>
        <w:spacing w:after="160" w:line="259" w:lineRule="auto"/>
        <w:ind w:left="360"/>
        <w:contextualSpacing/>
        <w:rPr>
          <w:rFonts w:cs="Arial"/>
          <w:kern w:val="2"/>
          <w14:ligatures w14:val="standardContextual"/>
        </w:rPr>
      </w:pPr>
    </w:p>
    <w:p w14:paraId="5064C5A4"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HMRC staff are adequately trained and available to provide on-the-spot assistance.</w:t>
      </w:r>
    </w:p>
    <w:p w14:paraId="44FEF401" w14:textId="77777777" w:rsidR="00E175EA" w:rsidRPr="00E175EA" w:rsidRDefault="00E175EA" w:rsidP="00E175EA">
      <w:pPr>
        <w:spacing w:after="160" w:line="259" w:lineRule="auto"/>
        <w:ind w:left="360"/>
        <w:contextualSpacing/>
        <w:rPr>
          <w:rFonts w:cs="Arial"/>
          <w:kern w:val="2"/>
          <w14:ligatures w14:val="standardContextual"/>
        </w:rPr>
      </w:pPr>
    </w:p>
    <w:p w14:paraId="03E39286" w14:textId="77777777" w:rsidR="00E175EA" w:rsidRPr="00E175EA" w:rsidRDefault="00E175EA" w:rsidP="00E175EA">
      <w:pPr>
        <w:spacing w:after="160" w:line="259" w:lineRule="auto"/>
        <w:ind w:left="360"/>
        <w:contextualSpacing/>
        <w:rPr>
          <w:rFonts w:cs="Arial"/>
          <w:i/>
          <w:kern w:val="2"/>
          <w14:ligatures w14:val="standardContextual"/>
        </w:rPr>
      </w:pPr>
      <w:r w:rsidRPr="00E175EA">
        <w:rPr>
          <w:rFonts w:cs="Arial"/>
          <w:i/>
          <w:kern w:val="2"/>
          <w14:ligatures w14:val="standardContextual"/>
        </w:rPr>
        <w:t>Even if all the above criteria are met, taxpayers and agents will need support from HMRC, whether to use the particular service (in which case a dedicated helpline should be considered), resolve glitches in the system, or those who simply need help to ‘go digital’. HMRC must provide easily accessible and prompt support and recognise that non-digital channels (such as telephone helplines through to real, knowledgeable staff) will still have a role to play even as more and more services are moved onto digital channels, thus enabling compliance and reducing costs.</w:t>
      </w:r>
    </w:p>
    <w:p w14:paraId="4C78CF15" w14:textId="77777777" w:rsidR="00E175EA" w:rsidRPr="00E175EA" w:rsidRDefault="00E175EA" w:rsidP="00E175EA">
      <w:pPr>
        <w:spacing w:after="160" w:line="259" w:lineRule="auto"/>
        <w:ind w:left="360"/>
        <w:contextualSpacing/>
        <w:rPr>
          <w:rFonts w:cs="Arial"/>
          <w:kern w:val="2"/>
          <w14:ligatures w14:val="standardContextual"/>
        </w:rPr>
      </w:pPr>
    </w:p>
    <w:p w14:paraId="51AD3F81"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HMRC, taxpayers and agents should see the same information.</w:t>
      </w:r>
    </w:p>
    <w:p w14:paraId="7E6A20C2" w14:textId="77777777" w:rsidR="00E175EA" w:rsidRPr="00E175EA" w:rsidRDefault="00E175EA" w:rsidP="00E175EA">
      <w:pPr>
        <w:spacing w:after="160" w:line="259" w:lineRule="auto"/>
        <w:ind w:left="360"/>
        <w:rPr>
          <w:rFonts w:cs="Arial"/>
          <w:i/>
          <w:iCs/>
          <w:kern w:val="2"/>
          <w14:ligatures w14:val="standardContextual"/>
        </w:rPr>
      </w:pPr>
      <w:r w:rsidRPr="00E175EA">
        <w:rPr>
          <w:rFonts w:cs="Arial"/>
          <w:i/>
          <w:iCs/>
          <w:kern w:val="2"/>
          <w14:ligatures w14:val="standardContextual"/>
        </w:rPr>
        <w:t>While in some circumstances third party software will present information differently, where HMRC’s systems are being used it should be possible for HMRC to see the same information in the same format as that seen by the taxpayer or their agent. This will enable HMRC to better support its customers and minimise the confusion which currently exists in many areas.</w:t>
      </w:r>
    </w:p>
    <w:p w14:paraId="4877BE11"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New digital systems should work for all affected taxpayers.</w:t>
      </w:r>
    </w:p>
    <w:p w14:paraId="34C37B4D" w14:textId="77777777" w:rsidR="00E175EA" w:rsidRPr="00E175EA" w:rsidRDefault="00E175EA" w:rsidP="00E175EA">
      <w:pPr>
        <w:spacing w:after="160" w:line="259" w:lineRule="auto"/>
        <w:ind w:left="360"/>
        <w:rPr>
          <w:rFonts w:cs="Arial"/>
          <w:i/>
          <w:kern w:val="2"/>
          <w14:ligatures w14:val="standardContextual"/>
        </w:rPr>
      </w:pPr>
      <w:r w:rsidRPr="00E175EA">
        <w:rPr>
          <w:rFonts w:cs="Arial"/>
          <w:i/>
          <w:kern w:val="2"/>
          <w14:ligatures w14:val="standardContextual"/>
        </w:rPr>
        <w:t>All taxpayers faced with a particular obligation should be able to use the new digital system to comply. Groups of taxpayers (eg such as those based overseas, or without a National Insurance number etc) should not be left behind, or prejudiced, because HMRC’s systems cannot accommodate their characteristics. Where there is a staged roll-out of obligations, the timescales and who is in / out of scope should be clear.</w:t>
      </w:r>
    </w:p>
    <w:p w14:paraId="4A5E0CBE"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Non-digital processes for those who cannot interact digitally or find it difficult to do so. </w:t>
      </w:r>
    </w:p>
    <w:p w14:paraId="151BB1B6" w14:textId="77777777" w:rsidR="00E175EA" w:rsidRPr="00E175EA" w:rsidRDefault="00E175EA" w:rsidP="00E175EA">
      <w:pPr>
        <w:spacing w:after="160" w:line="259" w:lineRule="auto"/>
        <w:ind w:left="360"/>
        <w:contextualSpacing/>
        <w:rPr>
          <w:rFonts w:cs="Arial"/>
          <w:kern w:val="2"/>
          <w14:ligatures w14:val="standardContextual"/>
        </w:rPr>
      </w:pPr>
    </w:p>
    <w:p w14:paraId="627D610A" w14:textId="77777777" w:rsidR="00E175EA" w:rsidRPr="00E175EA" w:rsidRDefault="00E175EA" w:rsidP="00E175EA">
      <w:pPr>
        <w:spacing w:after="160" w:line="259" w:lineRule="auto"/>
        <w:ind w:left="360"/>
        <w:contextualSpacing/>
        <w:rPr>
          <w:rFonts w:cs="Arial"/>
          <w:kern w:val="2"/>
          <w14:ligatures w14:val="standardContextual"/>
        </w:rPr>
      </w:pPr>
      <w:r w:rsidRPr="00E175EA">
        <w:rPr>
          <w:rFonts w:cs="Arial"/>
          <w:i/>
          <w:iCs/>
          <w:kern w:val="2"/>
          <w14:ligatures w14:val="standardContextual"/>
        </w:rPr>
        <w:t>All digital processes should have a credible, non-digital equivalent, to ensure those who cannot go online (because of their inability to do so, or because HMRC’s systems do not accommodate them), or have difficult</w:t>
      </w:r>
      <w:r w:rsidRPr="00E175EA">
        <w:rPr>
          <w:rFonts w:cs="Arial"/>
          <w:i/>
          <w:iCs/>
          <w:kern w:val="2"/>
          <w:u w:val="single"/>
          <w14:ligatures w14:val="standardContextual"/>
        </w:rPr>
        <w:t>y</w:t>
      </w:r>
      <w:r w:rsidRPr="00E175EA">
        <w:rPr>
          <w:rFonts w:cs="Arial"/>
          <w:i/>
          <w:iCs/>
          <w:kern w:val="2"/>
          <w14:ligatures w14:val="standardContextual"/>
        </w:rPr>
        <w:t xml:space="preserve"> doing so, are not disadvantaged when interacting with HMRC. This will fulfil HMRC’s Charter promises of ‘being aware of your personal situation’ and ‘treating you fairly’, so those users do not receive a ‘second class’ service. </w:t>
      </w:r>
      <w:r w:rsidRPr="00E175EA">
        <w:rPr>
          <w:rFonts w:cs="Arial"/>
          <w:kern w:val="2"/>
          <w14:ligatures w14:val="standardContextual"/>
        </w:rPr>
        <w:t> </w:t>
      </w:r>
    </w:p>
    <w:p w14:paraId="7F00B93C" w14:textId="77777777" w:rsidR="00E175EA" w:rsidRPr="00E175EA" w:rsidRDefault="00E175EA" w:rsidP="00E175EA">
      <w:pPr>
        <w:spacing w:after="160" w:line="259" w:lineRule="auto"/>
        <w:ind w:left="360"/>
        <w:contextualSpacing/>
        <w:rPr>
          <w:rFonts w:cs="Arial"/>
          <w:kern w:val="2"/>
          <w14:ligatures w14:val="standardContextual"/>
        </w:rPr>
      </w:pPr>
    </w:p>
    <w:p w14:paraId="59CF359F" w14:textId="77777777" w:rsidR="00E175EA" w:rsidRPr="00E175EA" w:rsidRDefault="00E175EA" w:rsidP="00E175EA">
      <w:pPr>
        <w:numPr>
          <w:ilvl w:val="0"/>
          <w:numId w:val="8"/>
        </w:numPr>
        <w:spacing w:after="160" w:line="259" w:lineRule="auto"/>
        <w:ind w:left="360"/>
        <w:contextualSpacing/>
        <w:rPr>
          <w:rFonts w:cs="Arial"/>
          <w:kern w:val="2"/>
          <w14:ligatures w14:val="standardContextual"/>
        </w:rPr>
      </w:pPr>
      <w:r w:rsidRPr="00E175EA">
        <w:rPr>
          <w:rFonts w:cs="Arial"/>
          <w:kern w:val="2"/>
          <w14:ligatures w14:val="standardContextual"/>
        </w:rPr>
        <w:t>Accessible versions or characteristics of digital systems for those with particular needs. </w:t>
      </w:r>
    </w:p>
    <w:p w14:paraId="7D48F44B" w14:textId="77777777" w:rsidR="00E175EA" w:rsidRPr="00E175EA" w:rsidRDefault="00E175EA" w:rsidP="00E175EA">
      <w:pPr>
        <w:spacing w:after="160" w:line="259" w:lineRule="auto"/>
        <w:ind w:left="360"/>
        <w:contextualSpacing/>
        <w:rPr>
          <w:rFonts w:cs="Arial"/>
          <w:kern w:val="2"/>
          <w14:ligatures w14:val="standardContextual"/>
        </w:rPr>
      </w:pPr>
    </w:p>
    <w:p w14:paraId="72D0D1C9" w14:textId="77777777" w:rsidR="00E175EA" w:rsidRDefault="00E175EA" w:rsidP="00E175EA">
      <w:pPr>
        <w:spacing w:after="160" w:line="259" w:lineRule="auto"/>
        <w:ind w:left="360"/>
        <w:contextualSpacing/>
        <w:rPr>
          <w:rFonts w:cs="Arial"/>
          <w:kern w:val="2"/>
          <w14:ligatures w14:val="standardContextual"/>
        </w:rPr>
      </w:pPr>
      <w:r w:rsidRPr="00E175EA">
        <w:rPr>
          <w:rFonts w:cs="Arial"/>
          <w:i/>
          <w:iCs/>
          <w:kern w:val="2"/>
          <w14:ligatures w14:val="standardContextual"/>
        </w:rPr>
        <w:t>Digital systems should be accessible for those who can go online, but who have particular needs eg those who use screen readers. Again</w:t>
      </w:r>
      <w:r w:rsidRPr="00E175EA">
        <w:rPr>
          <w:rFonts w:cs="Arial"/>
          <w:i/>
          <w:iCs/>
          <w:kern w:val="2"/>
          <w:u w:val="single"/>
          <w14:ligatures w14:val="standardContextual"/>
        </w:rPr>
        <w:t>,</w:t>
      </w:r>
      <w:r w:rsidRPr="00E175EA">
        <w:rPr>
          <w:rFonts w:cs="Arial"/>
          <w:i/>
          <w:iCs/>
          <w:kern w:val="2"/>
          <w14:ligatures w14:val="standardContextual"/>
        </w:rPr>
        <w:t xml:space="preserve"> this will fulfil HMRC’s Charter promises of ‘being aware of your personal situation’ and ‘treating you fairly’, as well as complying with the Equality Act and meeting Web Content Accessibility Guidelines.</w:t>
      </w:r>
      <w:r w:rsidRPr="00E175EA">
        <w:rPr>
          <w:rFonts w:cs="Arial"/>
          <w:kern w:val="2"/>
          <w14:ligatures w14:val="standardContextual"/>
        </w:rPr>
        <w:t> </w:t>
      </w:r>
      <w:r>
        <w:rPr>
          <w:rFonts w:cs="Arial"/>
          <w:kern w:val="2"/>
          <w14:ligatures w14:val="standardContextual"/>
        </w:rPr>
        <w:br w:type="page"/>
      </w:r>
    </w:p>
    <w:p w14:paraId="500D05A1" w14:textId="77777777" w:rsidR="00E175EA" w:rsidRPr="00E175EA" w:rsidRDefault="00E175EA" w:rsidP="00E175EA">
      <w:pPr>
        <w:spacing w:after="160" w:line="259" w:lineRule="auto"/>
        <w:ind w:left="360"/>
        <w:contextualSpacing/>
        <w:rPr>
          <w:rFonts w:cs="Arial"/>
          <w:kern w:val="2"/>
          <w14:ligatures w14:val="standardContextual"/>
        </w:rPr>
      </w:pPr>
    </w:p>
    <w:p w14:paraId="1E9DC3D6" w14:textId="77777777" w:rsidR="00E175EA" w:rsidRPr="00E175EA" w:rsidRDefault="00E175EA" w:rsidP="00E175EA">
      <w:pPr>
        <w:jc w:val="right"/>
        <w:rPr>
          <w:rFonts w:asciiTheme="minorHAnsi" w:hAnsiTheme="minorHAnsi" w:cstheme="minorHAnsi"/>
          <w:b/>
          <w:bCs/>
        </w:rPr>
      </w:pPr>
      <w:r w:rsidRPr="00E175EA">
        <w:rPr>
          <w:rFonts w:asciiTheme="minorHAnsi" w:hAnsiTheme="minorHAnsi" w:cstheme="minorHAnsi"/>
          <w:b/>
          <w:bCs/>
        </w:rPr>
        <w:t xml:space="preserve">Appendix </w:t>
      </w:r>
      <w:r>
        <w:rPr>
          <w:rFonts w:asciiTheme="minorHAnsi" w:hAnsiTheme="minorHAnsi" w:cstheme="minorHAnsi"/>
          <w:b/>
          <w:bCs/>
        </w:rPr>
        <w:t>two</w:t>
      </w:r>
    </w:p>
    <w:p w14:paraId="256EB41F" w14:textId="77777777" w:rsidR="00E175EA" w:rsidRPr="000076A7" w:rsidRDefault="00E175EA" w:rsidP="00E175EA">
      <w:pPr>
        <w:jc w:val="center"/>
        <w:rPr>
          <w:b/>
          <w:u w:val="single"/>
          <w:lang w:val="en-US"/>
        </w:rPr>
      </w:pPr>
      <w:r w:rsidRPr="1686FE95">
        <w:rPr>
          <w:b/>
          <w:u w:val="single"/>
        </w:rPr>
        <w:t xml:space="preserve">Minimum requirements for HMRC digital forms </w:t>
      </w:r>
    </w:p>
    <w:p w14:paraId="2300D8C3" w14:textId="77777777" w:rsidR="00E175EA" w:rsidRDefault="00E175EA" w:rsidP="00E175EA">
      <w:pPr>
        <w:ind w:left="360"/>
      </w:pPr>
      <w:r>
        <w:t>We set out below what we believe are the minimum standards which should be applied by HMRC when developing new digital forms to be used by taxpayers and agents. In this regard we mean forms that have to be completed and submitted online, rather than forms which are available online, but are printed off and submitted by post.</w:t>
      </w:r>
    </w:p>
    <w:p w14:paraId="72887FF6" w14:textId="77777777" w:rsidR="00E175EA" w:rsidRPr="00366C51" w:rsidRDefault="00E175EA" w:rsidP="00E175EA">
      <w:pPr>
        <w:ind w:left="360"/>
        <w:rPr>
          <w:u w:val="single"/>
          <w:lang w:val="en-US"/>
        </w:rPr>
      </w:pPr>
      <w:r w:rsidRPr="1686FE95">
        <w:rPr>
          <w:u w:val="single"/>
        </w:rPr>
        <w:t>Development of the form</w:t>
      </w:r>
    </w:p>
    <w:p w14:paraId="79A1F960" w14:textId="77777777" w:rsidR="00E175EA" w:rsidRDefault="00E175EA" w:rsidP="00E175EA">
      <w:pPr>
        <w:pStyle w:val="ListParagraph"/>
        <w:numPr>
          <w:ilvl w:val="0"/>
          <w:numId w:val="9"/>
        </w:numPr>
        <w:spacing w:after="160" w:line="259" w:lineRule="auto"/>
        <w:rPr>
          <w:lang w:val="en-US"/>
        </w:rPr>
      </w:pPr>
      <w:r>
        <w:t>Consultation and testing with a range of potential users of the form.</w:t>
      </w:r>
    </w:p>
    <w:p w14:paraId="55E8BF33" w14:textId="77777777" w:rsidR="00E175EA" w:rsidRDefault="00E175EA" w:rsidP="00E175EA">
      <w:pPr>
        <w:pStyle w:val="ListParagraph"/>
        <w:rPr>
          <w:lang w:val="en-US"/>
        </w:rPr>
      </w:pPr>
    </w:p>
    <w:p w14:paraId="5CFBF3F2" w14:textId="77777777" w:rsidR="00E175EA" w:rsidRPr="002575D9" w:rsidRDefault="00E175EA" w:rsidP="00E175EA">
      <w:pPr>
        <w:pStyle w:val="ListParagraph"/>
        <w:rPr>
          <w:i/>
          <w:iCs/>
          <w:lang w:val="en-US"/>
        </w:rPr>
      </w:pPr>
      <w:r w:rsidRPr="1686FE95">
        <w:rPr>
          <w:i/>
        </w:rPr>
        <w:t xml:space="preserve">New digital forms, and changes to existing ones, should be the subject of consultation and testing prior to their launch, to ensure they work as envisaged, meet the requirements set out below, and fulfil the policy objective. </w:t>
      </w:r>
      <w:r>
        <w:rPr>
          <w:i/>
        </w:rPr>
        <w:t>This should be carried out with represented and unrepresented taxpayers, and agents of different sizes.</w:t>
      </w:r>
      <w:r w:rsidRPr="00AD0E94">
        <w:t xml:space="preserve"> </w:t>
      </w:r>
      <w:r>
        <w:t>A</w:t>
      </w:r>
      <w:r w:rsidRPr="00AD0E94">
        <w:rPr>
          <w:i/>
        </w:rPr>
        <w:t xml:space="preserve"> post-implementation review </w:t>
      </w:r>
      <w:r>
        <w:rPr>
          <w:i/>
        </w:rPr>
        <w:t xml:space="preserve">should be undertaken </w:t>
      </w:r>
      <w:r w:rsidRPr="00AD0E94">
        <w:rPr>
          <w:i/>
        </w:rPr>
        <w:t>to assess whether it has met its policy objectives and identify any deficiencies or improvements that can be made</w:t>
      </w:r>
      <w:r>
        <w:rPr>
          <w:i/>
        </w:rPr>
        <w:t>.</w:t>
      </w:r>
    </w:p>
    <w:p w14:paraId="48CA84BF" w14:textId="77777777" w:rsidR="00E175EA" w:rsidRDefault="00E175EA" w:rsidP="00E175EA">
      <w:pPr>
        <w:pStyle w:val="ListParagraph"/>
        <w:rPr>
          <w:i/>
        </w:rPr>
      </w:pPr>
    </w:p>
    <w:p w14:paraId="1C537A91" w14:textId="77777777" w:rsidR="00E175EA" w:rsidRDefault="00E175EA" w:rsidP="00E175EA">
      <w:pPr>
        <w:pStyle w:val="ListParagraph"/>
        <w:numPr>
          <w:ilvl w:val="0"/>
          <w:numId w:val="9"/>
        </w:numPr>
        <w:spacing w:after="160" w:line="259" w:lineRule="auto"/>
        <w:rPr>
          <w:lang w:val="en-US"/>
        </w:rPr>
      </w:pPr>
      <w:r>
        <w:rPr>
          <w:lang w:val="en-US"/>
        </w:rPr>
        <w:t>Government Gateway status</w:t>
      </w:r>
    </w:p>
    <w:p w14:paraId="4991C4B9" w14:textId="77777777" w:rsidR="00E175EA" w:rsidRDefault="00E175EA" w:rsidP="00E175EA">
      <w:pPr>
        <w:pStyle w:val="ListParagraph"/>
        <w:rPr>
          <w:lang w:val="en-US"/>
        </w:rPr>
      </w:pPr>
    </w:p>
    <w:p w14:paraId="7834C1F3" w14:textId="77777777" w:rsidR="00E175EA" w:rsidRDefault="00E175EA" w:rsidP="00E175EA">
      <w:pPr>
        <w:pStyle w:val="ListParagraph"/>
        <w:rPr>
          <w:lang w:val="en-US"/>
        </w:rPr>
      </w:pPr>
      <w:r>
        <w:rPr>
          <w:i/>
        </w:rPr>
        <w:t>There should be a clear policy, based on sensible rationale, as to whether a form is in front of or behind the Government Gateway. That policy should be applied consistently.</w:t>
      </w:r>
    </w:p>
    <w:p w14:paraId="1B0171D4" w14:textId="77777777" w:rsidR="00E175EA" w:rsidRPr="00407922" w:rsidRDefault="00E175EA" w:rsidP="00E175EA">
      <w:pPr>
        <w:pStyle w:val="ListParagraph"/>
        <w:rPr>
          <w:lang w:val="en-US"/>
        </w:rPr>
      </w:pPr>
    </w:p>
    <w:p w14:paraId="217890E2" w14:textId="77777777" w:rsidR="00E175EA" w:rsidRDefault="00E175EA" w:rsidP="00E175EA">
      <w:pPr>
        <w:pStyle w:val="ListParagraph"/>
        <w:numPr>
          <w:ilvl w:val="0"/>
          <w:numId w:val="9"/>
        </w:numPr>
        <w:spacing w:after="160" w:line="259" w:lineRule="auto"/>
        <w:rPr>
          <w:lang w:val="en-US"/>
        </w:rPr>
      </w:pPr>
      <w:r>
        <w:t>Allow time for familiarisation.</w:t>
      </w:r>
    </w:p>
    <w:p w14:paraId="295AF0CA" w14:textId="77777777" w:rsidR="00E175EA" w:rsidRPr="00B15437" w:rsidRDefault="00E175EA" w:rsidP="00E175EA">
      <w:pPr>
        <w:pStyle w:val="ListParagraph"/>
        <w:rPr>
          <w:lang w:val="en-US"/>
        </w:rPr>
      </w:pPr>
    </w:p>
    <w:p w14:paraId="20D44230" w14:textId="77777777" w:rsidR="00E175EA" w:rsidRPr="00D97F40" w:rsidRDefault="00E175EA" w:rsidP="00E175EA">
      <w:pPr>
        <w:pStyle w:val="ListParagraph"/>
        <w:rPr>
          <w:i/>
          <w:iCs/>
          <w:lang w:val="en-US"/>
        </w:rPr>
      </w:pPr>
      <w:r w:rsidRPr="1686FE95">
        <w:rPr>
          <w:i/>
        </w:rPr>
        <w:t>Sufficient time should be given to allow taxpayers and their agents to adapt to any new processes, particularly for forms which require regular completion, or for users who complete similar forms regularly.</w:t>
      </w:r>
    </w:p>
    <w:p w14:paraId="09FBE5E3" w14:textId="77777777" w:rsidR="00E175EA" w:rsidRPr="00366C51" w:rsidRDefault="00E175EA" w:rsidP="00E175EA">
      <w:pPr>
        <w:ind w:left="360"/>
        <w:rPr>
          <w:u w:val="single"/>
          <w:lang w:val="en-US"/>
        </w:rPr>
      </w:pPr>
      <w:r w:rsidRPr="1686FE95">
        <w:rPr>
          <w:u w:val="single"/>
        </w:rPr>
        <w:t>Completion of the form</w:t>
      </w:r>
    </w:p>
    <w:p w14:paraId="1FAEDCA8" w14:textId="77777777" w:rsidR="00E175EA" w:rsidRDefault="00E175EA" w:rsidP="00E175EA">
      <w:pPr>
        <w:pStyle w:val="ListParagraph"/>
        <w:numPr>
          <w:ilvl w:val="0"/>
          <w:numId w:val="9"/>
        </w:numPr>
        <w:spacing w:after="160" w:line="259" w:lineRule="auto"/>
        <w:rPr>
          <w:lang w:val="en-US"/>
        </w:rPr>
      </w:pPr>
      <w:r>
        <w:t>A list of information required to complete the form.</w:t>
      </w:r>
    </w:p>
    <w:p w14:paraId="1253CC6F" w14:textId="77777777" w:rsidR="00E175EA" w:rsidRDefault="00E175EA" w:rsidP="00E175EA">
      <w:pPr>
        <w:pStyle w:val="ListParagraph"/>
        <w:rPr>
          <w:lang w:val="en-US"/>
        </w:rPr>
      </w:pPr>
    </w:p>
    <w:p w14:paraId="33D68907" w14:textId="77777777" w:rsidR="00E175EA" w:rsidRDefault="00E175EA" w:rsidP="00E175EA">
      <w:pPr>
        <w:pStyle w:val="ListParagraph"/>
        <w:rPr>
          <w:i/>
          <w:iCs/>
          <w:lang w:val="en-US"/>
        </w:rPr>
      </w:pPr>
      <w:r>
        <w:rPr>
          <w:i/>
        </w:rPr>
        <w:t xml:space="preserve">This will enable the user to easily identify all </w:t>
      </w:r>
      <w:r w:rsidRPr="1686FE95">
        <w:rPr>
          <w:i/>
        </w:rPr>
        <w:t>the information needed to complete the form</w:t>
      </w:r>
      <w:r>
        <w:rPr>
          <w:i/>
        </w:rPr>
        <w:t xml:space="preserve">, </w:t>
      </w:r>
      <w:r w:rsidRPr="1686FE95">
        <w:rPr>
          <w:i/>
        </w:rPr>
        <w:t xml:space="preserve">assemble </w:t>
      </w:r>
      <w:r>
        <w:rPr>
          <w:i/>
        </w:rPr>
        <w:t xml:space="preserve">it </w:t>
      </w:r>
      <w:r w:rsidRPr="1686FE95">
        <w:rPr>
          <w:i/>
        </w:rPr>
        <w:t>in advance</w:t>
      </w:r>
      <w:r>
        <w:rPr>
          <w:i/>
        </w:rPr>
        <w:t>, and prepare to complete it themselves or take</w:t>
      </w:r>
      <w:r w:rsidRPr="1686FE95">
        <w:rPr>
          <w:i/>
        </w:rPr>
        <w:t xml:space="preserve"> advice</w:t>
      </w:r>
      <w:r>
        <w:rPr>
          <w:i/>
        </w:rPr>
        <w:t xml:space="preserve">. </w:t>
      </w:r>
      <w:r w:rsidRPr="00D61BE9">
        <w:rPr>
          <w:i/>
        </w:rPr>
        <w:t>This is particularly important if it’s not possible to progress through the form without fully completing the previous page.</w:t>
      </w:r>
      <w:r>
        <w:rPr>
          <w:i/>
        </w:rPr>
        <w:t xml:space="preserve"> This will ensure that the form </w:t>
      </w:r>
      <w:r w:rsidRPr="1686FE95">
        <w:rPr>
          <w:i/>
        </w:rPr>
        <w:t>can be completed in an efficient manner, in one go.</w:t>
      </w:r>
      <w:r>
        <w:rPr>
          <w:i/>
        </w:rPr>
        <w:t xml:space="preserve"> </w:t>
      </w:r>
    </w:p>
    <w:p w14:paraId="4853AF0E" w14:textId="77777777" w:rsidR="00E175EA" w:rsidRPr="006D2B13" w:rsidRDefault="00E175EA" w:rsidP="00E175EA">
      <w:pPr>
        <w:pStyle w:val="ListParagraph"/>
        <w:rPr>
          <w:i/>
          <w:iCs/>
          <w:lang w:val="en-US"/>
        </w:rPr>
      </w:pPr>
    </w:p>
    <w:p w14:paraId="4D6F79F0" w14:textId="77777777" w:rsidR="00E175EA" w:rsidRPr="00490AFE" w:rsidRDefault="00E175EA" w:rsidP="00E175EA">
      <w:pPr>
        <w:pStyle w:val="ListParagraph"/>
        <w:numPr>
          <w:ilvl w:val="0"/>
          <w:numId w:val="9"/>
        </w:numPr>
        <w:spacing w:after="160" w:line="259" w:lineRule="auto"/>
        <w:rPr>
          <w:iCs/>
          <w:lang w:val="en-US"/>
        </w:rPr>
      </w:pPr>
      <w:r>
        <w:t>Clear instructions for completing the form.</w:t>
      </w:r>
    </w:p>
    <w:p w14:paraId="48A5BB76" w14:textId="77777777" w:rsidR="00E175EA" w:rsidRDefault="00E175EA" w:rsidP="00E175EA">
      <w:pPr>
        <w:ind w:left="737"/>
        <w:rPr>
          <w:i/>
        </w:rPr>
      </w:pPr>
      <w:r w:rsidRPr="1686FE95">
        <w:rPr>
          <w:i/>
        </w:rPr>
        <w:t>There should be clear instructions on how to complete all the boxes on the form, particularly if it is necessary to complete fields with special characters, or enter ‘nil’ or ‘0’ rather than leave blank, and how to digitally ‘sign’ the form. Links to relevant guidance should be provided throughout the form.</w:t>
      </w:r>
    </w:p>
    <w:p w14:paraId="19157E74" w14:textId="77777777" w:rsidR="00E175EA" w:rsidRDefault="00E175EA" w:rsidP="00E175EA">
      <w:pPr>
        <w:ind w:left="737"/>
        <w:rPr>
          <w:i/>
        </w:rPr>
      </w:pPr>
    </w:p>
    <w:p w14:paraId="68A0E0C9" w14:textId="77777777" w:rsidR="00E175EA" w:rsidRDefault="00E175EA" w:rsidP="00E175EA">
      <w:pPr>
        <w:ind w:left="737"/>
        <w:rPr>
          <w:i/>
        </w:rPr>
      </w:pPr>
    </w:p>
    <w:p w14:paraId="7EDC6525" w14:textId="77777777" w:rsidR="00E175EA" w:rsidRDefault="00E175EA" w:rsidP="00E175EA">
      <w:pPr>
        <w:ind w:left="737"/>
        <w:rPr>
          <w:i/>
          <w:lang w:val="en-US"/>
        </w:rPr>
      </w:pPr>
    </w:p>
    <w:p w14:paraId="68212C62" w14:textId="77777777" w:rsidR="00E175EA" w:rsidRDefault="00E175EA" w:rsidP="00E175EA">
      <w:pPr>
        <w:pStyle w:val="ListParagraph"/>
        <w:numPr>
          <w:ilvl w:val="0"/>
          <w:numId w:val="9"/>
        </w:numPr>
        <w:spacing w:after="160" w:line="259" w:lineRule="auto"/>
        <w:rPr>
          <w:lang w:val="en-US"/>
        </w:rPr>
      </w:pPr>
      <w:r>
        <w:t xml:space="preserve">The ability to save and return to a </w:t>
      </w:r>
      <w:r w:rsidRPr="00F5408E">
        <w:t>part-completed</w:t>
      </w:r>
      <w:r>
        <w:t xml:space="preserve"> form.</w:t>
      </w:r>
    </w:p>
    <w:p w14:paraId="5BB093D3" w14:textId="77777777" w:rsidR="00E175EA" w:rsidRDefault="00E175EA" w:rsidP="00E175EA">
      <w:pPr>
        <w:pStyle w:val="ListParagraph"/>
        <w:rPr>
          <w:lang w:val="en-US"/>
        </w:rPr>
      </w:pPr>
    </w:p>
    <w:p w14:paraId="2023F8E5" w14:textId="77777777" w:rsidR="00E175EA" w:rsidRDefault="00E175EA" w:rsidP="00E175EA">
      <w:pPr>
        <w:pStyle w:val="ListParagraph"/>
        <w:rPr>
          <w:i/>
          <w:iCs/>
          <w:lang w:val="en-US"/>
        </w:rPr>
      </w:pPr>
      <w:r>
        <w:rPr>
          <w:i/>
        </w:rPr>
        <w:lastRenderedPageBreak/>
        <w:t>This is necessary i</w:t>
      </w:r>
      <w:r w:rsidRPr="1686FE95">
        <w:rPr>
          <w:i/>
        </w:rPr>
        <w:t>n case information requirements or other work prevents completion of the form in one go, or the form ‘times out’ after a period of inactivity, or the form needs to be checked by another party during the process of completion.</w:t>
      </w:r>
    </w:p>
    <w:p w14:paraId="1F102A9B" w14:textId="77777777" w:rsidR="00E175EA" w:rsidRPr="004037F3" w:rsidRDefault="00E175EA" w:rsidP="00E175EA">
      <w:pPr>
        <w:pStyle w:val="ListParagraph"/>
        <w:rPr>
          <w:i/>
          <w:iCs/>
          <w:lang w:val="en-US"/>
        </w:rPr>
      </w:pPr>
    </w:p>
    <w:p w14:paraId="4A3F45BD" w14:textId="77777777" w:rsidR="00E175EA" w:rsidRDefault="00E175EA" w:rsidP="00E175EA">
      <w:pPr>
        <w:pStyle w:val="ListParagraph"/>
        <w:numPr>
          <w:ilvl w:val="0"/>
          <w:numId w:val="9"/>
        </w:numPr>
        <w:spacing w:after="160" w:line="259" w:lineRule="auto"/>
        <w:rPr>
          <w:lang w:val="en-US"/>
        </w:rPr>
      </w:pPr>
      <w:r>
        <w:t>The ability to amend an entry.</w:t>
      </w:r>
    </w:p>
    <w:p w14:paraId="78633DCC" w14:textId="77777777" w:rsidR="00E175EA" w:rsidRPr="004E4BDD" w:rsidRDefault="00E175EA" w:rsidP="00E175EA">
      <w:pPr>
        <w:ind w:left="720"/>
        <w:rPr>
          <w:i/>
          <w:iCs/>
          <w:lang w:val="en-US"/>
        </w:rPr>
      </w:pPr>
      <w:r w:rsidRPr="1686FE95">
        <w:rPr>
          <w:i/>
        </w:rPr>
        <w:t>An easy process for amending an entry that is, prior to submitting, found to be inaccurate</w:t>
      </w:r>
      <w:r>
        <w:rPr>
          <w:i/>
        </w:rPr>
        <w:t xml:space="preserve">, will </w:t>
      </w:r>
      <w:r w:rsidRPr="1686FE95">
        <w:rPr>
          <w:i/>
        </w:rPr>
        <w:t>reduc</w:t>
      </w:r>
      <w:r>
        <w:rPr>
          <w:i/>
        </w:rPr>
        <w:t>e</w:t>
      </w:r>
      <w:r w:rsidRPr="1686FE95">
        <w:rPr>
          <w:i/>
        </w:rPr>
        <w:t xml:space="preserve"> the scope for error and improv</w:t>
      </w:r>
      <w:r>
        <w:rPr>
          <w:i/>
        </w:rPr>
        <w:t>e</w:t>
      </w:r>
      <w:r w:rsidRPr="1686FE95">
        <w:rPr>
          <w:i/>
        </w:rPr>
        <w:t xml:space="preserve"> the taxpayer experience.</w:t>
      </w:r>
    </w:p>
    <w:p w14:paraId="1246A8A8" w14:textId="77777777" w:rsidR="00E175EA" w:rsidRDefault="00E175EA" w:rsidP="00E175EA">
      <w:pPr>
        <w:pStyle w:val="ListParagraph"/>
        <w:numPr>
          <w:ilvl w:val="0"/>
          <w:numId w:val="9"/>
        </w:numPr>
        <w:spacing w:after="160" w:line="259" w:lineRule="auto"/>
        <w:rPr>
          <w:lang w:val="en-US"/>
        </w:rPr>
      </w:pPr>
      <w:r>
        <w:t>The ability to upload attachments or provide additional explanations.</w:t>
      </w:r>
    </w:p>
    <w:p w14:paraId="3BC0FE16" w14:textId="77777777" w:rsidR="00E175EA" w:rsidRDefault="00E175EA" w:rsidP="00E175EA">
      <w:pPr>
        <w:pStyle w:val="ListParagraph"/>
        <w:rPr>
          <w:lang w:val="en-US"/>
        </w:rPr>
      </w:pPr>
    </w:p>
    <w:p w14:paraId="75E06FA6" w14:textId="77777777" w:rsidR="00E175EA" w:rsidRDefault="00E175EA" w:rsidP="00E175EA">
      <w:pPr>
        <w:pStyle w:val="ListParagraph"/>
        <w:rPr>
          <w:i/>
          <w:iCs/>
          <w:lang w:val="en-US"/>
        </w:rPr>
      </w:pPr>
      <w:r w:rsidRPr="1686FE95">
        <w:rPr>
          <w:i/>
        </w:rPr>
        <w:t>Some processes require the provision of supporting documentation</w:t>
      </w:r>
      <w:r>
        <w:rPr>
          <w:i/>
        </w:rPr>
        <w:t xml:space="preserve"> or explanations</w:t>
      </w:r>
      <w:r w:rsidRPr="1686FE95">
        <w:rPr>
          <w:i/>
        </w:rPr>
        <w:t xml:space="preserve">. It should be possible to do this as part of the process of completing the digital form, </w:t>
      </w:r>
      <w:r>
        <w:rPr>
          <w:i/>
        </w:rPr>
        <w:t xml:space="preserve">through the inclusion of attachments or ‘white space’ explanations. This will </w:t>
      </w:r>
      <w:r w:rsidRPr="1686FE95">
        <w:rPr>
          <w:i/>
        </w:rPr>
        <w:t>enable the complete package to be submitted to HMRC in one go, speeding up the process and reducing the risk of documentation going astray.</w:t>
      </w:r>
    </w:p>
    <w:p w14:paraId="3E283575" w14:textId="77777777" w:rsidR="00E175EA" w:rsidRDefault="00E175EA" w:rsidP="00E175EA">
      <w:pPr>
        <w:pStyle w:val="ListParagraph"/>
        <w:rPr>
          <w:i/>
          <w:iCs/>
          <w:lang w:val="en-US"/>
        </w:rPr>
      </w:pPr>
    </w:p>
    <w:p w14:paraId="2797909D" w14:textId="77777777" w:rsidR="00E175EA" w:rsidRDefault="00E175EA" w:rsidP="00E175EA">
      <w:pPr>
        <w:pStyle w:val="ListParagraph"/>
        <w:numPr>
          <w:ilvl w:val="0"/>
          <w:numId w:val="9"/>
        </w:numPr>
        <w:spacing w:after="160" w:line="259" w:lineRule="auto"/>
        <w:rPr>
          <w:lang w:val="en-US"/>
        </w:rPr>
      </w:pPr>
      <w:r>
        <w:t>Sufficient character spaces to meet the requirements of the form.</w:t>
      </w:r>
    </w:p>
    <w:p w14:paraId="7C9398F8" w14:textId="77777777" w:rsidR="00E175EA" w:rsidRDefault="00E175EA" w:rsidP="00E175EA">
      <w:pPr>
        <w:pStyle w:val="ListParagraph"/>
        <w:rPr>
          <w:lang w:val="en-US"/>
        </w:rPr>
      </w:pPr>
    </w:p>
    <w:p w14:paraId="45605C4D" w14:textId="77777777" w:rsidR="00E175EA" w:rsidRDefault="00E175EA" w:rsidP="00E175EA">
      <w:pPr>
        <w:pStyle w:val="ListParagraph"/>
        <w:rPr>
          <w:i/>
          <w:iCs/>
          <w:lang w:val="en-US"/>
        </w:rPr>
      </w:pPr>
      <w:r w:rsidRPr="1686FE95">
        <w:rPr>
          <w:i/>
        </w:rPr>
        <w:t>The form should provide sufficient space to provide all necessary information and explanations. Fields which require explanations – eg of behaviours or the interpretation of technical points – should be large enough to accommodate them in full.</w:t>
      </w:r>
    </w:p>
    <w:p w14:paraId="1CC1D9B4" w14:textId="77777777" w:rsidR="00E175EA" w:rsidRDefault="00E175EA" w:rsidP="00E175EA">
      <w:pPr>
        <w:pStyle w:val="ListParagraph"/>
        <w:rPr>
          <w:i/>
          <w:iCs/>
          <w:lang w:val="en-US"/>
        </w:rPr>
      </w:pPr>
    </w:p>
    <w:p w14:paraId="53C99F2A" w14:textId="77777777" w:rsidR="00E175EA" w:rsidRDefault="00E175EA" w:rsidP="00E175EA">
      <w:pPr>
        <w:pStyle w:val="ListParagraph"/>
        <w:numPr>
          <w:ilvl w:val="0"/>
          <w:numId w:val="9"/>
        </w:numPr>
        <w:spacing w:after="160" w:line="259" w:lineRule="auto"/>
        <w:rPr>
          <w:lang w:val="en-US"/>
        </w:rPr>
      </w:pPr>
      <w:r>
        <w:t>The ability for an authorised agent to complete the form on behalf of the taxpayer.</w:t>
      </w:r>
    </w:p>
    <w:p w14:paraId="78EBE0C0" w14:textId="77777777" w:rsidR="00E175EA" w:rsidRDefault="00E175EA" w:rsidP="00E175EA">
      <w:pPr>
        <w:pStyle w:val="ListParagraph"/>
        <w:rPr>
          <w:lang w:val="en-US"/>
        </w:rPr>
      </w:pPr>
    </w:p>
    <w:p w14:paraId="0C1A256E" w14:textId="77777777" w:rsidR="00E175EA" w:rsidRDefault="00E175EA" w:rsidP="00E175EA">
      <w:pPr>
        <w:pStyle w:val="ListParagraph"/>
        <w:rPr>
          <w:i/>
          <w:iCs/>
          <w:lang w:val="en-US"/>
        </w:rPr>
      </w:pPr>
      <w:r w:rsidRPr="1686FE95">
        <w:rPr>
          <w:i/>
        </w:rPr>
        <w:t>Not only is this a requirement of the HMRC Charter (‘Recognising that someone can represent you’), but it will also facilitate more accurate and timely completion of forms for represented taxpayers. This should include the ability for the form to be accessed by more than one individual within a business or an agent’s firm, to allow for access to be delegated. HMRC’s systems should be able to efficiently and securely identify agent-taxpayer relationships, without them having to be resubmitted.</w:t>
      </w:r>
    </w:p>
    <w:p w14:paraId="621AB437" w14:textId="77777777" w:rsidR="00E175EA" w:rsidRPr="00AE2929" w:rsidRDefault="00E175EA" w:rsidP="00E175EA">
      <w:pPr>
        <w:pStyle w:val="ListParagraph"/>
        <w:rPr>
          <w:i/>
          <w:iCs/>
          <w:lang w:val="en-US"/>
        </w:rPr>
      </w:pPr>
    </w:p>
    <w:p w14:paraId="35809838" w14:textId="77777777" w:rsidR="00E175EA" w:rsidRDefault="00E175EA" w:rsidP="00E175EA">
      <w:pPr>
        <w:pStyle w:val="ListParagraph"/>
        <w:numPr>
          <w:ilvl w:val="0"/>
          <w:numId w:val="9"/>
        </w:numPr>
        <w:spacing w:after="160" w:line="259" w:lineRule="auto"/>
        <w:rPr>
          <w:lang w:val="en-US"/>
        </w:rPr>
      </w:pPr>
      <w:r>
        <w:t>The ability to save a completed form.</w:t>
      </w:r>
    </w:p>
    <w:p w14:paraId="215C67F3" w14:textId="77777777" w:rsidR="00E175EA" w:rsidRDefault="00E175EA" w:rsidP="00E175EA">
      <w:pPr>
        <w:pStyle w:val="ListParagraph"/>
        <w:rPr>
          <w:lang w:val="en-US"/>
        </w:rPr>
      </w:pPr>
    </w:p>
    <w:p w14:paraId="710C9351" w14:textId="77777777" w:rsidR="00E175EA" w:rsidRDefault="00E175EA" w:rsidP="00E175EA">
      <w:pPr>
        <w:pStyle w:val="ListParagraph"/>
        <w:rPr>
          <w:i/>
          <w:iCs/>
          <w:lang w:val="en-US"/>
        </w:rPr>
      </w:pPr>
      <w:r w:rsidRPr="006E1F59">
        <w:rPr>
          <w:i/>
          <w:iCs/>
          <w:lang w:val="en-US"/>
        </w:rPr>
        <w:t>T</w:t>
      </w:r>
      <w:r>
        <w:rPr>
          <w:i/>
          <w:iCs/>
          <w:lang w:val="en-US"/>
        </w:rPr>
        <w:t xml:space="preserve">his will </w:t>
      </w:r>
      <w:r w:rsidRPr="006E1F59">
        <w:rPr>
          <w:i/>
          <w:iCs/>
          <w:lang w:val="en-US"/>
        </w:rPr>
        <w:t>enable the form to be reviewed, to ensure it is correct and complete, prior to its submission</w:t>
      </w:r>
      <w:r>
        <w:rPr>
          <w:i/>
          <w:iCs/>
          <w:lang w:val="en-US"/>
        </w:rPr>
        <w:t xml:space="preserve">, such as a client reviewing </w:t>
      </w:r>
      <w:r w:rsidRPr="16ED79EE">
        <w:rPr>
          <w:i/>
          <w:iCs/>
          <w:lang w:val="en-US"/>
        </w:rPr>
        <w:t xml:space="preserve">and </w:t>
      </w:r>
      <w:r>
        <w:rPr>
          <w:i/>
          <w:iCs/>
          <w:lang w:val="en-US"/>
        </w:rPr>
        <w:t>authorising</w:t>
      </w:r>
      <w:r w:rsidRPr="16ED79EE">
        <w:rPr>
          <w:i/>
          <w:iCs/>
          <w:lang w:val="en-US"/>
        </w:rPr>
        <w:t xml:space="preserve"> what their</w:t>
      </w:r>
      <w:r>
        <w:rPr>
          <w:i/>
          <w:iCs/>
          <w:lang w:val="en-US"/>
        </w:rPr>
        <w:t xml:space="preserve"> agent has input, or to allow for a manager etc to review the work of a more junior member of staff.</w:t>
      </w:r>
    </w:p>
    <w:p w14:paraId="0A7C738E" w14:textId="77777777" w:rsidR="00E175EA" w:rsidRDefault="00E175EA" w:rsidP="00E175EA">
      <w:pPr>
        <w:pStyle w:val="ListParagraph"/>
        <w:rPr>
          <w:lang w:val="en-US"/>
        </w:rPr>
      </w:pPr>
    </w:p>
    <w:p w14:paraId="6369BC11" w14:textId="77777777" w:rsidR="00E175EA" w:rsidRDefault="00E175EA" w:rsidP="00E175EA">
      <w:pPr>
        <w:pStyle w:val="ListParagraph"/>
        <w:numPr>
          <w:ilvl w:val="0"/>
          <w:numId w:val="9"/>
        </w:numPr>
        <w:spacing w:after="160" w:line="259" w:lineRule="auto"/>
        <w:rPr>
          <w:lang w:val="en-US"/>
        </w:rPr>
      </w:pPr>
      <w:r>
        <w:t>The ability to print a completed form.</w:t>
      </w:r>
    </w:p>
    <w:p w14:paraId="6A60BBD4" w14:textId="77777777" w:rsidR="00E175EA" w:rsidRDefault="00E175EA" w:rsidP="00E175EA">
      <w:pPr>
        <w:pStyle w:val="ListParagraph"/>
        <w:rPr>
          <w:lang w:val="en-US"/>
        </w:rPr>
      </w:pPr>
    </w:p>
    <w:p w14:paraId="1C12A430" w14:textId="77777777" w:rsidR="00E175EA" w:rsidRDefault="00E175EA" w:rsidP="00E175EA">
      <w:pPr>
        <w:pStyle w:val="ListParagraph"/>
        <w:rPr>
          <w:rStyle w:val="cf01"/>
        </w:rPr>
      </w:pPr>
      <w:r w:rsidRPr="1686FE95">
        <w:rPr>
          <w:i/>
        </w:rPr>
        <w:t xml:space="preserve">If it is not possible for a represented taxpayer to view the completed form online prior to submission, the ability to print it </w:t>
      </w:r>
      <w:r>
        <w:rPr>
          <w:i/>
        </w:rPr>
        <w:t xml:space="preserve">in full </w:t>
      </w:r>
      <w:r w:rsidRPr="1686FE95">
        <w:rPr>
          <w:i/>
        </w:rPr>
        <w:t xml:space="preserve">will ensure that the agent can obtain approval for its submission from the client. </w:t>
      </w:r>
      <w:r>
        <w:rPr>
          <w:i/>
        </w:rPr>
        <w:t>This is necessary because a</w:t>
      </w:r>
      <w:r w:rsidRPr="1686FE95">
        <w:rPr>
          <w:i/>
        </w:rPr>
        <w:t xml:space="preserve">gents cannot normally submit information to HMRC without the client’s prior approval. </w:t>
      </w:r>
      <w:r w:rsidRPr="1686FE95">
        <w:rPr>
          <w:rStyle w:val="cf01"/>
          <w:rFonts w:asciiTheme="minorHAnsi" w:hAnsiTheme="minorHAnsi" w:cstheme="minorBidi"/>
          <w:i/>
          <w:sz w:val="22"/>
          <w:szCs w:val="22"/>
        </w:rPr>
        <w:t>For unrepresented taxpayers, being able to print a form means the taxpayer can check the form off-screen, which is often easier and can help spot mistakes.</w:t>
      </w:r>
      <w:r>
        <w:rPr>
          <w:rStyle w:val="cf01"/>
        </w:rPr>
        <w:t xml:space="preserve"> </w:t>
      </w:r>
    </w:p>
    <w:p w14:paraId="123175B2" w14:textId="77777777" w:rsidR="00E175EA" w:rsidRDefault="00E175EA" w:rsidP="00E175EA">
      <w:pPr>
        <w:pStyle w:val="ListParagraph"/>
        <w:rPr>
          <w:rStyle w:val="cf01"/>
        </w:rPr>
      </w:pPr>
    </w:p>
    <w:p w14:paraId="0E7CE03E" w14:textId="77777777" w:rsidR="00E175EA" w:rsidRDefault="00E175EA" w:rsidP="00E175EA">
      <w:pPr>
        <w:pStyle w:val="ListParagraph"/>
        <w:rPr>
          <w:rStyle w:val="cf01"/>
        </w:rPr>
      </w:pPr>
    </w:p>
    <w:p w14:paraId="67B3754D" w14:textId="77777777" w:rsidR="00E175EA" w:rsidRDefault="00E175EA" w:rsidP="00E175EA">
      <w:pPr>
        <w:pStyle w:val="ListParagraph"/>
        <w:rPr>
          <w:rStyle w:val="cf01"/>
        </w:rPr>
      </w:pPr>
    </w:p>
    <w:p w14:paraId="6AA7EF73" w14:textId="77777777" w:rsidR="00E175EA" w:rsidRDefault="00E175EA" w:rsidP="00E175EA">
      <w:pPr>
        <w:pStyle w:val="ListParagraph"/>
        <w:rPr>
          <w:rStyle w:val="cf01"/>
        </w:rPr>
      </w:pPr>
    </w:p>
    <w:p w14:paraId="4799FEDF" w14:textId="77777777" w:rsidR="00E175EA" w:rsidRDefault="00E175EA" w:rsidP="00E175EA">
      <w:pPr>
        <w:pStyle w:val="ListParagraph"/>
        <w:numPr>
          <w:ilvl w:val="0"/>
          <w:numId w:val="9"/>
        </w:numPr>
        <w:spacing w:after="160" w:line="259" w:lineRule="auto"/>
        <w:rPr>
          <w:lang w:val="en-US"/>
        </w:rPr>
      </w:pPr>
      <w:r w:rsidRPr="006F7936">
        <w:rPr>
          <w:lang w:val="en-US"/>
        </w:rPr>
        <w:t>The ability for the digital form to correctly compute the tax due</w:t>
      </w:r>
      <w:r>
        <w:rPr>
          <w:lang w:val="en-US"/>
        </w:rPr>
        <w:t>.</w:t>
      </w:r>
    </w:p>
    <w:p w14:paraId="79D380A8" w14:textId="77777777" w:rsidR="00E175EA" w:rsidRPr="006F7936" w:rsidRDefault="00E175EA" w:rsidP="00E175EA">
      <w:pPr>
        <w:pStyle w:val="ListParagraph"/>
        <w:rPr>
          <w:lang w:val="en-US"/>
        </w:rPr>
      </w:pPr>
    </w:p>
    <w:p w14:paraId="41FBB075" w14:textId="77777777" w:rsidR="00E175EA" w:rsidRPr="004D61AD" w:rsidRDefault="00E175EA" w:rsidP="00E175EA">
      <w:pPr>
        <w:pStyle w:val="ListParagraph"/>
        <w:rPr>
          <w:i/>
          <w:iCs/>
          <w:lang w:val="en-US"/>
        </w:rPr>
      </w:pPr>
      <w:r w:rsidRPr="004D61AD">
        <w:rPr>
          <w:i/>
          <w:iCs/>
          <w:lang w:val="en-US"/>
        </w:rPr>
        <w:lastRenderedPageBreak/>
        <w:t>Tax Returns and other forms which lead to a tax calculation must be able to cope with all tax computations</w:t>
      </w:r>
      <w:r>
        <w:rPr>
          <w:i/>
          <w:iCs/>
          <w:lang w:val="en-US"/>
        </w:rPr>
        <w:t xml:space="preserve">. It should not be the ‘norm’ for </w:t>
      </w:r>
      <w:r w:rsidRPr="004D61AD">
        <w:rPr>
          <w:i/>
          <w:iCs/>
          <w:lang w:val="en-US"/>
        </w:rPr>
        <w:t>there</w:t>
      </w:r>
      <w:r>
        <w:rPr>
          <w:i/>
          <w:iCs/>
          <w:lang w:val="en-US"/>
        </w:rPr>
        <w:t xml:space="preserve"> to</w:t>
      </w:r>
      <w:r w:rsidRPr="004D61AD">
        <w:rPr>
          <w:i/>
          <w:iCs/>
          <w:lang w:val="en-US"/>
        </w:rPr>
        <w:t xml:space="preserve"> be a list of exceptions where computers cannot do the </w:t>
      </w:r>
      <w:r>
        <w:rPr>
          <w:i/>
          <w:iCs/>
          <w:lang w:val="en-US"/>
        </w:rPr>
        <w:t>calculations accurately,</w:t>
      </w:r>
      <w:r w:rsidRPr="004D61AD">
        <w:rPr>
          <w:i/>
          <w:iCs/>
          <w:lang w:val="en-US"/>
        </w:rPr>
        <w:t xml:space="preserve"> causing taxpayers/agents to have to print and post the form</w:t>
      </w:r>
      <w:r>
        <w:rPr>
          <w:i/>
          <w:iCs/>
          <w:lang w:val="en-US"/>
        </w:rPr>
        <w:t xml:space="preserve"> to HMRC</w:t>
      </w:r>
      <w:r w:rsidRPr="004D61AD">
        <w:rPr>
          <w:i/>
          <w:iCs/>
          <w:lang w:val="en-US"/>
        </w:rPr>
        <w:t>.</w:t>
      </w:r>
    </w:p>
    <w:p w14:paraId="6FAD430E" w14:textId="77777777" w:rsidR="00E175EA" w:rsidRPr="004276A1" w:rsidRDefault="00E175EA" w:rsidP="00E175EA">
      <w:pPr>
        <w:ind w:left="360"/>
        <w:rPr>
          <w:u w:val="single"/>
          <w:lang w:val="en-US"/>
        </w:rPr>
      </w:pPr>
      <w:r w:rsidRPr="1686FE95">
        <w:rPr>
          <w:u w:val="single"/>
        </w:rPr>
        <w:t>Submission of the form</w:t>
      </w:r>
    </w:p>
    <w:p w14:paraId="64F26605" w14:textId="77777777" w:rsidR="00E175EA" w:rsidRDefault="00E175EA" w:rsidP="00E175EA">
      <w:pPr>
        <w:pStyle w:val="ListParagraph"/>
        <w:numPr>
          <w:ilvl w:val="0"/>
          <w:numId w:val="9"/>
        </w:numPr>
        <w:spacing w:after="160" w:line="259" w:lineRule="auto"/>
        <w:rPr>
          <w:lang w:val="en-US"/>
        </w:rPr>
      </w:pPr>
      <w:r>
        <w:t>Clear messaging to explain what submission of the form means.</w:t>
      </w:r>
    </w:p>
    <w:p w14:paraId="4240CA6C" w14:textId="77777777" w:rsidR="00E175EA" w:rsidRDefault="00E175EA" w:rsidP="00E175EA">
      <w:pPr>
        <w:pStyle w:val="ListParagraph"/>
        <w:rPr>
          <w:lang w:val="en-US"/>
        </w:rPr>
      </w:pPr>
    </w:p>
    <w:p w14:paraId="4AA26DB2" w14:textId="77777777" w:rsidR="00E175EA" w:rsidRPr="00744326" w:rsidRDefault="00E175EA" w:rsidP="00E175EA">
      <w:pPr>
        <w:pStyle w:val="ListParagraph"/>
        <w:rPr>
          <w:i/>
          <w:iCs/>
          <w:lang w:val="en-US"/>
        </w:rPr>
      </w:pPr>
      <w:r>
        <w:rPr>
          <w:i/>
        </w:rPr>
        <w:t xml:space="preserve">Therefore, </w:t>
      </w:r>
      <w:r w:rsidRPr="1686FE95">
        <w:rPr>
          <w:i/>
        </w:rPr>
        <w:t>the person submitting the form is aware of the consequences of what the</w:t>
      </w:r>
      <w:r>
        <w:rPr>
          <w:i/>
        </w:rPr>
        <w:t>y are</w:t>
      </w:r>
      <w:r w:rsidRPr="1686FE95">
        <w:rPr>
          <w:i/>
        </w:rPr>
        <w:t xml:space="preserve"> certifying, what the next steps will be, and the consequences of incorrect / false declarations.</w:t>
      </w:r>
    </w:p>
    <w:p w14:paraId="5457250C" w14:textId="77777777" w:rsidR="00E175EA" w:rsidRDefault="00E175EA" w:rsidP="00E175EA">
      <w:pPr>
        <w:pStyle w:val="ListParagraph"/>
        <w:rPr>
          <w:lang w:val="en-US"/>
        </w:rPr>
      </w:pPr>
    </w:p>
    <w:p w14:paraId="2E351FF7" w14:textId="77777777" w:rsidR="00E175EA" w:rsidRDefault="00E175EA" w:rsidP="00E175EA">
      <w:pPr>
        <w:pStyle w:val="ListParagraph"/>
        <w:numPr>
          <w:ilvl w:val="0"/>
          <w:numId w:val="9"/>
        </w:numPr>
        <w:spacing w:after="160" w:line="259" w:lineRule="auto"/>
        <w:rPr>
          <w:lang w:val="en-US"/>
        </w:rPr>
      </w:pPr>
      <w:r>
        <w:t>The ability to capture a copy of the submitted form.</w:t>
      </w:r>
    </w:p>
    <w:p w14:paraId="47182211" w14:textId="77777777" w:rsidR="00E175EA" w:rsidRDefault="00E175EA" w:rsidP="00E175EA">
      <w:pPr>
        <w:pStyle w:val="ListParagraph"/>
        <w:rPr>
          <w:lang w:val="en-US"/>
        </w:rPr>
      </w:pPr>
    </w:p>
    <w:p w14:paraId="03DFD021" w14:textId="77777777" w:rsidR="00E175EA" w:rsidRPr="00876465" w:rsidRDefault="00E175EA" w:rsidP="00E175EA">
      <w:pPr>
        <w:pStyle w:val="ListParagraph"/>
        <w:rPr>
          <w:i/>
          <w:iCs/>
          <w:lang w:val="en-US"/>
        </w:rPr>
      </w:pPr>
      <w:r>
        <w:rPr>
          <w:i/>
        </w:rPr>
        <w:t xml:space="preserve">This </w:t>
      </w:r>
      <w:r w:rsidRPr="1686FE95">
        <w:rPr>
          <w:i/>
        </w:rPr>
        <w:t>ensure</w:t>
      </w:r>
      <w:r>
        <w:rPr>
          <w:i/>
        </w:rPr>
        <w:t>s</w:t>
      </w:r>
      <w:r w:rsidRPr="1686FE95">
        <w:rPr>
          <w:i/>
        </w:rPr>
        <w:t xml:space="preserve"> that the taxpayer (and, where appropriate, their agent) has a record of what was finally submitted – either by printing it or downloading and saving it. This might be important, for example, if the client requests a copy of the submitted form for their records, or in case of a subsequent dispute with HMRC.</w:t>
      </w:r>
    </w:p>
    <w:p w14:paraId="3C402F52" w14:textId="77777777" w:rsidR="00E175EA" w:rsidRDefault="00E175EA" w:rsidP="00E175EA">
      <w:pPr>
        <w:pStyle w:val="ListParagraph"/>
        <w:rPr>
          <w:lang w:val="en-US"/>
        </w:rPr>
      </w:pPr>
    </w:p>
    <w:p w14:paraId="05643283" w14:textId="77777777" w:rsidR="00E175EA" w:rsidRDefault="00E175EA" w:rsidP="00E175EA">
      <w:pPr>
        <w:pStyle w:val="ListParagraph"/>
        <w:numPr>
          <w:ilvl w:val="0"/>
          <w:numId w:val="9"/>
        </w:numPr>
        <w:spacing w:after="160" w:line="259" w:lineRule="auto"/>
        <w:rPr>
          <w:lang w:val="en-US"/>
        </w:rPr>
      </w:pPr>
      <w:r>
        <w:t>A digital receipt or equivalent proof of submission.</w:t>
      </w:r>
    </w:p>
    <w:p w14:paraId="6FF27745" w14:textId="77777777" w:rsidR="00E175EA" w:rsidRDefault="00E175EA" w:rsidP="00E175EA">
      <w:pPr>
        <w:pStyle w:val="ListParagraph"/>
        <w:rPr>
          <w:lang w:val="en-US"/>
        </w:rPr>
      </w:pPr>
    </w:p>
    <w:p w14:paraId="43D68E4C" w14:textId="77777777" w:rsidR="00E175EA" w:rsidRPr="000076A7" w:rsidRDefault="00E175EA" w:rsidP="00E175EA">
      <w:pPr>
        <w:pStyle w:val="ListParagraph"/>
        <w:rPr>
          <w:i/>
          <w:iCs/>
          <w:lang w:val="en-US"/>
        </w:rPr>
      </w:pPr>
      <w:r>
        <w:rPr>
          <w:i/>
        </w:rPr>
        <w:t>This</w:t>
      </w:r>
      <w:r w:rsidRPr="1686FE95">
        <w:rPr>
          <w:i/>
        </w:rPr>
        <w:t xml:space="preserve"> evidence</w:t>
      </w:r>
      <w:r>
        <w:rPr>
          <w:i/>
        </w:rPr>
        <w:t>s</w:t>
      </w:r>
      <w:r w:rsidRPr="1686FE95">
        <w:rPr>
          <w:i/>
        </w:rPr>
        <w:t xml:space="preserve"> that the form has been submitted to, and received by, HMRC, </w:t>
      </w:r>
      <w:r>
        <w:rPr>
          <w:i/>
        </w:rPr>
        <w:t>and should</w:t>
      </w:r>
      <w:r w:rsidRPr="1686FE95">
        <w:rPr>
          <w:i/>
        </w:rPr>
        <w:t xml:space="preserve"> record the date and time of submission, along with a submission reference number.</w:t>
      </w:r>
    </w:p>
    <w:p w14:paraId="191DD9BF" w14:textId="77777777" w:rsidR="00E175EA" w:rsidRDefault="00E175EA" w:rsidP="00E175EA">
      <w:pPr>
        <w:pStyle w:val="ListParagraph"/>
        <w:ind w:left="360"/>
        <w:rPr>
          <w:lang w:val="en-US"/>
        </w:rPr>
      </w:pPr>
    </w:p>
    <w:p w14:paraId="29372996" w14:textId="77777777" w:rsidR="00E175EA" w:rsidRPr="00D7473B" w:rsidRDefault="00E175EA" w:rsidP="00E175EA">
      <w:pPr>
        <w:pStyle w:val="ListParagraph"/>
        <w:ind w:left="360"/>
        <w:rPr>
          <w:u w:val="single"/>
          <w:lang w:val="en-US"/>
        </w:rPr>
      </w:pPr>
      <w:r w:rsidRPr="1686FE95">
        <w:rPr>
          <w:u w:val="single"/>
        </w:rPr>
        <w:t>Necessary alternatives</w:t>
      </w:r>
    </w:p>
    <w:p w14:paraId="444337FC" w14:textId="77777777" w:rsidR="00E175EA" w:rsidRDefault="00E175EA" w:rsidP="00E175EA">
      <w:pPr>
        <w:pStyle w:val="ListParagraph"/>
        <w:ind w:left="360"/>
        <w:rPr>
          <w:lang w:val="en-US"/>
        </w:rPr>
      </w:pPr>
    </w:p>
    <w:p w14:paraId="61C785E0" w14:textId="77777777" w:rsidR="00E175EA" w:rsidRPr="000E7BAB" w:rsidRDefault="00E175EA" w:rsidP="00E175EA">
      <w:pPr>
        <w:pStyle w:val="ListParagraph"/>
        <w:numPr>
          <w:ilvl w:val="0"/>
          <w:numId w:val="9"/>
        </w:numPr>
        <w:spacing w:after="160" w:line="259" w:lineRule="auto"/>
        <w:rPr>
          <w:lang w:val="en-US"/>
        </w:rPr>
      </w:pPr>
      <w:r>
        <w:t>Non-digital versions of forms for those who cannot interact digitally or find it difficult to do so.</w:t>
      </w:r>
    </w:p>
    <w:p w14:paraId="3E67DF95" w14:textId="77777777" w:rsidR="00E175EA" w:rsidRDefault="00E175EA" w:rsidP="00E175EA">
      <w:pPr>
        <w:pStyle w:val="ListParagraph"/>
        <w:rPr>
          <w:lang w:val="en-US"/>
        </w:rPr>
      </w:pPr>
    </w:p>
    <w:p w14:paraId="31F91E9D" w14:textId="77777777" w:rsidR="00E175EA" w:rsidRDefault="00E175EA" w:rsidP="00E175EA">
      <w:pPr>
        <w:pStyle w:val="ListParagraph"/>
        <w:rPr>
          <w:i/>
          <w:iCs/>
          <w:lang w:val="en-US"/>
        </w:rPr>
      </w:pPr>
      <w:r w:rsidRPr="1686FE95">
        <w:rPr>
          <w:i/>
        </w:rPr>
        <w:t xml:space="preserve">All digital forms should have a non-digital equivalent, to </w:t>
      </w:r>
      <w:r w:rsidRPr="1686FE95">
        <w:rPr>
          <w:i/>
          <w:iCs/>
        </w:rPr>
        <w:t>ensure</w:t>
      </w:r>
      <w:r w:rsidRPr="1686FE95">
        <w:rPr>
          <w:i/>
        </w:rPr>
        <w:t xml:space="preserve"> those who cannot go online, or have </w:t>
      </w:r>
      <w:r w:rsidRPr="1686FE95">
        <w:rPr>
          <w:i/>
          <w:iCs/>
        </w:rPr>
        <w:t>difficulty</w:t>
      </w:r>
      <w:r w:rsidRPr="1686FE95">
        <w:rPr>
          <w:i/>
        </w:rPr>
        <w:t xml:space="preserve"> doing so, are not disadvantaged when interacting with HMRC. </w:t>
      </w:r>
      <w:r>
        <w:rPr>
          <w:i/>
        </w:rPr>
        <w:t xml:space="preserve">These should be easy to obtain and include appropriate guidance to aid their completion. </w:t>
      </w:r>
      <w:r w:rsidRPr="1686FE95">
        <w:rPr>
          <w:i/>
        </w:rPr>
        <w:t xml:space="preserve">This will </w:t>
      </w:r>
      <w:r w:rsidRPr="1686FE95">
        <w:rPr>
          <w:i/>
          <w:iCs/>
        </w:rPr>
        <w:t>fulfil</w:t>
      </w:r>
      <w:r w:rsidRPr="1686FE95">
        <w:rPr>
          <w:i/>
        </w:rPr>
        <w:t xml:space="preserve"> HMRC’s Charter promises of ‘being aware of your personal situation’ and ‘treating you fairly’. </w:t>
      </w:r>
    </w:p>
    <w:p w14:paraId="3D182B73" w14:textId="77777777" w:rsidR="00E175EA" w:rsidRPr="001E02E4" w:rsidRDefault="00E175EA" w:rsidP="00E175EA">
      <w:pPr>
        <w:pStyle w:val="ListParagraph"/>
        <w:rPr>
          <w:i/>
          <w:iCs/>
          <w:lang w:val="en-US"/>
        </w:rPr>
      </w:pPr>
    </w:p>
    <w:p w14:paraId="6347C061" w14:textId="77777777" w:rsidR="00E175EA" w:rsidRDefault="00E175EA" w:rsidP="00E175EA">
      <w:pPr>
        <w:pStyle w:val="ListParagraph"/>
        <w:numPr>
          <w:ilvl w:val="0"/>
          <w:numId w:val="9"/>
        </w:numPr>
        <w:spacing w:after="160" w:line="259" w:lineRule="auto"/>
        <w:rPr>
          <w:lang w:val="en-US"/>
        </w:rPr>
      </w:pPr>
      <w:r>
        <w:t>Accessible versions of digital forms for those with particular needs.</w:t>
      </w:r>
    </w:p>
    <w:p w14:paraId="52AC2EC4" w14:textId="77777777" w:rsidR="00E175EA" w:rsidRDefault="00E175EA" w:rsidP="00E175EA">
      <w:pPr>
        <w:pStyle w:val="ListParagraph"/>
        <w:rPr>
          <w:lang w:val="en-US"/>
        </w:rPr>
      </w:pPr>
    </w:p>
    <w:p w14:paraId="328AF3C4" w14:textId="77777777" w:rsidR="00E175EA" w:rsidRPr="00D7473B" w:rsidRDefault="00E175EA" w:rsidP="00E175EA">
      <w:pPr>
        <w:pStyle w:val="ListParagraph"/>
        <w:rPr>
          <w:lang w:val="en-US"/>
        </w:rPr>
      </w:pPr>
      <w:r w:rsidRPr="1686FE95">
        <w:rPr>
          <w:i/>
        </w:rPr>
        <w:t>Digital forms should be accessible for those who can go online, but who have particular needs eg those who use screen readers. Again</w:t>
      </w:r>
      <w:r w:rsidRPr="1686FE95">
        <w:rPr>
          <w:i/>
          <w:iCs/>
        </w:rPr>
        <w:t>,</w:t>
      </w:r>
      <w:r w:rsidRPr="1686FE95">
        <w:rPr>
          <w:i/>
        </w:rPr>
        <w:t xml:space="preserve"> this will </w:t>
      </w:r>
      <w:r w:rsidRPr="1686FE95">
        <w:rPr>
          <w:i/>
          <w:iCs/>
        </w:rPr>
        <w:t>fulfil</w:t>
      </w:r>
      <w:r w:rsidRPr="1686FE95">
        <w:rPr>
          <w:i/>
        </w:rPr>
        <w:t xml:space="preserve"> HMRC’s Charter promises of ‘being aware of your personal situation’ and ‘treating you fairly’, as well as complying with the Equality Act and meeting Web Content Accessibility Guidelines.</w:t>
      </w:r>
    </w:p>
    <w:p w14:paraId="17B66286" w14:textId="77777777" w:rsidR="00E175EA" w:rsidRDefault="00E175EA">
      <w:pPr>
        <w:spacing w:after="0" w:line="240" w:lineRule="auto"/>
        <w:rPr>
          <w:rFonts w:asciiTheme="minorHAnsi" w:hAnsiTheme="minorHAnsi" w:cstheme="minorHAnsi"/>
          <w:lang w:val="en-US"/>
        </w:rPr>
      </w:pPr>
      <w:r>
        <w:rPr>
          <w:rFonts w:asciiTheme="minorHAnsi" w:hAnsiTheme="minorHAnsi" w:cstheme="minorHAnsi"/>
          <w:lang w:val="en-US"/>
        </w:rPr>
        <w:br w:type="page"/>
      </w:r>
    </w:p>
    <w:p w14:paraId="4AEE6A9F" w14:textId="77777777" w:rsidR="00E175EA" w:rsidRPr="003D79A0" w:rsidRDefault="00E175EA" w:rsidP="00E175EA">
      <w:pPr>
        <w:jc w:val="right"/>
        <w:rPr>
          <w:rFonts w:cs="Calibri"/>
          <w:b/>
          <w:bCs/>
          <w:lang w:val="en-US"/>
        </w:rPr>
      </w:pPr>
      <w:r w:rsidRPr="003D79A0">
        <w:rPr>
          <w:rFonts w:cs="Calibri"/>
          <w:b/>
          <w:bCs/>
          <w:lang w:val="en-US"/>
        </w:rPr>
        <w:lastRenderedPageBreak/>
        <w:t>Appendix three</w:t>
      </w:r>
    </w:p>
    <w:p w14:paraId="377D3B97" w14:textId="77777777" w:rsidR="003D79A0" w:rsidRPr="003D79A0" w:rsidRDefault="003D79A0" w:rsidP="003D79A0">
      <w:pPr>
        <w:pStyle w:val="Default"/>
        <w:jc w:val="center"/>
        <w:rPr>
          <w:rFonts w:ascii="Calibri" w:hAnsi="Calibri" w:cs="Calibri"/>
        </w:rPr>
      </w:pPr>
      <w:r w:rsidRPr="003D79A0">
        <w:rPr>
          <w:rFonts w:ascii="Calibri" w:hAnsi="Calibri" w:cs="Calibri"/>
          <w:b/>
          <w:bCs/>
        </w:rPr>
        <w:t>Principles of tax digitalisa</w:t>
      </w:r>
      <w:r w:rsidRPr="003D79A0">
        <w:rPr>
          <w:rFonts w:ascii="Calibri" w:eastAsia="Calibri" w:hAnsi="Calibri" w:cs="Calibri"/>
          <w:b/>
          <w:bCs/>
        </w:rPr>
        <w:t>t</w:t>
      </w:r>
      <w:r w:rsidR="00201B4D">
        <w:rPr>
          <w:rFonts w:ascii="Calibri" w:eastAsia="Calibri" w:hAnsi="Calibri" w:cs="Calibri"/>
          <w:b/>
          <w:bCs/>
        </w:rPr>
        <w:t>i</w:t>
      </w:r>
      <w:r w:rsidRPr="003D79A0">
        <w:rPr>
          <w:rFonts w:ascii="Calibri" w:hAnsi="Calibri" w:cs="Calibri"/>
          <w:b/>
          <w:bCs/>
        </w:rPr>
        <w:t>on</w:t>
      </w:r>
    </w:p>
    <w:p w14:paraId="5A63E3EC" w14:textId="77777777" w:rsidR="003D79A0" w:rsidRPr="003D79A0" w:rsidRDefault="003D79A0" w:rsidP="003D79A0">
      <w:pPr>
        <w:pStyle w:val="Default"/>
        <w:rPr>
          <w:rFonts w:ascii="Calibri" w:hAnsi="Calibri" w:cs="Calibri"/>
          <w:sz w:val="22"/>
          <w:szCs w:val="22"/>
        </w:rPr>
      </w:pPr>
    </w:p>
    <w:p w14:paraId="452BCD4B"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A digitalised tax system should:</w:t>
      </w:r>
    </w:p>
    <w:p w14:paraId="3C6F9A0D" w14:textId="77777777" w:rsidR="003D79A0" w:rsidRPr="003D79A0" w:rsidRDefault="003D79A0" w:rsidP="003D79A0">
      <w:pPr>
        <w:pStyle w:val="Default"/>
        <w:rPr>
          <w:rFonts w:ascii="Calibri" w:hAnsi="Calibri" w:cs="Calibri"/>
          <w:sz w:val="22"/>
          <w:szCs w:val="22"/>
        </w:rPr>
      </w:pPr>
    </w:p>
    <w:p w14:paraId="2075BC77" w14:textId="77777777" w:rsidR="003D79A0" w:rsidRPr="003D79A0" w:rsidRDefault="003D79A0" w:rsidP="003D79A0">
      <w:pPr>
        <w:pStyle w:val="Default"/>
        <w:tabs>
          <w:tab w:val="left" w:pos="4384"/>
        </w:tabs>
        <w:rPr>
          <w:rFonts w:ascii="Calibri" w:hAnsi="Calibri" w:cs="Calibri"/>
          <w:b/>
          <w:bCs/>
          <w:sz w:val="22"/>
          <w:szCs w:val="22"/>
        </w:rPr>
      </w:pPr>
      <w:r w:rsidRPr="003D79A0">
        <w:rPr>
          <w:rFonts w:ascii="Calibri" w:hAnsi="Calibri" w:cs="Calibri"/>
          <w:b/>
          <w:bCs/>
          <w:sz w:val="22"/>
          <w:szCs w:val="22"/>
        </w:rPr>
        <w:t>1. Enhance exis</w:t>
      </w:r>
      <w:r w:rsidRPr="003D79A0">
        <w:rPr>
          <w:rFonts w:ascii="Calibri" w:eastAsia="Calibri" w:hAnsi="Calibri" w:cs="Calibri"/>
          <w:b/>
          <w:bCs/>
          <w:sz w:val="22"/>
          <w:szCs w:val="22"/>
        </w:rPr>
        <w:t>t</w:t>
      </w:r>
      <w:r w:rsidRPr="003D79A0">
        <w:rPr>
          <w:rFonts w:ascii="Calibri" w:hAnsi="Calibri" w:cs="Calibri"/>
          <w:b/>
          <w:bCs/>
          <w:sz w:val="22"/>
          <w:szCs w:val="22"/>
        </w:rPr>
        <w:t xml:space="preserve">ing processes </w:t>
      </w:r>
      <w:r w:rsidRPr="003D79A0">
        <w:rPr>
          <w:rFonts w:ascii="Calibri" w:hAnsi="Calibri" w:cs="Calibri"/>
          <w:b/>
          <w:bCs/>
          <w:sz w:val="22"/>
          <w:szCs w:val="22"/>
        </w:rPr>
        <w:tab/>
      </w:r>
    </w:p>
    <w:p w14:paraId="5FCBEF9B" w14:textId="77777777" w:rsidR="003D79A0" w:rsidRPr="003D79A0" w:rsidRDefault="003D79A0" w:rsidP="003D79A0">
      <w:pPr>
        <w:pStyle w:val="Default"/>
        <w:rPr>
          <w:rFonts w:ascii="Calibri" w:hAnsi="Calibri" w:cs="Calibri"/>
          <w:sz w:val="22"/>
          <w:szCs w:val="22"/>
        </w:rPr>
      </w:pPr>
    </w:p>
    <w:p w14:paraId="2DB3E700"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 xml:space="preserve">Digital systems should build on and enhance the functionality of any manual or legacy IT systems, providing an improved range of services and user experience whilst reducing the capacity to make mistakes. </w:t>
      </w:r>
    </w:p>
    <w:p w14:paraId="69B1AEBC" w14:textId="77777777" w:rsidR="003D79A0" w:rsidRPr="003D79A0" w:rsidRDefault="003D79A0" w:rsidP="003D79A0">
      <w:pPr>
        <w:pStyle w:val="Default"/>
        <w:rPr>
          <w:rFonts w:ascii="Calibri" w:hAnsi="Calibri" w:cs="Calibri"/>
          <w:sz w:val="22"/>
          <w:szCs w:val="22"/>
        </w:rPr>
      </w:pPr>
    </w:p>
    <w:p w14:paraId="608943ED"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2. Be cost and resource efficient </w:t>
      </w:r>
    </w:p>
    <w:p w14:paraId="0CFFCEF1" w14:textId="77777777" w:rsidR="003D79A0" w:rsidRPr="003D79A0" w:rsidRDefault="003D79A0" w:rsidP="003D79A0">
      <w:pPr>
        <w:pStyle w:val="Default"/>
        <w:rPr>
          <w:rFonts w:ascii="Calibri" w:hAnsi="Calibri" w:cs="Calibri"/>
          <w:sz w:val="22"/>
          <w:szCs w:val="22"/>
        </w:rPr>
      </w:pPr>
    </w:p>
    <w:p w14:paraId="4CB29FFC"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Digitalisation should reduce the overall resourcing requirement of tax administration and collection, when the position of all participants (including taxpayer, agents and HMRC) is considered. It should not impose undue addi</w:t>
      </w:r>
      <w:r w:rsidRPr="003D79A0">
        <w:rPr>
          <w:rFonts w:ascii="Calibri" w:eastAsia="Calibri" w:hAnsi="Calibri" w:cs="Calibri"/>
          <w:sz w:val="22"/>
          <w:szCs w:val="22"/>
        </w:rPr>
        <w:t>ti</w:t>
      </w:r>
      <w:r w:rsidRPr="003D79A0">
        <w:rPr>
          <w:rFonts w:ascii="Calibri" w:hAnsi="Calibri" w:cs="Calibri"/>
          <w:sz w:val="22"/>
          <w:szCs w:val="22"/>
        </w:rPr>
        <w:t xml:space="preserve">onal costs or administrative burdens on taxpayers and agents without a demonstrable benefit. </w:t>
      </w:r>
    </w:p>
    <w:p w14:paraId="7BB0555E" w14:textId="77777777" w:rsidR="003D79A0" w:rsidRPr="003D79A0" w:rsidRDefault="003D79A0" w:rsidP="003D79A0">
      <w:pPr>
        <w:pStyle w:val="Default"/>
        <w:rPr>
          <w:rFonts w:ascii="Calibri" w:hAnsi="Calibri" w:cs="Calibri"/>
          <w:sz w:val="22"/>
          <w:szCs w:val="22"/>
        </w:rPr>
      </w:pPr>
    </w:p>
    <w:p w14:paraId="36C7FAA6"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3. Be secure </w:t>
      </w:r>
    </w:p>
    <w:p w14:paraId="30E783C1" w14:textId="77777777" w:rsidR="003D79A0" w:rsidRPr="003D79A0" w:rsidRDefault="003D79A0" w:rsidP="003D79A0">
      <w:pPr>
        <w:pStyle w:val="Default"/>
        <w:rPr>
          <w:rFonts w:ascii="Calibri" w:hAnsi="Calibri" w:cs="Calibri"/>
          <w:sz w:val="22"/>
          <w:szCs w:val="22"/>
        </w:rPr>
      </w:pPr>
    </w:p>
    <w:p w14:paraId="3CB64799"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 xml:space="preserve">Digitalisation should ensure taxpayers’ data is kept securely and its integrity maintained, while avoiding insurmountable identity verification and access barriers. </w:t>
      </w:r>
    </w:p>
    <w:p w14:paraId="37E5932C" w14:textId="77777777" w:rsidR="003D79A0" w:rsidRPr="003D79A0" w:rsidRDefault="003D79A0" w:rsidP="003D79A0">
      <w:pPr>
        <w:pStyle w:val="Default"/>
        <w:rPr>
          <w:rFonts w:ascii="Calibri" w:hAnsi="Calibri" w:cs="Calibri"/>
          <w:sz w:val="22"/>
          <w:szCs w:val="22"/>
        </w:rPr>
      </w:pPr>
    </w:p>
    <w:p w14:paraId="7D4BC99C"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4. Be integrated &amp; adaptable </w:t>
      </w:r>
    </w:p>
    <w:p w14:paraId="5F826293" w14:textId="77777777" w:rsidR="003D79A0" w:rsidRPr="003D79A0" w:rsidRDefault="003D79A0" w:rsidP="003D79A0">
      <w:pPr>
        <w:pStyle w:val="Default"/>
        <w:rPr>
          <w:rFonts w:ascii="Calibri" w:hAnsi="Calibri" w:cs="Calibri"/>
          <w:sz w:val="22"/>
          <w:szCs w:val="22"/>
        </w:rPr>
      </w:pPr>
    </w:p>
    <w:p w14:paraId="280C99D0"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 xml:space="preserve">Related systems should interact seamlessly, with a single point of entry and automated data flows. They should be flexible enough to accommodate future legislative and technological changes. </w:t>
      </w:r>
    </w:p>
    <w:p w14:paraId="0675966F" w14:textId="77777777" w:rsidR="003D79A0" w:rsidRPr="003D79A0" w:rsidRDefault="003D79A0" w:rsidP="003D79A0">
      <w:pPr>
        <w:pStyle w:val="Default"/>
        <w:rPr>
          <w:rFonts w:ascii="Calibri" w:hAnsi="Calibri" w:cs="Calibri"/>
          <w:sz w:val="22"/>
          <w:szCs w:val="22"/>
        </w:rPr>
      </w:pPr>
    </w:p>
    <w:p w14:paraId="6818D9F1"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5. Accommodate Agents </w:t>
      </w:r>
    </w:p>
    <w:p w14:paraId="1C6DE68B" w14:textId="77777777" w:rsidR="003D79A0" w:rsidRPr="003D79A0" w:rsidRDefault="003D79A0" w:rsidP="003D79A0">
      <w:pPr>
        <w:pStyle w:val="Default"/>
        <w:rPr>
          <w:rFonts w:ascii="Calibri" w:hAnsi="Calibri" w:cs="Calibri"/>
          <w:sz w:val="22"/>
          <w:szCs w:val="22"/>
        </w:rPr>
      </w:pPr>
    </w:p>
    <w:p w14:paraId="3F321CDE"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 xml:space="preserve">Agent access and functionality should mirror that of taxpayers themselves, whilst respecting existing authorisations and providing a practical, consistent process for new authorisations. </w:t>
      </w:r>
    </w:p>
    <w:p w14:paraId="008A373C" w14:textId="77777777" w:rsidR="003D79A0" w:rsidRPr="003D79A0" w:rsidRDefault="003D79A0" w:rsidP="003D79A0">
      <w:pPr>
        <w:pStyle w:val="Default"/>
        <w:rPr>
          <w:rFonts w:ascii="Calibri" w:hAnsi="Calibri" w:cs="Calibri"/>
          <w:sz w:val="22"/>
          <w:szCs w:val="22"/>
        </w:rPr>
      </w:pPr>
    </w:p>
    <w:p w14:paraId="5175B051"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6. Be simple, tested &amp; co-created </w:t>
      </w:r>
    </w:p>
    <w:p w14:paraId="2AFA041F" w14:textId="77777777" w:rsidR="003D79A0" w:rsidRPr="003D79A0" w:rsidRDefault="003D79A0" w:rsidP="003D79A0">
      <w:pPr>
        <w:pStyle w:val="Default"/>
        <w:rPr>
          <w:rFonts w:ascii="Calibri" w:hAnsi="Calibri" w:cs="Calibri"/>
          <w:sz w:val="22"/>
          <w:szCs w:val="22"/>
        </w:rPr>
      </w:pPr>
    </w:p>
    <w:p w14:paraId="547CDF65"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 xml:space="preserve">New systems and processes should be designed from all users’ perspectives, in partnership with users and developers. Adequate time should be allowed in the policymaking process for testing and implementation, with checkpoints to ensure that the desired outcome will be achieved. </w:t>
      </w:r>
    </w:p>
    <w:p w14:paraId="55930021" w14:textId="77777777" w:rsidR="003D79A0" w:rsidRPr="003D79A0" w:rsidRDefault="003D79A0" w:rsidP="003D79A0">
      <w:pPr>
        <w:pStyle w:val="Default"/>
        <w:rPr>
          <w:rFonts w:ascii="Calibri" w:hAnsi="Calibri" w:cs="Calibri"/>
          <w:sz w:val="22"/>
          <w:szCs w:val="22"/>
        </w:rPr>
      </w:pPr>
    </w:p>
    <w:p w14:paraId="0378D50C" w14:textId="77777777" w:rsidR="003D79A0" w:rsidRPr="003D79A0" w:rsidRDefault="003D79A0" w:rsidP="003D79A0">
      <w:pPr>
        <w:pStyle w:val="Default"/>
        <w:rPr>
          <w:rFonts w:ascii="Calibri" w:hAnsi="Calibri" w:cs="Calibri"/>
          <w:b/>
          <w:bCs/>
          <w:sz w:val="22"/>
          <w:szCs w:val="22"/>
        </w:rPr>
      </w:pPr>
      <w:r w:rsidRPr="003D79A0">
        <w:rPr>
          <w:rFonts w:ascii="Calibri" w:hAnsi="Calibri" w:cs="Calibri"/>
          <w:b/>
          <w:bCs/>
          <w:sz w:val="22"/>
          <w:szCs w:val="22"/>
        </w:rPr>
        <w:t xml:space="preserve">7. Accommodate accessibility requirements </w:t>
      </w:r>
    </w:p>
    <w:p w14:paraId="4D91E5C8" w14:textId="77777777" w:rsidR="003D79A0" w:rsidRPr="003D79A0" w:rsidRDefault="003D79A0" w:rsidP="003D79A0">
      <w:pPr>
        <w:pStyle w:val="Default"/>
        <w:rPr>
          <w:rFonts w:ascii="Calibri" w:hAnsi="Calibri" w:cs="Calibri"/>
          <w:sz w:val="22"/>
          <w:szCs w:val="22"/>
        </w:rPr>
      </w:pPr>
    </w:p>
    <w:p w14:paraId="7128FAE0" w14:textId="77777777" w:rsidR="003D79A0" w:rsidRPr="003D79A0" w:rsidRDefault="003D79A0" w:rsidP="003D79A0">
      <w:pPr>
        <w:pStyle w:val="Default"/>
        <w:rPr>
          <w:rFonts w:ascii="Calibri" w:hAnsi="Calibri" w:cs="Calibri"/>
          <w:sz w:val="22"/>
          <w:szCs w:val="22"/>
        </w:rPr>
      </w:pPr>
      <w:r w:rsidRPr="003D79A0">
        <w:rPr>
          <w:rFonts w:ascii="Calibri" w:hAnsi="Calibri" w:cs="Calibri"/>
          <w:sz w:val="22"/>
          <w:szCs w:val="22"/>
        </w:rPr>
        <w:t>No-one should be left behind because a digital system cannot accommodate their characteristics or accessibility needs – for instance impaired vision, physical difficulties or cogni</w:t>
      </w:r>
      <w:r w:rsidRPr="003D79A0">
        <w:rPr>
          <w:rFonts w:ascii="Calibri" w:eastAsia="Calibri" w:hAnsi="Calibri" w:cs="Calibri"/>
          <w:sz w:val="22"/>
          <w:szCs w:val="22"/>
        </w:rPr>
        <w:t>ti</w:t>
      </w:r>
      <w:r w:rsidRPr="003D79A0">
        <w:rPr>
          <w:rFonts w:ascii="Calibri" w:hAnsi="Calibri" w:cs="Calibri"/>
          <w:sz w:val="22"/>
          <w:szCs w:val="22"/>
        </w:rPr>
        <w:t xml:space="preserve">ve impairments. Those who cannot interact digitally should have a viable alternative. </w:t>
      </w:r>
    </w:p>
    <w:p w14:paraId="4C2D5FAE" w14:textId="77777777" w:rsidR="00E175EA" w:rsidRPr="003D79A0" w:rsidRDefault="00E175EA" w:rsidP="00F67FCA">
      <w:pPr>
        <w:jc w:val="both"/>
        <w:rPr>
          <w:rFonts w:asciiTheme="minorHAnsi" w:hAnsiTheme="minorHAnsi" w:cstheme="minorHAnsi"/>
        </w:rPr>
      </w:pPr>
    </w:p>
    <w:sectPr w:rsidR="00E175EA" w:rsidRPr="003D79A0" w:rsidSect="0065185F">
      <w:footerReference w:type="default" r:id="rId11"/>
      <w:pgSz w:w="11906" w:h="16838"/>
      <w:pgMar w:top="720" w:right="720" w:bottom="720" w:left="720" w:header="5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251E" w14:textId="77777777" w:rsidR="006674E2" w:rsidRDefault="006674E2" w:rsidP="00076570">
      <w:pPr>
        <w:spacing w:after="0" w:line="240" w:lineRule="auto"/>
      </w:pPr>
      <w:r>
        <w:separator/>
      </w:r>
    </w:p>
  </w:endnote>
  <w:endnote w:type="continuationSeparator" w:id="0">
    <w:p w14:paraId="74DB825D" w14:textId="77777777" w:rsidR="006674E2" w:rsidRDefault="006674E2" w:rsidP="00076570">
      <w:pPr>
        <w:spacing w:after="0" w:line="240" w:lineRule="auto"/>
      </w:pPr>
      <w:r>
        <w:continuationSeparator/>
      </w:r>
    </w:p>
  </w:endnote>
  <w:endnote w:type="continuationNotice" w:id="1">
    <w:p w14:paraId="3D1CAADF" w14:textId="77777777" w:rsidR="006674E2" w:rsidRDefault="00667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463331"/>
      <w:docPartObj>
        <w:docPartGallery w:val="Page Numbers (Bottom of Page)"/>
        <w:docPartUnique/>
      </w:docPartObj>
    </w:sdtPr>
    <w:sdtEndPr>
      <w:rPr>
        <w:noProof/>
      </w:rPr>
    </w:sdtEndPr>
    <w:sdtContent>
      <w:p w14:paraId="55BE2610" w14:textId="2D13CB98" w:rsidR="00437D4C" w:rsidRDefault="00437D4C" w:rsidP="00E17C66">
        <w:pPr>
          <w:pStyle w:val="Footer"/>
          <w:tabs>
            <w:tab w:val="clear" w:pos="9026"/>
            <w:tab w:val="right" w:pos="10440"/>
          </w:tabs>
        </w:pPr>
        <w:r w:rsidRPr="00D849C0">
          <w:rPr>
            <w:sz w:val="20"/>
            <w:szCs w:val="20"/>
          </w:rPr>
          <w:tab/>
        </w:r>
        <w:r w:rsidRPr="00D849C0">
          <w:rPr>
            <w:sz w:val="20"/>
            <w:szCs w:val="20"/>
          </w:rPr>
          <w:tab/>
        </w:r>
        <w:r w:rsidRPr="00D849C0">
          <w:rPr>
            <w:sz w:val="20"/>
            <w:szCs w:val="20"/>
          </w:rPr>
          <w:fldChar w:fldCharType="begin"/>
        </w:r>
        <w:r w:rsidRPr="00D849C0">
          <w:rPr>
            <w:sz w:val="20"/>
            <w:szCs w:val="20"/>
          </w:rPr>
          <w:instrText xml:space="preserve"> PAGE   \* MERGEFORMAT </w:instrText>
        </w:r>
        <w:r w:rsidRPr="00D849C0">
          <w:rPr>
            <w:sz w:val="20"/>
            <w:szCs w:val="20"/>
          </w:rPr>
          <w:fldChar w:fldCharType="separate"/>
        </w:r>
        <w:r w:rsidR="00B93DB8">
          <w:rPr>
            <w:noProof/>
            <w:sz w:val="20"/>
            <w:szCs w:val="20"/>
          </w:rPr>
          <w:t>3</w:t>
        </w:r>
        <w:r w:rsidRPr="00D849C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CC98A" w14:textId="77777777" w:rsidR="006674E2" w:rsidRDefault="006674E2" w:rsidP="00076570">
      <w:pPr>
        <w:spacing w:after="0" w:line="240" w:lineRule="auto"/>
      </w:pPr>
      <w:r>
        <w:separator/>
      </w:r>
    </w:p>
  </w:footnote>
  <w:footnote w:type="continuationSeparator" w:id="0">
    <w:p w14:paraId="77644BF3" w14:textId="77777777" w:rsidR="006674E2" w:rsidRDefault="006674E2" w:rsidP="00076570">
      <w:pPr>
        <w:spacing w:after="0" w:line="240" w:lineRule="auto"/>
      </w:pPr>
      <w:r>
        <w:continuationSeparator/>
      </w:r>
    </w:p>
  </w:footnote>
  <w:footnote w:type="continuationNotice" w:id="1">
    <w:p w14:paraId="0BF31337" w14:textId="77777777" w:rsidR="006674E2" w:rsidRDefault="006674E2">
      <w:pPr>
        <w:spacing w:after="0" w:line="240" w:lineRule="auto"/>
      </w:pPr>
    </w:p>
  </w:footnote>
  <w:footnote w:id="2">
    <w:p w14:paraId="19C6ACC3" w14:textId="77777777" w:rsidR="00785DF3" w:rsidRPr="00785DF3" w:rsidRDefault="00785DF3">
      <w:pPr>
        <w:pStyle w:val="FootnoteText"/>
      </w:pPr>
      <w:r>
        <w:rPr>
          <w:rStyle w:val="FootnoteReference"/>
        </w:rPr>
        <w:footnoteRef/>
      </w:r>
      <w:r w:rsidRPr="00785DF3">
        <w:t xml:space="preserve"> </w:t>
      </w:r>
      <w:hyperlink r:id="rId1" w:history="1">
        <w:r w:rsidRPr="00785DF3">
          <w:rPr>
            <w:rStyle w:val="Hyperlink"/>
          </w:rPr>
          <w:t>https://committees.parliament.uk/writtenevidence/125780/pdf/</w:t>
        </w:r>
      </w:hyperlink>
      <w:r w:rsidRPr="00785DF3">
        <w:t xml:space="preserve"> - ref HMR</w:t>
      </w:r>
      <w:r>
        <w:t>CSR0015</w:t>
      </w:r>
    </w:p>
  </w:footnote>
  <w:footnote w:id="3">
    <w:p w14:paraId="75DE68CD" w14:textId="77777777" w:rsidR="00113A5A" w:rsidRDefault="00113A5A">
      <w:pPr>
        <w:pStyle w:val="FootnoteText"/>
      </w:pPr>
      <w:r>
        <w:rPr>
          <w:rStyle w:val="FootnoteReference"/>
        </w:rPr>
        <w:footnoteRef/>
      </w:r>
      <w:r>
        <w:t xml:space="preserve"> </w:t>
      </w:r>
      <w:hyperlink r:id="rId2" w:anchor="appendix-3-charter-stakeholder-group" w:history="1">
        <w:r w:rsidRPr="00013E3D">
          <w:rPr>
            <w:rStyle w:val="Hyperlink"/>
          </w:rPr>
          <w:t>https://www.gov.uk/government/publications/hmrc-charter-annual-report-2022-to-2023/hmrc-charter-annual-report-2022-to-2023#appendix-3-charter-stakeholder-group</w:t>
        </w:r>
      </w:hyperlink>
      <w:r>
        <w:t xml:space="preserve"> </w:t>
      </w:r>
    </w:p>
  </w:footnote>
  <w:footnote w:id="4">
    <w:p w14:paraId="70676C41" w14:textId="77777777" w:rsidR="00F326BC" w:rsidRDefault="00F326BC">
      <w:pPr>
        <w:pStyle w:val="FootnoteText"/>
      </w:pPr>
      <w:r>
        <w:rPr>
          <w:rStyle w:val="FootnoteReference"/>
        </w:rPr>
        <w:footnoteRef/>
      </w:r>
      <w:r>
        <w:t xml:space="preserve"> </w:t>
      </w:r>
      <w:hyperlink r:id="rId3" w:history="1">
        <w:r w:rsidRPr="00644654">
          <w:rPr>
            <w:rStyle w:val="Hyperlink"/>
          </w:rPr>
          <w:t>https://committees.parliament.uk/event/21373/formal-meeting-oral-evidence-session/</w:t>
        </w:r>
      </w:hyperlink>
      <w:r>
        <w:t xml:space="preserve"> </w:t>
      </w:r>
    </w:p>
  </w:footnote>
  <w:footnote w:id="5">
    <w:p w14:paraId="4AB0F1DF" w14:textId="77777777" w:rsidR="002D0FFB" w:rsidRDefault="002D0FFB">
      <w:pPr>
        <w:pStyle w:val="FootnoteText"/>
      </w:pPr>
      <w:r>
        <w:rPr>
          <w:rStyle w:val="FootnoteReference"/>
        </w:rPr>
        <w:footnoteRef/>
      </w:r>
      <w:r>
        <w:t xml:space="preserve"> </w:t>
      </w:r>
      <w:hyperlink r:id="rId4" w:history="1">
        <w:r w:rsidRPr="00034C58">
          <w:rPr>
            <w:rStyle w:val="Hyperlink"/>
          </w:rPr>
          <w:t>https://www.nao.org.uk/reports/hmrc-customer-service/</w:t>
        </w:r>
      </w:hyperlink>
      <w:r>
        <w:t xml:space="preserve"> </w:t>
      </w:r>
    </w:p>
  </w:footnote>
  <w:footnote w:id="6">
    <w:p w14:paraId="013BE663" w14:textId="77777777" w:rsidR="00985588" w:rsidRDefault="00985588">
      <w:pPr>
        <w:pStyle w:val="FootnoteText"/>
      </w:pPr>
      <w:r>
        <w:rPr>
          <w:rStyle w:val="FootnoteReference"/>
        </w:rPr>
        <w:footnoteRef/>
      </w:r>
      <w:r>
        <w:t xml:space="preserve"> </w:t>
      </w:r>
      <w:hyperlink r:id="rId5" w:history="1">
        <w:r w:rsidRPr="00034C58">
          <w:rPr>
            <w:rStyle w:val="Hyperlink"/>
          </w:rPr>
          <w:t>https://questions-statements.parliament.uk/written-statements/detail/2024-05-13/hcws456</w:t>
        </w:r>
      </w:hyperlink>
      <w:r>
        <w:t xml:space="preserve"> </w:t>
      </w:r>
    </w:p>
  </w:footnote>
  <w:footnote w:id="7">
    <w:p w14:paraId="7202066E" w14:textId="77777777" w:rsidR="00CB3EE2" w:rsidRDefault="00CB3EE2">
      <w:pPr>
        <w:pStyle w:val="FootnoteText"/>
      </w:pPr>
      <w:r>
        <w:rPr>
          <w:rStyle w:val="FootnoteReference"/>
        </w:rPr>
        <w:footnoteRef/>
      </w:r>
      <w:r>
        <w:t xml:space="preserve"> </w:t>
      </w:r>
      <w:hyperlink r:id="rId6" w:history="1">
        <w:r w:rsidRPr="00644654">
          <w:rPr>
            <w:rStyle w:val="Hyperlink"/>
          </w:rPr>
          <w:t>https://www.gov.uk/government/publications/evaluation-of-changes-to-how-hmrc-supports-self-assessment-customers</w:t>
        </w:r>
      </w:hyperlink>
      <w:r>
        <w:t xml:space="preserve"> </w:t>
      </w:r>
    </w:p>
  </w:footnote>
  <w:footnote w:id="8">
    <w:p w14:paraId="52BD9914" w14:textId="77777777" w:rsidR="001750F9" w:rsidRDefault="001750F9">
      <w:pPr>
        <w:pStyle w:val="FootnoteText"/>
      </w:pPr>
      <w:r>
        <w:rPr>
          <w:rStyle w:val="FootnoteReference"/>
        </w:rPr>
        <w:footnoteRef/>
      </w:r>
      <w:r>
        <w:t xml:space="preserve"> </w:t>
      </w:r>
      <w:hyperlink r:id="rId7" w:history="1">
        <w:r w:rsidRPr="00644654">
          <w:rPr>
            <w:rStyle w:val="Hyperlink"/>
          </w:rPr>
          <w:t>https://assets-eu-01.kc-usercontent.com/220a4c02-94bf-019b-9bac-51cdc7bf0d99/71d4b116-9834-4f53-9c8a-b7dec4740d45/230907%20Minimum%20standards%20for%20the%20introduction%20of%20new%20HMRC%20systems%20FINAL.pdf</w:t>
        </w:r>
      </w:hyperlink>
      <w:r>
        <w:t xml:space="preserve"> </w:t>
      </w:r>
    </w:p>
  </w:footnote>
  <w:footnote w:id="9">
    <w:p w14:paraId="4EA68807" w14:textId="77777777" w:rsidR="001750F9" w:rsidRDefault="001750F9">
      <w:pPr>
        <w:pStyle w:val="FootnoteText"/>
      </w:pPr>
      <w:r>
        <w:rPr>
          <w:rStyle w:val="FootnoteReference"/>
        </w:rPr>
        <w:footnoteRef/>
      </w:r>
      <w:r>
        <w:t xml:space="preserve"> </w:t>
      </w:r>
      <w:hyperlink r:id="rId8" w:history="1">
        <w:r w:rsidRPr="00644654">
          <w:rPr>
            <w:rStyle w:val="Hyperlink"/>
          </w:rPr>
          <w:t>https://assets-eu-01.kc-usercontent.com/220a4c02-94bf-019b-9bac-51cdc7bf0d99/db9b401f-c661-45bb-a53d-29e5537a5c8a/230907%20Minimum%20functionality%20needed%20for%20HMRC%20digital%20forms%20FINAL.pdf</w:t>
        </w:r>
      </w:hyperlink>
      <w:r>
        <w:t xml:space="preserve"> </w:t>
      </w:r>
    </w:p>
  </w:footnote>
  <w:footnote w:id="10">
    <w:p w14:paraId="65BD66BB" w14:textId="77777777" w:rsidR="00E175EA" w:rsidRDefault="00E175EA">
      <w:pPr>
        <w:pStyle w:val="FootnoteText"/>
      </w:pPr>
      <w:r>
        <w:rPr>
          <w:rStyle w:val="FootnoteReference"/>
        </w:rPr>
        <w:footnoteRef/>
      </w:r>
      <w:r>
        <w:t xml:space="preserve"> </w:t>
      </w:r>
      <w:hyperlink r:id="rId9" w:history="1">
        <w:r w:rsidRPr="000A59EF">
          <w:rPr>
            <w:rStyle w:val="Hyperlink"/>
          </w:rPr>
          <w:t>https://assets-eu-01.kc-usercontent.com/220a4c02-94bf-019b-9bac-51cdc7bf0d99/e941b7ef-5d79-43c6-9137-348fcb3dce12/240423%20CIOT%20and%20ATT%20principles%20of%20tax%20digitalisaton%20FINAL.pdf</w:t>
        </w:r>
      </w:hyperlink>
      <w:r>
        <w:t xml:space="preserve"> </w:t>
      </w:r>
    </w:p>
  </w:footnote>
  <w:footnote w:id="11">
    <w:p w14:paraId="2E1B0D3E" w14:textId="77777777" w:rsidR="00C57723" w:rsidRDefault="00C57723">
      <w:pPr>
        <w:pStyle w:val="FootnoteText"/>
      </w:pPr>
      <w:r>
        <w:rPr>
          <w:rStyle w:val="FootnoteReference"/>
        </w:rPr>
        <w:footnoteRef/>
      </w:r>
      <w:r>
        <w:t xml:space="preserve"> </w:t>
      </w:r>
      <w:r w:rsidRPr="00C57723">
        <w:t>https://www.gov.uk/hmrc-internal-manuals/compliance-handbook/ch140295</w:t>
      </w:r>
    </w:p>
  </w:footnote>
  <w:footnote w:id="12">
    <w:p w14:paraId="5ED7E048" w14:textId="77777777" w:rsidR="00D26AEA" w:rsidRPr="00D26AEA" w:rsidRDefault="00D26AEA">
      <w:pPr>
        <w:pStyle w:val="FootnoteText"/>
      </w:pPr>
      <w:r>
        <w:rPr>
          <w:rStyle w:val="FootnoteReference"/>
        </w:rPr>
        <w:footnoteRef/>
      </w:r>
      <w:r w:rsidRPr="00D26AEA">
        <w:t xml:space="preserve"> </w:t>
      </w:r>
      <w:hyperlink r:id="rId10" w:history="1">
        <w:r w:rsidRPr="00D26AEA">
          <w:rPr>
            <w:rStyle w:val="Hyperlink"/>
          </w:rPr>
          <w:t>https://committees.parliament.uk/oralevidence/14682/pdf/</w:t>
        </w:r>
      </w:hyperlink>
      <w:r w:rsidRPr="00D26AEA">
        <w:t xml:space="preserve"> Q414 and</w:t>
      </w:r>
      <w:r>
        <w:t xml:space="preserve"> Q430.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05842"/>
    <w:multiLevelType w:val="hybridMultilevel"/>
    <w:tmpl w:val="4C5E3F96"/>
    <w:lvl w:ilvl="0" w:tplc="C4E2C320">
      <w:numFmt w:val="none"/>
      <w:lvlText w:val=""/>
      <w:lvlJc w:val="left"/>
      <w:pPr>
        <w:tabs>
          <w:tab w:val="num" w:pos="360"/>
        </w:tabs>
      </w:pPr>
    </w:lvl>
    <w:lvl w:ilvl="1" w:tplc="3258B93A">
      <w:start w:val="1"/>
      <w:numFmt w:val="lowerLetter"/>
      <w:lvlText w:val="%2."/>
      <w:lvlJc w:val="left"/>
      <w:pPr>
        <w:ind w:left="1080" w:hanging="360"/>
      </w:pPr>
    </w:lvl>
    <w:lvl w:ilvl="2" w:tplc="75E8A5A4">
      <w:start w:val="1"/>
      <w:numFmt w:val="lowerRoman"/>
      <w:lvlText w:val="%3."/>
      <w:lvlJc w:val="right"/>
      <w:pPr>
        <w:ind w:left="1800" w:hanging="180"/>
      </w:pPr>
    </w:lvl>
    <w:lvl w:ilvl="3" w:tplc="07C8CA9C">
      <w:start w:val="1"/>
      <w:numFmt w:val="decimal"/>
      <w:lvlText w:val="%4."/>
      <w:lvlJc w:val="left"/>
      <w:pPr>
        <w:ind w:left="2520" w:hanging="360"/>
      </w:pPr>
    </w:lvl>
    <w:lvl w:ilvl="4" w:tplc="598229FC">
      <w:start w:val="1"/>
      <w:numFmt w:val="lowerLetter"/>
      <w:lvlText w:val="%5."/>
      <w:lvlJc w:val="left"/>
      <w:pPr>
        <w:ind w:left="3240" w:hanging="360"/>
      </w:pPr>
    </w:lvl>
    <w:lvl w:ilvl="5" w:tplc="37C4D688">
      <w:start w:val="1"/>
      <w:numFmt w:val="lowerRoman"/>
      <w:lvlText w:val="%6."/>
      <w:lvlJc w:val="right"/>
      <w:pPr>
        <w:ind w:left="3960" w:hanging="180"/>
      </w:pPr>
    </w:lvl>
    <w:lvl w:ilvl="6" w:tplc="A0A458F8">
      <w:start w:val="1"/>
      <w:numFmt w:val="decimal"/>
      <w:lvlText w:val="%7."/>
      <w:lvlJc w:val="left"/>
      <w:pPr>
        <w:ind w:left="4680" w:hanging="360"/>
      </w:pPr>
    </w:lvl>
    <w:lvl w:ilvl="7" w:tplc="BED4743E">
      <w:start w:val="1"/>
      <w:numFmt w:val="lowerLetter"/>
      <w:lvlText w:val="%8."/>
      <w:lvlJc w:val="left"/>
      <w:pPr>
        <w:ind w:left="5400" w:hanging="360"/>
      </w:pPr>
    </w:lvl>
    <w:lvl w:ilvl="8" w:tplc="045488F4">
      <w:start w:val="1"/>
      <w:numFmt w:val="lowerRoman"/>
      <w:lvlText w:val="%9."/>
      <w:lvlJc w:val="right"/>
      <w:pPr>
        <w:ind w:left="6120" w:hanging="180"/>
      </w:pPr>
    </w:lvl>
  </w:abstractNum>
  <w:abstractNum w:abstractNumId="1" w15:restartNumberingAfterBreak="0">
    <w:nsid w:val="343E8EEC"/>
    <w:multiLevelType w:val="hybridMultilevel"/>
    <w:tmpl w:val="E442409E"/>
    <w:lvl w:ilvl="0" w:tplc="58C2A25A">
      <w:numFmt w:val="none"/>
      <w:lvlText w:val=""/>
      <w:lvlJc w:val="left"/>
      <w:pPr>
        <w:tabs>
          <w:tab w:val="num" w:pos="360"/>
        </w:tabs>
      </w:pPr>
    </w:lvl>
    <w:lvl w:ilvl="1" w:tplc="CA6AEF3C">
      <w:start w:val="1"/>
      <w:numFmt w:val="lowerLetter"/>
      <w:lvlText w:val="%2."/>
      <w:lvlJc w:val="left"/>
      <w:pPr>
        <w:ind w:left="1440" w:hanging="360"/>
      </w:pPr>
    </w:lvl>
    <w:lvl w:ilvl="2" w:tplc="6BB8D308">
      <w:start w:val="1"/>
      <w:numFmt w:val="lowerRoman"/>
      <w:lvlText w:val="%3."/>
      <w:lvlJc w:val="right"/>
      <w:pPr>
        <w:ind w:left="2160" w:hanging="180"/>
      </w:pPr>
    </w:lvl>
    <w:lvl w:ilvl="3" w:tplc="907203CE">
      <w:start w:val="1"/>
      <w:numFmt w:val="decimal"/>
      <w:lvlText w:val="%4."/>
      <w:lvlJc w:val="left"/>
      <w:pPr>
        <w:ind w:left="2880" w:hanging="360"/>
      </w:pPr>
    </w:lvl>
    <w:lvl w:ilvl="4" w:tplc="2E26C462">
      <w:start w:val="1"/>
      <w:numFmt w:val="lowerLetter"/>
      <w:lvlText w:val="%5."/>
      <w:lvlJc w:val="left"/>
      <w:pPr>
        <w:ind w:left="3600" w:hanging="360"/>
      </w:pPr>
    </w:lvl>
    <w:lvl w:ilvl="5" w:tplc="731ED552">
      <w:start w:val="1"/>
      <w:numFmt w:val="lowerRoman"/>
      <w:lvlText w:val="%6."/>
      <w:lvlJc w:val="right"/>
      <w:pPr>
        <w:ind w:left="4320" w:hanging="180"/>
      </w:pPr>
    </w:lvl>
    <w:lvl w:ilvl="6" w:tplc="211C9DF2">
      <w:start w:val="1"/>
      <w:numFmt w:val="decimal"/>
      <w:lvlText w:val="%7."/>
      <w:lvlJc w:val="left"/>
      <w:pPr>
        <w:ind w:left="5040" w:hanging="360"/>
      </w:pPr>
    </w:lvl>
    <w:lvl w:ilvl="7" w:tplc="B560925A">
      <w:start w:val="1"/>
      <w:numFmt w:val="lowerLetter"/>
      <w:lvlText w:val="%8."/>
      <w:lvlJc w:val="left"/>
      <w:pPr>
        <w:ind w:left="5760" w:hanging="360"/>
      </w:pPr>
    </w:lvl>
    <w:lvl w:ilvl="8" w:tplc="22BC0266">
      <w:start w:val="1"/>
      <w:numFmt w:val="lowerRoman"/>
      <w:lvlText w:val="%9."/>
      <w:lvlJc w:val="right"/>
      <w:pPr>
        <w:ind w:left="6480" w:hanging="180"/>
      </w:pPr>
    </w:lvl>
  </w:abstractNum>
  <w:abstractNum w:abstractNumId="2" w15:restartNumberingAfterBreak="0">
    <w:nsid w:val="39471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857462"/>
    <w:multiLevelType w:val="multilevel"/>
    <w:tmpl w:val="97146F1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C9A26B2"/>
    <w:multiLevelType w:val="hybridMultilevel"/>
    <w:tmpl w:val="D4F4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65DC9"/>
    <w:multiLevelType w:val="hybridMultilevel"/>
    <w:tmpl w:val="B6C2DE5C"/>
    <w:lvl w:ilvl="0" w:tplc="FFBA187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24A15"/>
    <w:multiLevelType w:val="multilevel"/>
    <w:tmpl w:val="8CFAC602"/>
    <w:lvl w:ilvl="0">
      <w:start w:val="1"/>
      <w:numFmt w:val="decimal"/>
      <w:lvlText w:val="%1."/>
      <w:lvlJc w:val="left"/>
      <w:pPr>
        <w:ind w:left="680" w:hanging="680"/>
      </w:pPr>
      <w:rPr>
        <w:rFonts w:hint="default"/>
        <w:b/>
        <w:bCs/>
      </w:rPr>
    </w:lvl>
    <w:lvl w:ilvl="1">
      <w:start w:val="1"/>
      <w:numFmt w:val="decimal"/>
      <w:lvlText w:val="%1.%2."/>
      <w:lvlJc w:val="left"/>
      <w:pPr>
        <w:ind w:left="680" w:hanging="680"/>
      </w:pPr>
      <w:rPr>
        <w:rFonts w:hint="default"/>
        <w:i w:val="0"/>
        <w:i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29714A"/>
    <w:multiLevelType w:val="hybridMultilevel"/>
    <w:tmpl w:val="CED42BAA"/>
    <w:lvl w:ilvl="0" w:tplc="857C4A0C">
      <w:start w:val="1"/>
      <w:numFmt w:val="bullet"/>
      <w:lvlText w:val=""/>
      <w:lvlJc w:val="left"/>
      <w:pPr>
        <w:ind w:left="1020" w:hanging="360"/>
      </w:pPr>
      <w:rPr>
        <w:rFonts w:ascii="Symbol" w:hAnsi="Symbol"/>
      </w:rPr>
    </w:lvl>
    <w:lvl w:ilvl="1" w:tplc="0E5AFE56">
      <w:start w:val="1"/>
      <w:numFmt w:val="bullet"/>
      <w:lvlText w:val=""/>
      <w:lvlJc w:val="left"/>
      <w:pPr>
        <w:ind w:left="1020" w:hanging="360"/>
      </w:pPr>
      <w:rPr>
        <w:rFonts w:ascii="Symbol" w:hAnsi="Symbol"/>
      </w:rPr>
    </w:lvl>
    <w:lvl w:ilvl="2" w:tplc="D2246E12">
      <w:start w:val="1"/>
      <w:numFmt w:val="bullet"/>
      <w:lvlText w:val=""/>
      <w:lvlJc w:val="left"/>
      <w:pPr>
        <w:ind w:left="1020" w:hanging="360"/>
      </w:pPr>
      <w:rPr>
        <w:rFonts w:ascii="Symbol" w:hAnsi="Symbol"/>
      </w:rPr>
    </w:lvl>
    <w:lvl w:ilvl="3" w:tplc="48CC3042">
      <w:start w:val="1"/>
      <w:numFmt w:val="bullet"/>
      <w:lvlText w:val=""/>
      <w:lvlJc w:val="left"/>
      <w:pPr>
        <w:ind w:left="1020" w:hanging="360"/>
      </w:pPr>
      <w:rPr>
        <w:rFonts w:ascii="Symbol" w:hAnsi="Symbol"/>
      </w:rPr>
    </w:lvl>
    <w:lvl w:ilvl="4" w:tplc="AE56B5F4">
      <w:start w:val="1"/>
      <w:numFmt w:val="bullet"/>
      <w:lvlText w:val=""/>
      <w:lvlJc w:val="left"/>
      <w:pPr>
        <w:ind w:left="1020" w:hanging="360"/>
      </w:pPr>
      <w:rPr>
        <w:rFonts w:ascii="Symbol" w:hAnsi="Symbol"/>
      </w:rPr>
    </w:lvl>
    <w:lvl w:ilvl="5" w:tplc="C7D2422E">
      <w:start w:val="1"/>
      <w:numFmt w:val="bullet"/>
      <w:lvlText w:val=""/>
      <w:lvlJc w:val="left"/>
      <w:pPr>
        <w:ind w:left="1020" w:hanging="360"/>
      </w:pPr>
      <w:rPr>
        <w:rFonts w:ascii="Symbol" w:hAnsi="Symbol"/>
      </w:rPr>
    </w:lvl>
    <w:lvl w:ilvl="6" w:tplc="60840922">
      <w:start w:val="1"/>
      <w:numFmt w:val="bullet"/>
      <w:lvlText w:val=""/>
      <w:lvlJc w:val="left"/>
      <w:pPr>
        <w:ind w:left="1020" w:hanging="360"/>
      </w:pPr>
      <w:rPr>
        <w:rFonts w:ascii="Symbol" w:hAnsi="Symbol"/>
      </w:rPr>
    </w:lvl>
    <w:lvl w:ilvl="7" w:tplc="9CFA9340">
      <w:start w:val="1"/>
      <w:numFmt w:val="bullet"/>
      <w:lvlText w:val=""/>
      <w:lvlJc w:val="left"/>
      <w:pPr>
        <w:ind w:left="1020" w:hanging="360"/>
      </w:pPr>
      <w:rPr>
        <w:rFonts w:ascii="Symbol" w:hAnsi="Symbol"/>
      </w:rPr>
    </w:lvl>
    <w:lvl w:ilvl="8" w:tplc="A29E11FC">
      <w:start w:val="1"/>
      <w:numFmt w:val="bullet"/>
      <w:lvlText w:val=""/>
      <w:lvlJc w:val="left"/>
      <w:pPr>
        <w:ind w:left="1020" w:hanging="360"/>
      </w:pPr>
      <w:rPr>
        <w:rFonts w:ascii="Symbol" w:hAnsi="Symbol"/>
      </w:rPr>
    </w:lvl>
  </w:abstractNum>
  <w:abstractNum w:abstractNumId="8" w15:restartNumberingAfterBreak="0">
    <w:nsid w:val="5EB80A9D"/>
    <w:multiLevelType w:val="hybridMultilevel"/>
    <w:tmpl w:val="670E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17017"/>
    <w:multiLevelType w:val="hybridMultilevel"/>
    <w:tmpl w:val="DEA033B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16cid:durableId="716783764">
    <w:abstractNumId w:val="1"/>
  </w:num>
  <w:num w:numId="2" w16cid:durableId="1011103149">
    <w:abstractNumId w:val="0"/>
  </w:num>
  <w:num w:numId="3" w16cid:durableId="191114156">
    <w:abstractNumId w:val="3"/>
  </w:num>
  <w:num w:numId="4" w16cid:durableId="1734893388">
    <w:abstractNumId w:val="4"/>
  </w:num>
  <w:num w:numId="5" w16cid:durableId="1822766171">
    <w:abstractNumId w:val="2"/>
  </w:num>
  <w:num w:numId="6" w16cid:durableId="1417555499">
    <w:abstractNumId w:val="6"/>
  </w:num>
  <w:num w:numId="7" w16cid:durableId="486552891">
    <w:abstractNumId w:val="9"/>
  </w:num>
  <w:num w:numId="8" w16cid:durableId="267852863">
    <w:abstractNumId w:val="8"/>
  </w:num>
  <w:num w:numId="9" w16cid:durableId="2000766494">
    <w:abstractNumId w:val="5"/>
  </w:num>
  <w:num w:numId="10" w16cid:durableId="896553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B6"/>
    <w:rsid w:val="0000302F"/>
    <w:rsid w:val="0002112D"/>
    <w:rsid w:val="00022989"/>
    <w:rsid w:val="00025004"/>
    <w:rsid w:val="00076570"/>
    <w:rsid w:val="00077BF5"/>
    <w:rsid w:val="00080D1B"/>
    <w:rsid w:val="00084825"/>
    <w:rsid w:val="00092D85"/>
    <w:rsid w:val="000B0F80"/>
    <w:rsid w:val="000E1AA3"/>
    <w:rsid w:val="000E685C"/>
    <w:rsid w:val="000F0147"/>
    <w:rsid w:val="000F0D10"/>
    <w:rsid w:val="000F4302"/>
    <w:rsid w:val="001121BD"/>
    <w:rsid w:val="00113A5A"/>
    <w:rsid w:val="0011517B"/>
    <w:rsid w:val="0014519D"/>
    <w:rsid w:val="00150C24"/>
    <w:rsid w:val="001516B6"/>
    <w:rsid w:val="001545B6"/>
    <w:rsid w:val="00160DE6"/>
    <w:rsid w:val="001750F9"/>
    <w:rsid w:val="001845F3"/>
    <w:rsid w:val="001944B2"/>
    <w:rsid w:val="001A6A66"/>
    <w:rsid w:val="001C0551"/>
    <w:rsid w:val="001F037D"/>
    <w:rsid w:val="001F2F6B"/>
    <w:rsid w:val="001F751B"/>
    <w:rsid w:val="00201B4D"/>
    <w:rsid w:val="00213777"/>
    <w:rsid w:val="00213807"/>
    <w:rsid w:val="00237734"/>
    <w:rsid w:val="00241ED9"/>
    <w:rsid w:val="00250007"/>
    <w:rsid w:val="00254033"/>
    <w:rsid w:val="00275417"/>
    <w:rsid w:val="0028538B"/>
    <w:rsid w:val="002927EE"/>
    <w:rsid w:val="002B4A40"/>
    <w:rsid w:val="002D0FFB"/>
    <w:rsid w:val="002D7182"/>
    <w:rsid w:val="002E1AB7"/>
    <w:rsid w:val="002E3684"/>
    <w:rsid w:val="002F7B31"/>
    <w:rsid w:val="0031120C"/>
    <w:rsid w:val="00311F58"/>
    <w:rsid w:val="003344E4"/>
    <w:rsid w:val="00335AE2"/>
    <w:rsid w:val="0033664B"/>
    <w:rsid w:val="00336DF8"/>
    <w:rsid w:val="0035718F"/>
    <w:rsid w:val="003710BA"/>
    <w:rsid w:val="00395E14"/>
    <w:rsid w:val="003A6B48"/>
    <w:rsid w:val="003B009F"/>
    <w:rsid w:val="003B16C3"/>
    <w:rsid w:val="003B70F6"/>
    <w:rsid w:val="003D351B"/>
    <w:rsid w:val="003D4509"/>
    <w:rsid w:val="003D79A0"/>
    <w:rsid w:val="003E493B"/>
    <w:rsid w:val="003E764E"/>
    <w:rsid w:val="00405DCD"/>
    <w:rsid w:val="004073BC"/>
    <w:rsid w:val="00433616"/>
    <w:rsid w:val="00437D4C"/>
    <w:rsid w:val="00451107"/>
    <w:rsid w:val="004725BA"/>
    <w:rsid w:val="00473286"/>
    <w:rsid w:val="00486976"/>
    <w:rsid w:val="004B79A9"/>
    <w:rsid w:val="004C247C"/>
    <w:rsid w:val="004C3841"/>
    <w:rsid w:val="004D20A5"/>
    <w:rsid w:val="004F1348"/>
    <w:rsid w:val="00505299"/>
    <w:rsid w:val="00524D34"/>
    <w:rsid w:val="00530CD2"/>
    <w:rsid w:val="00540C21"/>
    <w:rsid w:val="005560BE"/>
    <w:rsid w:val="00561B05"/>
    <w:rsid w:val="0057017D"/>
    <w:rsid w:val="005A5DA0"/>
    <w:rsid w:val="005C1068"/>
    <w:rsid w:val="005D0389"/>
    <w:rsid w:val="005D0AB8"/>
    <w:rsid w:val="005D55AD"/>
    <w:rsid w:val="005E3E72"/>
    <w:rsid w:val="005E4743"/>
    <w:rsid w:val="006319F2"/>
    <w:rsid w:val="00633D47"/>
    <w:rsid w:val="0063751D"/>
    <w:rsid w:val="0065185F"/>
    <w:rsid w:val="006674E2"/>
    <w:rsid w:val="00673650"/>
    <w:rsid w:val="006A07E5"/>
    <w:rsid w:val="006A4DD0"/>
    <w:rsid w:val="006B165E"/>
    <w:rsid w:val="006B7C5E"/>
    <w:rsid w:val="006C0F00"/>
    <w:rsid w:val="006C4DFB"/>
    <w:rsid w:val="006E188A"/>
    <w:rsid w:val="006F6979"/>
    <w:rsid w:val="00704B71"/>
    <w:rsid w:val="00733800"/>
    <w:rsid w:val="00765C75"/>
    <w:rsid w:val="0077073E"/>
    <w:rsid w:val="0078122A"/>
    <w:rsid w:val="0078136F"/>
    <w:rsid w:val="00785DF3"/>
    <w:rsid w:val="00794D7B"/>
    <w:rsid w:val="007B5737"/>
    <w:rsid w:val="007C0713"/>
    <w:rsid w:val="007E4A35"/>
    <w:rsid w:val="007E7876"/>
    <w:rsid w:val="007F280F"/>
    <w:rsid w:val="007F34AA"/>
    <w:rsid w:val="00815A80"/>
    <w:rsid w:val="0082296C"/>
    <w:rsid w:val="00830875"/>
    <w:rsid w:val="0083449B"/>
    <w:rsid w:val="00855BCE"/>
    <w:rsid w:val="008578D4"/>
    <w:rsid w:val="008753E1"/>
    <w:rsid w:val="008A5DC4"/>
    <w:rsid w:val="008A7A39"/>
    <w:rsid w:val="008C058E"/>
    <w:rsid w:val="008C25F2"/>
    <w:rsid w:val="008C3CCB"/>
    <w:rsid w:val="008D2790"/>
    <w:rsid w:val="008E2F5F"/>
    <w:rsid w:val="008F50B6"/>
    <w:rsid w:val="009132E4"/>
    <w:rsid w:val="009237C8"/>
    <w:rsid w:val="00925BC0"/>
    <w:rsid w:val="009275D3"/>
    <w:rsid w:val="009613DD"/>
    <w:rsid w:val="009746B6"/>
    <w:rsid w:val="00985588"/>
    <w:rsid w:val="00986BB6"/>
    <w:rsid w:val="00990873"/>
    <w:rsid w:val="00995D0F"/>
    <w:rsid w:val="009A33E9"/>
    <w:rsid w:val="009B11E6"/>
    <w:rsid w:val="009E22F8"/>
    <w:rsid w:val="009E251D"/>
    <w:rsid w:val="009E5B75"/>
    <w:rsid w:val="009E6984"/>
    <w:rsid w:val="009F0DE5"/>
    <w:rsid w:val="00A2505D"/>
    <w:rsid w:val="00A3676B"/>
    <w:rsid w:val="00A474D0"/>
    <w:rsid w:val="00A70EE3"/>
    <w:rsid w:val="00AA08C2"/>
    <w:rsid w:val="00AB2723"/>
    <w:rsid w:val="00AB39D8"/>
    <w:rsid w:val="00AC2675"/>
    <w:rsid w:val="00AF3A32"/>
    <w:rsid w:val="00B023F8"/>
    <w:rsid w:val="00B237EC"/>
    <w:rsid w:val="00B33F08"/>
    <w:rsid w:val="00B34E19"/>
    <w:rsid w:val="00B37132"/>
    <w:rsid w:val="00B520EB"/>
    <w:rsid w:val="00B524CB"/>
    <w:rsid w:val="00B7557D"/>
    <w:rsid w:val="00B758FB"/>
    <w:rsid w:val="00B93DB8"/>
    <w:rsid w:val="00BC4F86"/>
    <w:rsid w:val="00BC6A09"/>
    <w:rsid w:val="00BE2DDA"/>
    <w:rsid w:val="00BE5F2F"/>
    <w:rsid w:val="00C3104A"/>
    <w:rsid w:val="00C3385C"/>
    <w:rsid w:val="00C37086"/>
    <w:rsid w:val="00C516EA"/>
    <w:rsid w:val="00C51D4C"/>
    <w:rsid w:val="00C521E8"/>
    <w:rsid w:val="00C57723"/>
    <w:rsid w:val="00C64AA4"/>
    <w:rsid w:val="00C73A4A"/>
    <w:rsid w:val="00C94FFA"/>
    <w:rsid w:val="00CA2490"/>
    <w:rsid w:val="00CA44C3"/>
    <w:rsid w:val="00CB3EE2"/>
    <w:rsid w:val="00CC3AE0"/>
    <w:rsid w:val="00CF08BD"/>
    <w:rsid w:val="00D04DCE"/>
    <w:rsid w:val="00D15B04"/>
    <w:rsid w:val="00D207E5"/>
    <w:rsid w:val="00D21042"/>
    <w:rsid w:val="00D26AEA"/>
    <w:rsid w:val="00D36070"/>
    <w:rsid w:val="00D3689F"/>
    <w:rsid w:val="00D522CD"/>
    <w:rsid w:val="00D57301"/>
    <w:rsid w:val="00D82B50"/>
    <w:rsid w:val="00D84297"/>
    <w:rsid w:val="00D849C0"/>
    <w:rsid w:val="00D94FB7"/>
    <w:rsid w:val="00DA28C8"/>
    <w:rsid w:val="00DA552D"/>
    <w:rsid w:val="00DA6756"/>
    <w:rsid w:val="00DD5989"/>
    <w:rsid w:val="00DD5A78"/>
    <w:rsid w:val="00DF429B"/>
    <w:rsid w:val="00E00384"/>
    <w:rsid w:val="00E175EA"/>
    <w:rsid w:val="00E17C66"/>
    <w:rsid w:val="00E20EA4"/>
    <w:rsid w:val="00E23C7E"/>
    <w:rsid w:val="00E43CC4"/>
    <w:rsid w:val="00E745BE"/>
    <w:rsid w:val="00E85A0B"/>
    <w:rsid w:val="00E91067"/>
    <w:rsid w:val="00EA476B"/>
    <w:rsid w:val="00EC540D"/>
    <w:rsid w:val="00EC5608"/>
    <w:rsid w:val="00ED0932"/>
    <w:rsid w:val="00F04DC4"/>
    <w:rsid w:val="00F22872"/>
    <w:rsid w:val="00F252EA"/>
    <w:rsid w:val="00F326BC"/>
    <w:rsid w:val="00F378EC"/>
    <w:rsid w:val="00F50288"/>
    <w:rsid w:val="00F541F8"/>
    <w:rsid w:val="00F67FCA"/>
    <w:rsid w:val="00FE29D8"/>
    <w:rsid w:val="0A756F8A"/>
    <w:rsid w:val="12675912"/>
    <w:rsid w:val="4FC2C226"/>
    <w:rsid w:val="5ED3E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FA586"/>
  <w15:docId w15:val="{E3229790-F1E7-44F4-AEBD-9CDC5D3D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9B"/>
    <w:pPr>
      <w:spacing w:after="200" w:line="276" w:lineRule="auto"/>
    </w:pPr>
    <w:rPr>
      <w:sz w:val="22"/>
      <w:szCs w:val="22"/>
      <w:lang w:eastAsia="en-US"/>
    </w:rPr>
  </w:style>
  <w:style w:type="paragraph" w:styleId="Heading1">
    <w:name w:val="heading 1"/>
    <w:basedOn w:val="Normal"/>
    <w:next w:val="Normal"/>
    <w:link w:val="Heading1Char"/>
    <w:uiPriority w:val="9"/>
    <w:qFormat/>
    <w:rsid w:val="00D84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849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67FCA"/>
    <w:pPr>
      <w:spacing w:after="0" w:line="240" w:lineRule="auto"/>
      <w:outlineLvl w:val="2"/>
    </w:pPr>
    <w:rPr>
      <w:rFonts w:ascii="Arial" w:eastAsia="Times New Roman" w:hAnsi="Arial" w:cs="Arial"/>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70"/>
  </w:style>
  <w:style w:type="paragraph" w:styleId="Footer">
    <w:name w:val="footer"/>
    <w:basedOn w:val="Normal"/>
    <w:link w:val="FooterChar"/>
    <w:uiPriority w:val="99"/>
    <w:unhideWhenUsed/>
    <w:rsid w:val="00076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70"/>
  </w:style>
  <w:style w:type="paragraph" w:styleId="BalloonText">
    <w:name w:val="Balloon Text"/>
    <w:basedOn w:val="Normal"/>
    <w:link w:val="BalloonTextChar"/>
    <w:uiPriority w:val="99"/>
    <w:semiHidden/>
    <w:unhideWhenUsed/>
    <w:rsid w:val="0007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70"/>
    <w:rPr>
      <w:rFonts w:ascii="Tahoma" w:hAnsi="Tahoma" w:cs="Tahoma"/>
      <w:sz w:val="16"/>
      <w:szCs w:val="16"/>
    </w:rPr>
  </w:style>
  <w:style w:type="character" w:styleId="Hyperlink">
    <w:name w:val="Hyperlink"/>
    <w:basedOn w:val="DefaultParagraphFont"/>
    <w:uiPriority w:val="99"/>
    <w:unhideWhenUsed/>
    <w:rsid w:val="00AF3A32"/>
    <w:rPr>
      <w:color w:val="0000FF" w:themeColor="hyperlink"/>
      <w:u w:val="single"/>
    </w:rPr>
  </w:style>
  <w:style w:type="paragraph" w:styleId="NoSpacing">
    <w:name w:val="No Spacing"/>
    <w:uiPriority w:val="1"/>
    <w:qFormat/>
    <w:rsid w:val="00AF3A32"/>
    <w:rPr>
      <w:sz w:val="22"/>
      <w:szCs w:val="22"/>
      <w:lang w:eastAsia="en-US"/>
    </w:rPr>
  </w:style>
  <w:style w:type="character" w:customStyle="1" w:styleId="Heading3Char">
    <w:name w:val="Heading 3 Char"/>
    <w:basedOn w:val="DefaultParagraphFont"/>
    <w:link w:val="Heading3"/>
    <w:rsid w:val="00F67FCA"/>
    <w:rPr>
      <w:rFonts w:ascii="Arial" w:eastAsia="Times New Roman" w:hAnsi="Arial" w:cs="Arial"/>
      <w:i/>
      <w:szCs w:val="24"/>
      <w:lang w:eastAsia="en-US"/>
    </w:rPr>
  </w:style>
  <w:style w:type="table" w:styleId="TableGrid">
    <w:name w:val="Table Grid"/>
    <w:basedOn w:val="TableNormal"/>
    <w:rsid w:val="00F67F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67FCA"/>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F67FCA"/>
    <w:rPr>
      <w:rFonts w:ascii="Arial" w:eastAsia="Times New Roman" w:hAnsi="Arial" w:cs="Arial"/>
      <w:color w:val="000000"/>
      <w:sz w:val="24"/>
      <w:szCs w:val="24"/>
    </w:rPr>
  </w:style>
  <w:style w:type="paragraph" w:customStyle="1" w:styleId="Hyper">
    <w:name w:val="Hyper"/>
    <w:basedOn w:val="Normal"/>
    <w:qFormat/>
    <w:rsid w:val="00F67FCA"/>
    <w:pPr>
      <w:spacing w:after="0" w:line="240" w:lineRule="auto"/>
    </w:pPr>
    <w:rPr>
      <w:rFonts w:ascii="Arial" w:eastAsia="Times New Roman" w:hAnsi="Arial" w:cs="Arial"/>
      <w:color w:val="0000FF"/>
    </w:rPr>
  </w:style>
  <w:style w:type="character" w:customStyle="1" w:styleId="Heading1Char">
    <w:name w:val="Heading 1 Char"/>
    <w:basedOn w:val="DefaultParagraphFont"/>
    <w:link w:val="Heading1"/>
    <w:uiPriority w:val="9"/>
    <w:rsid w:val="00D849C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D849C0"/>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0E685C"/>
    <w:rPr>
      <w:sz w:val="16"/>
      <w:szCs w:val="16"/>
    </w:rPr>
  </w:style>
  <w:style w:type="paragraph" w:styleId="CommentText">
    <w:name w:val="annotation text"/>
    <w:basedOn w:val="Normal"/>
    <w:link w:val="CommentTextChar"/>
    <w:uiPriority w:val="99"/>
    <w:unhideWhenUsed/>
    <w:rsid w:val="000E685C"/>
    <w:pPr>
      <w:spacing w:line="240" w:lineRule="auto"/>
    </w:pPr>
    <w:rPr>
      <w:sz w:val="20"/>
      <w:szCs w:val="20"/>
    </w:rPr>
  </w:style>
  <w:style w:type="character" w:customStyle="1" w:styleId="CommentTextChar">
    <w:name w:val="Comment Text Char"/>
    <w:basedOn w:val="DefaultParagraphFont"/>
    <w:link w:val="CommentText"/>
    <w:uiPriority w:val="99"/>
    <w:rsid w:val="000E685C"/>
    <w:rPr>
      <w:lang w:eastAsia="en-US"/>
    </w:rPr>
  </w:style>
  <w:style w:type="paragraph" w:styleId="CommentSubject">
    <w:name w:val="annotation subject"/>
    <w:basedOn w:val="CommentText"/>
    <w:next w:val="CommentText"/>
    <w:link w:val="CommentSubjectChar"/>
    <w:uiPriority w:val="99"/>
    <w:semiHidden/>
    <w:unhideWhenUsed/>
    <w:rsid w:val="000E685C"/>
    <w:rPr>
      <w:b/>
      <w:bCs/>
    </w:rPr>
  </w:style>
  <w:style w:type="character" w:customStyle="1" w:styleId="CommentSubjectChar">
    <w:name w:val="Comment Subject Char"/>
    <w:basedOn w:val="CommentTextChar"/>
    <w:link w:val="CommentSubject"/>
    <w:uiPriority w:val="99"/>
    <w:semiHidden/>
    <w:rsid w:val="000E685C"/>
    <w:rPr>
      <w:b/>
      <w:bCs/>
      <w:lang w:eastAsia="en-US"/>
    </w:rPr>
  </w:style>
  <w:style w:type="paragraph" w:styleId="ListParagraph">
    <w:name w:val="List Paragraph"/>
    <w:basedOn w:val="Normal"/>
    <w:uiPriority w:val="34"/>
    <w:qFormat/>
    <w:rsid w:val="003E764E"/>
    <w:pPr>
      <w:ind w:left="720"/>
      <w:contextualSpacing/>
    </w:pPr>
  </w:style>
  <w:style w:type="character" w:styleId="UnresolvedMention">
    <w:name w:val="Unresolved Mention"/>
    <w:basedOn w:val="DefaultParagraphFont"/>
    <w:uiPriority w:val="99"/>
    <w:semiHidden/>
    <w:unhideWhenUsed/>
    <w:rsid w:val="00B524CB"/>
    <w:rPr>
      <w:color w:val="605E5C"/>
      <w:shd w:val="clear" w:color="auto" w:fill="E1DFDD"/>
    </w:rPr>
  </w:style>
  <w:style w:type="paragraph" w:styleId="FootnoteText">
    <w:name w:val="footnote text"/>
    <w:basedOn w:val="Normal"/>
    <w:link w:val="FootnoteTextChar"/>
    <w:uiPriority w:val="99"/>
    <w:semiHidden/>
    <w:unhideWhenUsed/>
    <w:rsid w:val="00113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A5A"/>
    <w:rPr>
      <w:lang w:eastAsia="en-US"/>
    </w:rPr>
  </w:style>
  <w:style w:type="character" w:styleId="FootnoteReference">
    <w:name w:val="footnote reference"/>
    <w:basedOn w:val="DefaultParagraphFont"/>
    <w:uiPriority w:val="99"/>
    <w:semiHidden/>
    <w:unhideWhenUsed/>
    <w:rsid w:val="00113A5A"/>
    <w:rPr>
      <w:vertAlign w:val="superscript"/>
    </w:rPr>
  </w:style>
  <w:style w:type="character" w:styleId="FollowedHyperlink">
    <w:name w:val="FollowedHyperlink"/>
    <w:basedOn w:val="DefaultParagraphFont"/>
    <w:uiPriority w:val="99"/>
    <w:semiHidden/>
    <w:unhideWhenUsed/>
    <w:rsid w:val="00E175EA"/>
    <w:rPr>
      <w:color w:val="800080" w:themeColor="followedHyperlink"/>
      <w:u w:val="single"/>
    </w:rPr>
  </w:style>
  <w:style w:type="character" w:customStyle="1" w:styleId="cf01">
    <w:name w:val="cf01"/>
    <w:basedOn w:val="DefaultParagraphFont"/>
    <w:rsid w:val="00E175EA"/>
    <w:rPr>
      <w:rFonts w:ascii="Segoe UI" w:hAnsi="Segoe UI" w:cs="Segoe UI" w:hint="default"/>
      <w:sz w:val="18"/>
      <w:szCs w:val="18"/>
    </w:rPr>
  </w:style>
  <w:style w:type="paragraph" w:styleId="Revision">
    <w:name w:val="Revision"/>
    <w:hidden/>
    <w:uiPriority w:val="99"/>
    <w:semiHidden/>
    <w:rsid w:val="002D0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95006">
      <w:bodyDiv w:val="1"/>
      <w:marLeft w:val="0"/>
      <w:marRight w:val="0"/>
      <w:marTop w:val="0"/>
      <w:marBottom w:val="0"/>
      <w:divBdr>
        <w:top w:val="none" w:sz="0" w:space="0" w:color="auto"/>
        <w:left w:val="none" w:sz="0" w:space="0" w:color="auto"/>
        <w:bottom w:val="none" w:sz="0" w:space="0" w:color="auto"/>
        <w:right w:val="none" w:sz="0" w:space="0" w:color="auto"/>
      </w:divBdr>
    </w:div>
    <w:div w:id="999238508">
      <w:bodyDiv w:val="1"/>
      <w:marLeft w:val="0"/>
      <w:marRight w:val="0"/>
      <w:marTop w:val="0"/>
      <w:marBottom w:val="0"/>
      <w:divBdr>
        <w:top w:val="none" w:sz="0" w:space="0" w:color="auto"/>
        <w:left w:val="none" w:sz="0" w:space="0" w:color="auto"/>
        <w:bottom w:val="none" w:sz="0" w:space="0" w:color="auto"/>
        <w:right w:val="none" w:sz="0" w:space="0" w:color="auto"/>
      </w:divBdr>
    </w:div>
    <w:div w:id="1171338372">
      <w:bodyDiv w:val="1"/>
      <w:marLeft w:val="0"/>
      <w:marRight w:val="0"/>
      <w:marTop w:val="0"/>
      <w:marBottom w:val="0"/>
      <w:divBdr>
        <w:top w:val="none" w:sz="0" w:space="0" w:color="auto"/>
        <w:left w:val="none" w:sz="0" w:space="0" w:color="auto"/>
        <w:bottom w:val="none" w:sz="0" w:space="0" w:color="auto"/>
        <w:right w:val="none" w:sz="0" w:space="0" w:color="auto"/>
      </w:divBdr>
    </w:div>
    <w:div w:id="1333992306">
      <w:bodyDiv w:val="1"/>
      <w:marLeft w:val="0"/>
      <w:marRight w:val="0"/>
      <w:marTop w:val="0"/>
      <w:marBottom w:val="0"/>
      <w:divBdr>
        <w:top w:val="none" w:sz="0" w:space="0" w:color="auto"/>
        <w:left w:val="none" w:sz="0" w:space="0" w:color="auto"/>
        <w:bottom w:val="none" w:sz="0" w:space="0" w:color="auto"/>
        <w:right w:val="none" w:sz="0" w:space="0" w:color="auto"/>
      </w:divBdr>
    </w:div>
    <w:div w:id="1617249705">
      <w:bodyDiv w:val="1"/>
      <w:marLeft w:val="0"/>
      <w:marRight w:val="0"/>
      <w:marTop w:val="0"/>
      <w:marBottom w:val="0"/>
      <w:divBdr>
        <w:top w:val="none" w:sz="0" w:space="0" w:color="auto"/>
        <w:left w:val="none" w:sz="0" w:space="0" w:color="auto"/>
        <w:bottom w:val="none" w:sz="0" w:space="0" w:color="auto"/>
        <w:right w:val="none" w:sz="0" w:space="0" w:color="auto"/>
      </w:divBdr>
    </w:div>
    <w:div w:id="16203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assets-eu-01.kc-usercontent.com/220a4c02-94bf-019b-9bac-51cdc7bf0d99/db9b401f-c661-45bb-a53d-29e5537a5c8a/230907%20Minimum%20functionality%20needed%20for%20HMRC%20digital%20forms%20FINAL.pdf" TargetMode="External"/><Relationship Id="rId3" Type="http://schemas.openxmlformats.org/officeDocument/2006/relationships/hyperlink" Target="https://committees.parliament.uk/event/21373/formal-meeting-oral-evidence-session/" TargetMode="External"/><Relationship Id="rId7" Type="http://schemas.openxmlformats.org/officeDocument/2006/relationships/hyperlink" Target="https://assets-eu-01.kc-usercontent.com/220a4c02-94bf-019b-9bac-51cdc7bf0d99/71d4b116-9834-4f53-9c8a-b7dec4740d45/230907%20Minimum%20standards%20for%20the%20introduction%20of%20new%20HMRC%20systems%20FINAL.pdf" TargetMode="External"/><Relationship Id="rId2" Type="http://schemas.openxmlformats.org/officeDocument/2006/relationships/hyperlink" Target="https://www.gov.uk/government/publications/hmrc-charter-annual-report-2022-to-2023/hmrc-charter-annual-report-2022-to-2023" TargetMode="External"/><Relationship Id="rId1" Type="http://schemas.openxmlformats.org/officeDocument/2006/relationships/hyperlink" Target="https://committees.parliament.uk/writtenevidence/125780/pdf/" TargetMode="External"/><Relationship Id="rId6" Type="http://schemas.openxmlformats.org/officeDocument/2006/relationships/hyperlink" Target="https://www.gov.uk/government/publications/evaluation-of-changes-to-how-hmrc-supports-self-assessment-customers" TargetMode="External"/><Relationship Id="rId5" Type="http://schemas.openxmlformats.org/officeDocument/2006/relationships/hyperlink" Target="https://questions-statements.parliament.uk/written-statements/detail/2024-05-13/hcws456" TargetMode="External"/><Relationship Id="rId10" Type="http://schemas.openxmlformats.org/officeDocument/2006/relationships/hyperlink" Target="https://committees.parliament.uk/oralevidence/14682/pdf/" TargetMode="External"/><Relationship Id="rId4" Type="http://schemas.openxmlformats.org/officeDocument/2006/relationships/hyperlink" Target="https://www.nao.org.uk/reports/hmrc-customer-service/" TargetMode="External"/><Relationship Id="rId9" Type="http://schemas.openxmlformats.org/officeDocument/2006/relationships/hyperlink" Target="https://assets-eu-01.kc-usercontent.com/220a4c02-94bf-019b-9bac-51cdc7bf0d99/e941b7ef-5d79-43c6-9137-348fcb3dce12/240423%20CIOT%20and%20ATT%20principles%20of%20tax%20digitalisaton%20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ild\OneDrive%20-%20Chartered%20Institute%20of%20Taxation\Richard%20Wild\Technical%20Committee\240520%20PAC%20inquiry%20in%20HMRC%20custom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7" ma:contentTypeDescription="Create a new document." ma:contentTypeScope="" ma:versionID="f851f35ba009b9ae052ca598b4a07aad">
  <xsd:schema xmlns:xsd="http://www.w3.org/2001/XMLSchema" xmlns:xs="http://www.w3.org/2001/XMLSchema" xmlns:p="http://schemas.microsoft.com/office/2006/metadata/properties" xmlns:ns2="92982604-9ef6-4886-9be6-c436e5453e31" xmlns:ns3="99419d32-b119-45f7-bfd6-b5f432ba381a" xmlns:ns4="8d58213b-690a-4f05-96a7-f9027d42f364" targetNamespace="http://schemas.microsoft.com/office/2006/metadata/properties" ma:root="true" ma:fieldsID="fc32d9f942a8b2222beb5369522d823c" ns2:_="" ns3:_="" ns4:_="">
    <xsd:import namespace="92982604-9ef6-4886-9be6-c436e5453e31"/>
    <xsd:import namespace="99419d32-b119-45f7-bfd6-b5f432ba381a"/>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d58213b-690a-4f05-96a7-f9027d42f364" xsi:nil="true"/>
    <lcf76f155ced4ddcb4097134ff3c332f xmlns="92982604-9ef6-4886-9be6-c436e5453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64BEC-D162-4745-BF2A-43B00568B874}">
  <ds:schemaRefs>
    <ds:schemaRef ds:uri="http://schemas.microsoft.com/sharepoint/v3/contenttype/forms"/>
  </ds:schemaRefs>
</ds:datastoreItem>
</file>

<file path=customXml/itemProps2.xml><?xml version="1.0" encoding="utf-8"?>
<ds:datastoreItem xmlns:ds="http://schemas.openxmlformats.org/officeDocument/2006/customXml" ds:itemID="{43DE6093-A9EA-430D-B74A-2554347700A2}">
  <ds:schemaRefs>
    <ds:schemaRef ds:uri="http://schemas.openxmlformats.org/officeDocument/2006/bibliography"/>
  </ds:schemaRefs>
</ds:datastoreItem>
</file>

<file path=customXml/itemProps3.xml><?xml version="1.0" encoding="utf-8"?>
<ds:datastoreItem xmlns:ds="http://schemas.openxmlformats.org/officeDocument/2006/customXml" ds:itemID="{126BFE0A-C7A6-4761-BE55-0EAE6083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2604-9ef6-4886-9be6-c436e5453e31"/>
    <ds:schemaRef ds:uri="99419d32-b119-45f7-bfd6-b5f432ba381a"/>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4AC8B-7243-46DD-A76B-E20346724E34}">
  <ds:schemaRefs>
    <ds:schemaRef ds:uri="http://schemas.microsoft.com/office/2006/metadata/properties"/>
    <ds:schemaRef ds:uri="http://schemas.microsoft.com/office/infopath/2007/PartnerControls"/>
    <ds:schemaRef ds:uri="8d58213b-690a-4f05-96a7-f9027d42f364"/>
    <ds:schemaRef ds:uri="92982604-9ef6-4886-9be6-c436e5453e31"/>
  </ds:schemaRefs>
</ds:datastoreItem>
</file>

<file path=docProps/app.xml><?xml version="1.0" encoding="utf-8"?>
<Properties xmlns="http://schemas.openxmlformats.org/officeDocument/2006/extended-properties" xmlns:vt="http://schemas.openxmlformats.org/officeDocument/2006/docPropsVTypes">
  <Template>240520 PAC inquiry in HMRC customer service</Template>
  <TotalTime>0</TotalTime>
  <Pages>13</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Wild</dc:creator>
  <cp:lastModifiedBy>Richard Wild</cp:lastModifiedBy>
  <cp:revision>4</cp:revision>
  <dcterms:created xsi:type="dcterms:W3CDTF">2024-05-23T16:11:00Z</dcterms:created>
  <dcterms:modified xsi:type="dcterms:W3CDTF">2024-05-23T16:29:00Z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y fmtid="{D5CDD505-2E9C-101B-9397-08002B2CF9AE}" pid="3" name="AuthorIds_UIVersion_7168">
    <vt:lpwstr>102</vt:lpwstr>
  </property>
  <property fmtid="{D5CDD505-2E9C-101B-9397-08002B2CF9AE}" pid="4" name="MediaServiceImageTags">
    <vt:lpwstr/>
  </property>
</Properties>
</file>