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12" w:rsidRPr="004D75EC" w:rsidRDefault="007A0912" w:rsidP="007A0912">
      <w:pPr>
        <w:autoSpaceDE w:val="0"/>
        <w:autoSpaceDN w:val="0"/>
        <w:adjustRightInd w:val="0"/>
        <w:rPr>
          <w:rFonts w:ascii="Trebuchet MS" w:hAnsi="Trebuchet MS" w:cs="StoneSans-Bold"/>
          <w:b/>
          <w:bCs/>
          <w:sz w:val="60"/>
          <w:szCs w:val="60"/>
          <w:lang w:val="en-US"/>
        </w:rPr>
      </w:pPr>
      <w:r w:rsidRPr="000F6CE1">
        <w:rPr>
          <w:rFonts w:ascii="Trebuchet MS" w:hAnsi="Trebuchet MS" w:cs="StoneSans-Bold"/>
          <w:b/>
          <w:bCs/>
          <w:color w:val="4F81BD"/>
          <w:sz w:val="56"/>
          <w:szCs w:val="56"/>
          <w:lang w:val="en-US"/>
        </w:rPr>
        <w:t>Anti Money Laundering</w:t>
      </w:r>
      <w:r>
        <w:rPr>
          <w:rFonts w:ascii="Trebuchet MS" w:hAnsi="Trebuchet MS" w:cs="StoneSans-Bold"/>
          <w:b/>
          <w:bCs/>
          <w:sz w:val="56"/>
          <w:szCs w:val="56"/>
          <w:lang w:val="en-US"/>
        </w:rPr>
        <w:t xml:space="preserve">  </w:t>
      </w:r>
      <w:r>
        <w:rPr>
          <w:rFonts w:ascii="Trebuchet MS" w:hAnsi="Trebuchet MS" w:cs="StoneSans-Bold"/>
          <w:b/>
          <w:noProof/>
          <w:sz w:val="60"/>
          <w:szCs w:val="60"/>
        </w:rPr>
        <w:drawing>
          <wp:inline distT="0" distB="0" distL="0" distR="0">
            <wp:extent cx="1346200" cy="760730"/>
            <wp:effectExtent l="19050" t="0" r="6350" b="0"/>
            <wp:docPr id="1" name="Picture 1" descr="ciot 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ot logo 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912" w:rsidRPr="000F6CE1" w:rsidRDefault="007A0912" w:rsidP="007A0912">
      <w:pPr>
        <w:autoSpaceDE w:val="0"/>
        <w:autoSpaceDN w:val="0"/>
        <w:adjustRightInd w:val="0"/>
        <w:rPr>
          <w:rFonts w:ascii="Trebuchet MS" w:hAnsi="Trebuchet MS" w:cs="StoneSans-Bold"/>
          <w:b/>
          <w:bCs/>
          <w:color w:val="4F81BD"/>
          <w:sz w:val="56"/>
          <w:szCs w:val="56"/>
          <w:lang w:val="en-US"/>
        </w:rPr>
      </w:pPr>
      <w:r>
        <w:rPr>
          <w:rFonts w:ascii="Trebuchet MS" w:hAnsi="Trebuchet MS" w:cs="StoneSans-Bold"/>
          <w:b/>
          <w:bCs/>
          <w:noProof/>
          <w:color w:val="4F81BD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4443730</wp:posOffset>
            </wp:positionH>
            <wp:positionV relativeFrom="margin">
              <wp:posOffset>940435</wp:posOffset>
            </wp:positionV>
            <wp:extent cx="858520" cy="1155700"/>
            <wp:effectExtent l="19050" t="0" r="0" b="0"/>
            <wp:wrapSquare wrapText="bothSides"/>
            <wp:docPr id="6" name="Picture 2" descr="AT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CE1">
        <w:rPr>
          <w:rFonts w:ascii="Trebuchet MS" w:hAnsi="Trebuchet MS" w:cs="StoneSans-Bold"/>
          <w:b/>
          <w:bCs/>
          <w:color w:val="4F81BD"/>
          <w:sz w:val="56"/>
          <w:szCs w:val="56"/>
          <w:lang w:val="en-US"/>
        </w:rPr>
        <w:t xml:space="preserve">Newsletter - </w:t>
      </w:r>
      <w:r w:rsidRPr="000F6CE1">
        <w:rPr>
          <w:rFonts w:ascii="Trebuchet MS" w:hAnsi="Trebuchet MS" w:cs="StoneSans"/>
          <w:b/>
          <w:color w:val="4F81BD"/>
          <w:sz w:val="56"/>
          <w:szCs w:val="56"/>
          <w:lang w:val="en-US"/>
        </w:rPr>
        <w:t xml:space="preserve">Issue </w:t>
      </w:r>
      <w:r w:rsidR="00D87E3E">
        <w:rPr>
          <w:rFonts w:ascii="Trebuchet MS" w:hAnsi="Trebuchet MS" w:cs="StoneSans"/>
          <w:b/>
          <w:color w:val="4F81BD"/>
          <w:sz w:val="56"/>
          <w:szCs w:val="56"/>
          <w:lang w:val="en-US"/>
        </w:rPr>
        <w:t>Twelve</w:t>
      </w:r>
    </w:p>
    <w:p w:rsidR="007A0912" w:rsidRDefault="007A0912" w:rsidP="007A0912">
      <w:pPr>
        <w:autoSpaceDE w:val="0"/>
        <w:autoSpaceDN w:val="0"/>
        <w:adjustRightInd w:val="0"/>
        <w:rPr>
          <w:rFonts w:ascii="Trebuchet MS" w:hAnsi="Trebuchet MS" w:cs="StoneSans"/>
          <w:color w:val="4F81BD"/>
          <w:sz w:val="48"/>
          <w:szCs w:val="48"/>
          <w:lang w:val="en-US"/>
        </w:rPr>
      </w:pPr>
    </w:p>
    <w:p w:rsidR="007A0912" w:rsidRPr="004D75EC" w:rsidRDefault="00D87E3E" w:rsidP="007A0912">
      <w:pPr>
        <w:autoSpaceDE w:val="0"/>
        <w:autoSpaceDN w:val="0"/>
        <w:adjustRightInd w:val="0"/>
        <w:rPr>
          <w:rFonts w:ascii="Trebuchet MS" w:hAnsi="Trebuchet MS" w:cs="StoneSans-Bold"/>
          <w:sz w:val="56"/>
          <w:szCs w:val="56"/>
          <w:lang w:val="en-US"/>
        </w:rPr>
      </w:pPr>
      <w:r>
        <w:rPr>
          <w:rFonts w:ascii="Trebuchet MS" w:hAnsi="Trebuchet MS" w:cs="StoneSans"/>
          <w:color w:val="4F81BD"/>
          <w:sz w:val="48"/>
          <w:szCs w:val="48"/>
          <w:lang w:val="en-US"/>
        </w:rPr>
        <w:t>Nov</w:t>
      </w:r>
      <w:r w:rsidR="008B33BA">
        <w:rPr>
          <w:rFonts w:ascii="Trebuchet MS" w:hAnsi="Trebuchet MS" w:cs="StoneSans"/>
          <w:color w:val="4F81BD"/>
          <w:sz w:val="48"/>
          <w:szCs w:val="48"/>
          <w:lang w:val="en-US"/>
        </w:rPr>
        <w:t>ember</w:t>
      </w:r>
      <w:r w:rsidR="007A0912" w:rsidRPr="00E4687B">
        <w:rPr>
          <w:rFonts w:ascii="Trebuchet MS" w:hAnsi="Trebuchet MS" w:cs="StoneSans"/>
          <w:color w:val="4F81BD"/>
          <w:sz w:val="48"/>
          <w:szCs w:val="48"/>
          <w:lang w:val="en-US"/>
        </w:rPr>
        <w:t xml:space="preserve"> 20</w:t>
      </w:r>
      <w:r w:rsidR="007A0912">
        <w:rPr>
          <w:rFonts w:ascii="Trebuchet MS" w:hAnsi="Trebuchet MS" w:cs="StoneSans"/>
          <w:color w:val="4F81BD"/>
          <w:sz w:val="48"/>
          <w:szCs w:val="48"/>
          <w:lang w:val="en-US"/>
        </w:rPr>
        <w:t>12</w:t>
      </w:r>
      <w:r w:rsidR="007A0912" w:rsidRPr="000F6CE1">
        <w:rPr>
          <w:rFonts w:ascii="Trebuchet MS" w:hAnsi="Trebuchet MS" w:cs="StoneSans"/>
          <w:color w:val="4F81BD"/>
          <w:sz w:val="56"/>
          <w:szCs w:val="56"/>
          <w:lang w:val="en-US"/>
        </w:rPr>
        <w:tab/>
      </w:r>
      <w:r w:rsidR="007A0912">
        <w:rPr>
          <w:rFonts w:ascii="Trebuchet MS" w:hAnsi="Trebuchet MS" w:cs="StoneSans"/>
          <w:color w:val="4F81BD"/>
          <w:sz w:val="56"/>
          <w:szCs w:val="56"/>
          <w:lang w:val="en-US"/>
        </w:rPr>
        <w:t xml:space="preserve">   </w:t>
      </w:r>
      <w:r w:rsidR="007A0912">
        <w:rPr>
          <w:rFonts w:ascii="Trebuchet MS" w:hAnsi="Trebuchet MS" w:cs="StoneSans"/>
          <w:sz w:val="56"/>
          <w:szCs w:val="56"/>
          <w:lang w:val="en-US"/>
        </w:rPr>
        <w:tab/>
      </w:r>
      <w:r w:rsidR="007A0912">
        <w:rPr>
          <w:rFonts w:ascii="Trebuchet MS" w:hAnsi="Trebuchet MS" w:cs="StoneSans"/>
          <w:sz w:val="56"/>
          <w:szCs w:val="56"/>
          <w:lang w:val="en-US"/>
        </w:rPr>
        <w:tab/>
      </w:r>
      <w:r w:rsidR="007A0912">
        <w:rPr>
          <w:rFonts w:ascii="Trebuchet MS" w:hAnsi="Trebuchet MS" w:cs="StoneSans"/>
          <w:sz w:val="56"/>
          <w:szCs w:val="56"/>
          <w:lang w:val="en-US"/>
        </w:rPr>
        <w:tab/>
      </w:r>
      <w:r w:rsidR="007A0912">
        <w:rPr>
          <w:rFonts w:ascii="Trebuchet MS" w:hAnsi="Trebuchet MS" w:cs="StoneSans"/>
          <w:sz w:val="56"/>
          <w:szCs w:val="56"/>
          <w:lang w:val="en-US"/>
        </w:rPr>
        <w:tab/>
      </w:r>
      <w:r w:rsidR="007A0912">
        <w:rPr>
          <w:rFonts w:ascii="Trebuchet MS" w:hAnsi="Trebuchet MS" w:cs="StoneSans"/>
          <w:sz w:val="56"/>
          <w:szCs w:val="56"/>
          <w:lang w:val="en-US"/>
        </w:rPr>
        <w:tab/>
      </w:r>
    </w:p>
    <w:p w:rsidR="007A0912" w:rsidRDefault="007A0912" w:rsidP="007A0912">
      <w:pPr>
        <w:autoSpaceDE w:val="0"/>
        <w:autoSpaceDN w:val="0"/>
        <w:adjustRightInd w:val="0"/>
        <w:rPr>
          <w:rFonts w:ascii="Trebuchet MS" w:hAnsi="Trebuchet MS" w:cs="Humanist777BT-BoldB"/>
          <w:b/>
          <w:bCs/>
          <w:sz w:val="32"/>
          <w:szCs w:val="32"/>
          <w:lang w:val="en-US"/>
        </w:rPr>
      </w:pPr>
    </w:p>
    <w:p w:rsidR="00234331" w:rsidRDefault="00234331" w:rsidP="007A0912">
      <w:pPr>
        <w:autoSpaceDE w:val="0"/>
        <w:autoSpaceDN w:val="0"/>
        <w:adjustRightInd w:val="0"/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</w:pPr>
    </w:p>
    <w:p w:rsidR="008B33BA" w:rsidRDefault="00D87E3E" w:rsidP="00D817FE">
      <w:pPr>
        <w:autoSpaceDE w:val="0"/>
        <w:autoSpaceDN w:val="0"/>
        <w:adjustRightInd w:val="0"/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</w:pPr>
      <w:r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  <w:t>HMT Advisory Notice on High Risk and Non Co-operative Jurisdictions</w:t>
      </w:r>
      <w:r w:rsidR="007A0912" w:rsidRPr="00671923"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  <w:t xml:space="preserve"> </w:t>
      </w:r>
    </w:p>
    <w:p w:rsidR="008B33BA" w:rsidRDefault="008B33BA" w:rsidP="00EA28EB">
      <w:pPr>
        <w:rPr>
          <w:rFonts w:ascii="Trebuchet MS" w:hAnsi="Trebuchet MS" w:cs="Arial,Bold"/>
          <w:b/>
          <w:bCs/>
          <w:color w:val="000000"/>
          <w:lang w:eastAsia="en-US"/>
        </w:rPr>
      </w:pPr>
    </w:p>
    <w:p w:rsidR="00D87E3E" w:rsidRPr="00D87E3E" w:rsidRDefault="00D87E3E" w:rsidP="00D87E3E">
      <w:pPr>
        <w:rPr>
          <w:rFonts w:ascii="Trebuchet MS" w:hAnsi="Trebuchet MS"/>
          <w:sz w:val="24"/>
          <w:szCs w:val="24"/>
        </w:rPr>
      </w:pPr>
      <w:r w:rsidRPr="00D87E3E">
        <w:rPr>
          <w:rFonts w:ascii="Trebuchet MS" w:hAnsi="Trebuchet MS"/>
          <w:sz w:val="24"/>
          <w:szCs w:val="24"/>
        </w:rPr>
        <w:t>In response to the Financial Action Task Force (FATF) updating its public lists of high risk and non cooperative jurisdictions, HM Treasury has issued an Advisory Notice.</w:t>
      </w:r>
    </w:p>
    <w:p w:rsidR="00D87E3E" w:rsidRPr="00D87E3E" w:rsidRDefault="00D87E3E" w:rsidP="00D87E3E">
      <w:pPr>
        <w:rPr>
          <w:rFonts w:ascii="Trebuchet MS" w:hAnsi="Trebuchet MS"/>
          <w:sz w:val="24"/>
          <w:szCs w:val="24"/>
        </w:rPr>
      </w:pPr>
    </w:p>
    <w:p w:rsidR="00D87E3E" w:rsidRPr="00D87E3E" w:rsidRDefault="00D87E3E" w:rsidP="00D87E3E">
      <w:pPr>
        <w:rPr>
          <w:rFonts w:ascii="Trebuchet MS" w:hAnsi="Trebuchet MS"/>
          <w:sz w:val="24"/>
          <w:szCs w:val="24"/>
        </w:rPr>
      </w:pPr>
      <w:r w:rsidRPr="00D87E3E">
        <w:rPr>
          <w:rFonts w:ascii="Trebuchet MS" w:hAnsi="Trebuchet MS"/>
          <w:sz w:val="24"/>
          <w:szCs w:val="24"/>
        </w:rPr>
        <w:t>Please see the latest Advisory Notice on the HM Treasury website:</w:t>
      </w:r>
    </w:p>
    <w:p w:rsidR="008B33BA" w:rsidRPr="008B33BA" w:rsidRDefault="00D87E3E" w:rsidP="00D87E3E">
      <w:pPr>
        <w:rPr>
          <w:rFonts w:ascii="Trebuchet MS" w:hAnsi="Trebuchet MS"/>
          <w:color w:val="000000"/>
          <w:sz w:val="24"/>
          <w:szCs w:val="24"/>
        </w:rPr>
      </w:pPr>
      <w:hyperlink r:id="rId11" w:history="1">
        <w:r w:rsidRPr="00D87E3E">
          <w:rPr>
            <w:rStyle w:val="Hyperlink"/>
            <w:rFonts w:ascii="Trebuchet MS" w:hAnsi="Trebuchet MS"/>
            <w:sz w:val="24"/>
            <w:szCs w:val="24"/>
          </w:rPr>
          <w:t>http://www.hm-treasury.gov.uk/fin_money_latest_news.htm</w:t>
        </w:r>
      </w:hyperlink>
      <w:r>
        <w:rPr>
          <w:rFonts w:ascii="Trebuchet MS" w:hAnsi="Trebuchet MS"/>
          <w:sz w:val="24"/>
          <w:szCs w:val="24"/>
        </w:rPr>
        <w:t xml:space="preserve"> </w:t>
      </w:r>
    </w:p>
    <w:p w:rsidR="008B33BA" w:rsidRDefault="008B33BA" w:rsidP="00EA28EB">
      <w:pPr>
        <w:rPr>
          <w:rFonts w:ascii="Trebuchet MS" w:hAnsi="Trebuchet MS" w:cs="Arial"/>
          <w:lang w:eastAsia="en-US"/>
        </w:rPr>
      </w:pPr>
    </w:p>
    <w:p w:rsidR="00A76139" w:rsidRDefault="00EE4A95" w:rsidP="00A76139">
      <w:pPr>
        <w:autoSpaceDE w:val="0"/>
        <w:autoSpaceDN w:val="0"/>
        <w:adjustRightInd w:val="0"/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</w:pPr>
      <w:r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  <w:t>Ponzi style money laundering case</w:t>
      </w:r>
      <w:r w:rsidR="00A76139" w:rsidRPr="00671923">
        <w:rPr>
          <w:rFonts w:ascii="Trebuchet MS" w:hAnsi="Trebuchet MS" w:cs="Humanist777BT-BoldB"/>
          <w:b/>
          <w:bCs/>
          <w:color w:val="4F81BD"/>
          <w:sz w:val="30"/>
          <w:szCs w:val="30"/>
          <w:lang w:val="en-US"/>
        </w:rPr>
        <w:t xml:space="preserve"> </w:t>
      </w:r>
    </w:p>
    <w:p w:rsidR="00A76139" w:rsidRDefault="00A76139" w:rsidP="00A76139">
      <w:pPr>
        <w:rPr>
          <w:rFonts w:ascii="Trebuchet MS" w:hAnsi="Trebuchet MS" w:cs="Arial,Bold"/>
          <w:b/>
          <w:bCs/>
          <w:color w:val="000000"/>
          <w:lang w:eastAsia="en-US"/>
        </w:rPr>
      </w:pPr>
    </w:p>
    <w:p w:rsidR="00170B27" w:rsidRPr="00170B27" w:rsidRDefault="00EE4A95" w:rsidP="00170B27">
      <w:pPr>
        <w:rPr>
          <w:rFonts w:ascii="Trebuchet MS" w:hAnsi="Trebuchet MS"/>
          <w:color w:val="000000"/>
          <w:sz w:val="24"/>
          <w:szCs w:val="24"/>
        </w:rPr>
      </w:pPr>
      <w:r w:rsidRPr="00EE4A95">
        <w:rPr>
          <w:rFonts w:ascii="Trebuchet MS" w:hAnsi="Trebuchet MS"/>
          <w:color w:val="000000"/>
          <w:sz w:val="24"/>
          <w:szCs w:val="24"/>
        </w:rPr>
        <w:t>A couple and an accountant who teamed up to use money from a fraudulent £10m investment scheme to fund a la</w:t>
      </w:r>
      <w:r>
        <w:rPr>
          <w:rFonts w:ascii="Trebuchet MS" w:hAnsi="Trebuchet MS"/>
          <w:color w:val="000000"/>
          <w:sz w:val="24"/>
          <w:szCs w:val="24"/>
        </w:rPr>
        <w:t>vish</w:t>
      </w:r>
      <w:r w:rsidR="00170B27">
        <w:rPr>
          <w:rFonts w:ascii="Trebuchet MS" w:hAnsi="Trebuchet MS"/>
          <w:color w:val="000000"/>
          <w:sz w:val="24"/>
          <w:szCs w:val="24"/>
        </w:rPr>
        <w:t xml:space="preserve"> lifestyle have been jailed.  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 xml:space="preserve">The couple </w:t>
      </w:r>
      <w:r w:rsidRPr="00D87E3E">
        <w:rPr>
          <w:rFonts w:ascii="Trebuchet MS" w:hAnsi="Trebuchet MS"/>
          <w:color w:val="000000"/>
          <w:sz w:val="24"/>
          <w:szCs w:val="24"/>
        </w:rPr>
        <w:t xml:space="preserve">targeted UK investors and ex-pats in Majorca </w:t>
      </w:r>
      <w:r>
        <w:rPr>
          <w:rFonts w:ascii="Trebuchet MS" w:hAnsi="Trebuchet MS"/>
          <w:color w:val="000000"/>
          <w:sz w:val="24"/>
          <w:szCs w:val="24"/>
        </w:rPr>
        <w:t xml:space="preserve">and 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 xml:space="preserve">spent the proceeds of the fraud </w:t>
      </w:r>
      <w:r>
        <w:rPr>
          <w:rFonts w:ascii="Trebuchet MS" w:hAnsi="Trebuchet MS"/>
          <w:color w:val="000000"/>
          <w:sz w:val="24"/>
          <w:szCs w:val="24"/>
        </w:rPr>
        <w:t xml:space="preserve">on funding 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 xml:space="preserve">a lavish lifestyle that included luxury holidays and </w:t>
      </w:r>
      <w:r w:rsidRPr="00EE4A95">
        <w:rPr>
          <w:rFonts w:ascii="Trebuchet MS" w:hAnsi="Trebuchet MS"/>
          <w:color w:val="000000"/>
          <w:sz w:val="24"/>
          <w:szCs w:val="24"/>
        </w:rPr>
        <w:t>wedding celebrations in Las Vegas and Majorca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 xml:space="preserve">. </w:t>
      </w:r>
      <w:r w:rsidR="00170B27">
        <w:rPr>
          <w:rFonts w:ascii="Trebuchet MS" w:hAnsi="Trebuchet MS"/>
          <w:color w:val="000000"/>
          <w:sz w:val="24"/>
          <w:szCs w:val="24"/>
        </w:rPr>
        <w:t xml:space="preserve"> 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>The husband pleaded guilty to two counts of money laundering and one count of conspiracy to defraud</w:t>
      </w:r>
      <w:r>
        <w:rPr>
          <w:rFonts w:ascii="Trebuchet MS" w:hAnsi="Trebuchet MS"/>
          <w:color w:val="000000"/>
          <w:sz w:val="24"/>
          <w:szCs w:val="24"/>
        </w:rPr>
        <w:t xml:space="preserve"> and was sentenced to 9 years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>, while his wife was found guilty of three counts of money laundering</w:t>
      </w:r>
      <w:r>
        <w:rPr>
          <w:rFonts w:ascii="Trebuchet MS" w:hAnsi="Trebuchet MS"/>
          <w:color w:val="000000"/>
          <w:sz w:val="24"/>
          <w:szCs w:val="24"/>
        </w:rPr>
        <w:t xml:space="preserve"> and sentenced to 2 ½ years</w:t>
      </w:r>
      <w:r w:rsidR="00D87E3E" w:rsidRPr="00D87E3E">
        <w:rPr>
          <w:rFonts w:ascii="Trebuchet MS" w:hAnsi="Trebuchet MS"/>
          <w:color w:val="000000"/>
          <w:sz w:val="24"/>
          <w:szCs w:val="24"/>
        </w:rPr>
        <w:t>.</w:t>
      </w:r>
      <w:r w:rsidR="00170B27">
        <w:rPr>
          <w:rFonts w:ascii="Trebuchet MS" w:hAnsi="Trebuchet MS"/>
          <w:color w:val="000000"/>
          <w:sz w:val="24"/>
          <w:szCs w:val="24"/>
        </w:rPr>
        <w:t xml:space="preserve"> The accountant </w:t>
      </w:r>
      <w:r w:rsidR="00170B27" w:rsidRPr="00170B27">
        <w:rPr>
          <w:rFonts w:ascii="Trebuchet MS" w:hAnsi="Trebuchet MS"/>
          <w:color w:val="000000"/>
          <w:sz w:val="24"/>
          <w:szCs w:val="24"/>
        </w:rPr>
        <w:t>was found guilty of conspiracy to defraud</w:t>
      </w:r>
      <w:r w:rsidR="00170B27" w:rsidRPr="00170B27">
        <w:rPr>
          <w:rFonts w:ascii="Trebuchet MS" w:hAnsi="Trebuchet MS"/>
          <w:color w:val="000000"/>
          <w:sz w:val="24"/>
          <w:szCs w:val="24"/>
        </w:rPr>
        <w:t xml:space="preserve"> </w:t>
      </w:r>
      <w:r w:rsidR="00170B27">
        <w:rPr>
          <w:rFonts w:ascii="Trebuchet MS" w:hAnsi="Trebuchet MS"/>
          <w:color w:val="000000"/>
          <w:sz w:val="24"/>
          <w:szCs w:val="24"/>
        </w:rPr>
        <w:t>and</w:t>
      </w:r>
      <w:r w:rsidR="00170B27" w:rsidRPr="00170B27">
        <w:rPr>
          <w:rFonts w:ascii="Trebuchet MS" w:hAnsi="Trebuchet MS"/>
          <w:color w:val="000000"/>
          <w:sz w:val="24"/>
          <w:szCs w:val="24"/>
        </w:rPr>
        <w:t xml:space="preserve"> jailed for six-and-a-half years.</w:t>
      </w:r>
    </w:p>
    <w:p w:rsidR="00D87E3E" w:rsidRPr="00D87E3E" w:rsidRDefault="00D87E3E" w:rsidP="00D87E3E">
      <w:pPr>
        <w:rPr>
          <w:rFonts w:ascii="Trebuchet MS" w:hAnsi="Trebuchet MS"/>
          <w:color w:val="000000"/>
          <w:sz w:val="24"/>
          <w:szCs w:val="24"/>
        </w:rPr>
      </w:pPr>
    </w:p>
    <w:p w:rsidR="00EE4A95" w:rsidRDefault="00D87E3E" w:rsidP="00D87E3E">
      <w:pPr>
        <w:rPr>
          <w:rFonts w:ascii="Trebuchet MS" w:hAnsi="Trebuchet MS"/>
          <w:color w:val="000000"/>
          <w:sz w:val="24"/>
          <w:szCs w:val="24"/>
        </w:rPr>
      </w:pPr>
      <w:r w:rsidRPr="00D87E3E">
        <w:rPr>
          <w:rFonts w:ascii="Trebuchet MS" w:hAnsi="Trebuchet MS"/>
          <w:color w:val="000000"/>
          <w:sz w:val="24"/>
          <w:szCs w:val="24"/>
        </w:rPr>
        <w:t>Read more</w:t>
      </w:r>
      <w:r w:rsidR="00170B27">
        <w:rPr>
          <w:rFonts w:ascii="Trebuchet MS" w:hAnsi="Trebuchet MS"/>
          <w:color w:val="000000"/>
          <w:sz w:val="24"/>
          <w:szCs w:val="24"/>
        </w:rPr>
        <w:t xml:space="preserve"> </w:t>
      </w:r>
      <w:hyperlink r:id="rId12" w:history="1">
        <w:r w:rsidR="00170B27" w:rsidRPr="00170B27">
          <w:rPr>
            <w:rStyle w:val="Hyperlink"/>
            <w:rFonts w:ascii="Trebuchet MS" w:hAnsi="Trebuchet MS"/>
            <w:sz w:val="24"/>
            <w:szCs w:val="24"/>
          </w:rPr>
          <w:t>here</w:t>
        </w:r>
      </w:hyperlink>
      <w:r w:rsidR="00170B27">
        <w:rPr>
          <w:rFonts w:ascii="Trebuchet MS" w:hAnsi="Trebuchet MS"/>
          <w:color w:val="000000"/>
          <w:sz w:val="24"/>
          <w:szCs w:val="24"/>
        </w:rPr>
        <w:t>.</w:t>
      </w:r>
    </w:p>
    <w:p w:rsidR="00EE4A95" w:rsidRDefault="00EE4A95" w:rsidP="00D87E3E">
      <w:pPr>
        <w:rPr>
          <w:rFonts w:ascii="Trebuchet MS" w:hAnsi="Trebuchet MS"/>
          <w:color w:val="000000"/>
          <w:sz w:val="24"/>
          <w:szCs w:val="24"/>
        </w:rPr>
      </w:pPr>
      <w:bookmarkStart w:id="0" w:name="_GoBack"/>
      <w:bookmarkEnd w:id="0"/>
    </w:p>
    <w:sectPr w:rsidR="00EE4A95" w:rsidSect="00BE0D30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95" w:rsidRDefault="00EE4A95" w:rsidP="00B73259">
      <w:r>
        <w:separator/>
      </w:r>
    </w:p>
  </w:endnote>
  <w:endnote w:type="continuationSeparator" w:id="0">
    <w:p w:rsidR="00EE4A95" w:rsidRDefault="00EE4A95" w:rsidP="00B7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one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95" w:rsidRDefault="00EE4A95" w:rsidP="00B73259">
      <w:r>
        <w:separator/>
      </w:r>
    </w:p>
  </w:footnote>
  <w:footnote w:type="continuationSeparator" w:id="0">
    <w:p w:rsidR="00EE4A95" w:rsidRDefault="00EE4A95" w:rsidP="00B7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A28"/>
    <w:multiLevelType w:val="hybridMultilevel"/>
    <w:tmpl w:val="FB2EA99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>
    <w:nsid w:val="7D992E2E"/>
    <w:multiLevelType w:val="multilevel"/>
    <w:tmpl w:val="982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D"/>
    <w:rsid w:val="00044B71"/>
    <w:rsid w:val="000C6CB9"/>
    <w:rsid w:val="000D2F8E"/>
    <w:rsid w:val="000F1D3D"/>
    <w:rsid w:val="00105A30"/>
    <w:rsid w:val="00170B27"/>
    <w:rsid w:val="001E34ED"/>
    <w:rsid w:val="00234331"/>
    <w:rsid w:val="003438F8"/>
    <w:rsid w:val="00351FEB"/>
    <w:rsid w:val="003C63A2"/>
    <w:rsid w:val="003D4E3E"/>
    <w:rsid w:val="00454BC6"/>
    <w:rsid w:val="004A42EC"/>
    <w:rsid w:val="004C4DE7"/>
    <w:rsid w:val="005478AE"/>
    <w:rsid w:val="005A034E"/>
    <w:rsid w:val="005F571E"/>
    <w:rsid w:val="00611632"/>
    <w:rsid w:val="006305E0"/>
    <w:rsid w:val="006456AB"/>
    <w:rsid w:val="007220F4"/>
    <w:rsid w:val="00732BF3"/>
    <w:rsid w:val="007A0912"/>
    <w:rsid w:val="007E24CD"/>
    <w:rsid w:val="00800E31"/>
    <w:rsid w:val="0086710F"/>
    <w:rsid w:val="008B33BA"/>
    <w:rsid w:val="008B5807"/>
    <w:rsid w:val="008E0CAB"/>
    <w:rsid w:val="008E4F38"/>
    <w:rsid w:val="009018C4"/>
    <w:rsid w:val="009215A9"/>
    <w:rsid w:val="0099146D"/>
    <w:rsid w:val="00A713BB"/>
    <w:rsid w:val="00A76139"/>
    <w:rsid w:val="00B73259"/>
    <w:rsid w:val="00B91473"/>
    <w:rsid w:val="00BA5DA4"/>
    <w:rsid w:val="00BC1B8E"/>
    <w:rsid w:val="00BE0D30"/>
    <w:rsid w:val="00C86816"/>
    <w:rsid w:val="00CF2A52"/>
    <w:rsid w:val="00D817FE"/>
    <w:rsid w:val="00D87E3E"/>
    <w:rsid w:val="00DD1349"/>
    <w:rsid w:val="00DD2518"/>
    <w:rsid w:val="00DE75CE"/>
    <w:rsid w:val="00E01725"/>
    <w:rsid w:val="00E26264"/>
    <w:rsid w:val="00E27A4B"/>
    <w:rsid w:val="00EA28EB"/>
    <w:rsid w:val="00EB128D"/>
    <w:rsid w:val="00ED143C"/>
    <w:rsid w:val="00EE4A95"/>
    <w:rsid w:val="00F400E0"/>
    <w:rsid w:val="00F435D8"/>
    <w:rsid w:val="00F86019"/>
    <w:rsid w:val="00F87A67"/>
    <w:rsid w:val="00FB07E6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3D"/>
    <w:rPr>
      <w:rFonts w:ascii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143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D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14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D143C"/>
    <w:rPr>
      <w:b/>
      <w:bCs/>
    </w:rPr>
  </w:style>
  <w:style w:type="paragraph" w:styleId="NormalWeb">
    <w:name w:val="Normal (Web)"/>
    <w:basedOn w:val="Normal"/>
    <w:uiPriority w:val="99"/>
    <w:unhideWhenUsed/>
    <w:rsid w:val="00ED14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143C"/>
  </w:style>
  <w:style w:type="character" w:customStyle="1" w:styleId="Heading2Char">
    <w:name w:val="Heading 2 Char"/>
    <w:basedOn w:val="DefaultParagraphFont"/>
    <w:link w:val="Heading2"/>
    <w:uiPriority w:val="9"/>
    <w:semiHidden/>
    <w:rsid w:val="00ED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nobackground">
    <w:name w:val="nobackground"/>
    <w:basedOn w:val="DefaultParagraphFont"/>
    <w:rsid w:val="00ED143C"/>
  </w:style>
  <w:style w:type="paragraph" w:styleId="BalloonText">
    <w:name w:val="Balloon Text"/>
    <w:basedOn w:val="Normal"/>
    <w:link w:val="BalloonTextChar"/>
    <w:uiPriority w:val="99"/>
    <w:semiHidden/>
    <w:unhideWhenUsed/>
    <w:rsid w:val="007A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12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1FEB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F57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3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259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73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259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3D"/>
    <w:rPr>
      <w:rFonts w:ascii="Calibri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143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D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14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ED143C"/>
    <w:rPr>
      <w:b/>
      <w:bCs/>
    </w:rPr>
  </w:style>
  <w:style w:type="paragraph" w:styleId="NormalWeb">
    <w:name w:val="Normal (Web)"/>
    <w:basedOn w:val="Normal"/>
    <w:uiPriority w:val="99"/>
    <w:unhideWhenUsed/>
    <w:rsid w:val="00ED14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143C"/>
  </w:style>
  <w:style w:type="character" w:customStyle="1" w:styleId="Heading2Char">
    <w:name w:val="Heading 2 Char"/>
    <w:basedOn w:val="DefaultParagraphFont"/>
    <w:link w:val="Heading2"/>
    <w:uiPriority w:val="9"/>
    <w:semiHidden/>
    <w:rsid w:val="00ED1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nobackground">
    <w:name w:val="nobackground"/>
    <w:basedOn w:val="DefaultParagraphFont"/>
    <w:rsid w:val="00ED143C"/>
  </w:style>
  <w:style w:type="paragraph" w:styleId="BalloonText">
    <w:name w:val="Balloon Text"/>
    <w:basedOn w:val="Normal"/>
    <w:link w:val="BalloonTextChar"/>
    <w:uiPriority w:val="99"/>
    <w:semiHidden/>
    <w:unhideWhenUsed/>
    <w:rsid w:val="007A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12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1FEB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F57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3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259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73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259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4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c.co.uk/news/uk-england-humber-19437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-treasury.gov.uk/fin_money_latest_news.ht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FEE7-BA62-432B-99D9-641D7664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DB0F6643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Blinehan</dc:creator>
  <cp:lastModifiedBy>Blinehan</cp:lastModifiedBy>
  <cp:revision>2</cp:revision>
  <dcterms:created xsi:type="dcterms:W3CDTF">2012-11-08T12:31:00Z</dcterms:created>
  <dcterms:modified xsi:type="dcterms:W3CDTF">2012-11-08T12:31:00Z</dcterms:modified>
</cp:coreProperties>
</file>