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89AE4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  <w:bookmarkStart w:id="0" w:name="_Hlk23340984"/>
    </w:p>
    <w:p w14:paraId="4CFCDF50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2F08B776" w14:textId="77777777" w:rsidR="004573E2" w:rsidRDefault="004573E2" w:rsidP="004573E2">
      <w:pPr>
        <w:jc w:val="center"/>
        <w:rPr>
          <w:sz w:val="36"/>
        </w:rPr>
      </w:pPr>
      <w:r w:rsidRPr="00453581">
        <w:rPr>
          <w:b/>
          <w:sz w:val="44"/>
        </w:rPr>
        <w:t>The Highfield Group</w:t>
      </w:r>
      <w:r w:rsidRPr="00453581">
        <w:rPr>
          <w:sz w:val="36"/>
        </w:rPr>
        <w:br/>
      </w:r>
      <w:r>
        <w:rPr>
          <w:sz w:val="36"/>
        </w:rPr>
        <w:t>Job Description</w:t>
      </w:r>
    </w:p>
    <w:p w14:paraId="7C72F445" w14:textId="77777777" w:rsidR="004573E2" w:rsidRDefault="004573E2" w:rsidP="004573E2">
      <w:pPr>
        <w:jc w:val="center"/>
        <w:rPr>
          <w:sz w:val="36"/>
        </w:rPr>
      </w:pPr>
    </w:p>
    <w:p w14:paraId="6111E311" w14:textId="58B34F15" w:rsidR="004573E2" w:rsidRPr="00453581" w:rsidRDefault="004573E2" w:rsidP="004573E2">
      <w:pPr>
        <w:jc w:val="center"/>
        <w:rPr>
          <w:sz w:val="36"/>
        </w:rPr>
      </w:pPr>
      <w:r>
        <w:rPr>
          <w:sz w:val="36"/>
        </w:rPr>
        <w:t>Centre Support and Compliance Officer</w:t>
      </w:r>
    </w:p>
    <w:p w14:paraId="0640E184" w14:textId="77777777" w:rsidR="004573E2" w:rsidRPr="00453581" w:rsidRDefault="004573E2" w:rsidP="004573E2"/>
    <w:p w14:paraId="02182C5F" w14:textId="77777777" w:rsidR="004573E2" w:rsidRDefault="004573E2" w:rsidP="004573E2">
      <w:pPr>
        <w:rPr>
          <w:b/>
        </w:rPr>
      </w:pPr>
      <w:r w:rsidRPr="00453581">
        <w:rPr>
          <w:b/>
        </w:rPr>
        <w:t>Document Control</w:t>
      </w:r>
    </w:p>
    <w:p w14:paraId="746ADA74" w14:textId="77777777" w:rsidR="004573E2" w:rsidRPr="00453581" w:rsidRDefault="004573E2" w:rsidP="004573E2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28"/>
        <w:gridCol w:w="1797"/>
        <w:gridCol w:w="1974"/>
        <w:gridCol w:w="4011"/>
      </w:tblGrid>
      <w:tr w:rsidR="004573E2" w:rsidRPr="00453581" w14:paraId="16F39094" w14:textId="77777777" w:rsidTr="007A61EC">
        <w:tc>
          <w:tcPr>
            <w:tcW w:w="1242" w:type="dxa"/>
            <w:shd w:val="clear" w:color="auto" w:fill="000000" w:themeFill="text1"/>
          </w:tcPr>
          <w:p w14:paraId="424B78D9" w14:textId="77777777" w:rsidR="004573E2" w:rsidRPr="00453581" w:rsidRDefault="004573E2" w:rsidP="007A61EC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Version</w:t>
            </w:r>
          </w:p>
        </w:tc>
        <w:tc>
          <w:tcPr>
            <w:tcW w:w="1843" w:type="dxa"/>
            <w:shd w:val="clear" w:color="auto" w:fill="000000" w:themeFill="text1"/>
          </w:tcPr>
          <w:p w14:paraId="6467EC2E" w14:textId="77777777" w:rsidR="004573E2" w:rsidRPr="00453581" w:rsidRDefault="004573E2" w:rsidP="007A61EC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Date</w:t>
            </w:r>
          </w:p>
        </w:tc>
        <w:tc>
          <w:tcPr>
            <w:tcW w:w="2020" w:type="dxa"/>
            <w:shd w:val="clear" w:color="auto" w:fill="000000" w:themeFill="text1"/>
          </w:tcPr>
          <w:p w14:paraId="01DC8844" w14:textId="77777777" w:rsidR="004573E2" w:rsidRPr="00453581" w:rsidRDefault="004573E2" w:rsidP="007A61EC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Author</w:t>
            </w:r>
          </w:p>
        </w:tc>
        <w:tc>
          <w:tcPr>
            <w:tcW w:w="4137" w:type="dxa"/>
            <w:shd w:val="clear" w:color="auto" w:fill="000000" w:themeFill="text1"/>
          </w:tcPr>
          <w:p w14:paraId="04644D3B" w14:textId="77777777" w:rsidR="004573E2" w:rsidRPr="00453581" w:rsidRDefault="004573E2" w:rsidP="007A61EC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Notes</w:t>
            </w:r>
          </w:p>
        </w:tc>
      </w:tr>
      <w:tr w:rsidR="004573E2" w:rsidRPr="00453581" w14:paraId="71086017" w14:textId="77777777" w:rsidTr="00F90238">
        <w:trPr>
          <w:trHeight w:val="360"/>
        </w:trPr>
        <w:tc>
          <w:tcPr>
            <w:tcW w:w="1242" w:type="dxa"/>
            <w:shd w:val="clear" w:color="auto" w:fill="auto"/>
          </w:tcPr>
          <w:p w14:paraId="18FE3475" w14:textId="77777777" w:rsidR="004573E2" w:rsidRPr="00453581" w:rsidRDefault="004573E2" w:rsidP="007A61EC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1843" w:type="dxa"/>
            <w:shd w:val="clear" w:color="auto" w:fill="auto"/>
          </w:tcPr>
          <w:p w14:paraId="6B2F27A8" w14:textId="77777777" w:rsidR="004573E2" w:rsidRPr="00453581" w:rsidRDefault="004573E2" w:rsidP="007A61EC">
            <w:pPr>
              <w:rPr>
                <w:rFonts w:eastAsia="Calibri"/>
              </w:rPr>
            </w:pPr>
            <w:r>
              <w:rPr>
                <w:rFonts w:eastAsia="Calibri"/>
              </w:rPr>
              <w:t>Jan 2024</w:t>
            </w:r>
          </w:p>
        </w:tc>
        <w:tc>
          <w:tcPr>
            <w:tcW w:w="2020" w:type="dxa"/>
            <w:shd w:val="clear" w:color="auto" w:fill="auto"/>
          </w:tcPr>
          <w:p w14:paraId="0B11549A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32E75DDB" w14:textId="77777777" w:rsidR="004573E2" w:rsidRPr="00453581" w:rsidRDefault="004573E2" w:rsidP="007A61E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First </w:t>
            </w:r>
            <w:r w:rsidRPr="4FFEA928">
              <w:rPr>
                <w:rFonts w:eastAsia="Calibri"/>
              </w:rPr>
              <w:t>Version</w:t>
            </w:r>
          </w:p>
        </w:tc>
      </w:tr>
      <w:tr w:rsidR="004573E2" w:rsidRPr="00453581" w14:paraId="1A0FDBBC" w14:textId="77777777" w:rsidTr="007A61EC">
        <w:tc>
          <w:tcPr>
            <w:tcW w:w="1242" w:type="dxa"/>
            <w:shd w:val="clear" w:color="auto" w:fill="auto"/>
          </w:tcPr>
          <w:p w14:paraId="695B41C6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CF726AA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60932A83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08D2CD05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</w:tr>
      <w:tr w:rsidR="004573E2" w:rsidRPr="00453581" w14:paraId="5553081D" w14:textId="77777777" w:rsidTr="007A61EC">
        <w:tc>
          <w:tcPr>
            <w:tcW w:w="1242" w:type="dxa"/>
            <w:shd w:val="clear" w:color="auto" w:fill="auto"/>
          </w:tcPr>
          <w:p w14:paraId="6D6D877F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DF408ED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36073441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4D6C7861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</w:tr>
      <w:tr w:rsidR="004573E2" w:rsidRPr="00453581" w14:paraId="2AF0FA48" w14:textId="77777777" w:rsidTr="007A61EC">
        <w:tc>
          <w:tcPr>
            <w:tcW w:w="1242" w:type="dxa"/>
            <w:shd w:val="clear" w:color="auto" w:fill="auto"/>
          </w:tcPr>
          <w:p w14:paraId="6D6B296F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3216C8D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744E4658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79ED9819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</w:tr>
      <w:tr w:rsidR="004573E2" w:rsidRPr="00453581" w14:paraId="63D09EFE" w14:textId="77777777" w:rsidTr="007A61EC">
        <w:tc>
          <w:tcPr>
            <w:tcW w:w="1242" w:type="dxa"/>
            <w:shd w:val="clear" w:color="auto" w:fill="auto"/>
          </w:tcPr>
          <w:p w14:paraId="79BE7817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B1205B1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1D710A2E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14A04701" w14:textId="77777777" w:rsidR="004573E2" w:rsidRPr="00453581" w:rsidRDefault="004573E2" w:rsidP="007A61EC">
            <w:pPr>
              <w:rPr>
                <w:rFonts w:eastAsia="Calibri"/>
              </w:rPr>
            </w:pPr>
          </w:p>
        </w:tc>
      </w:tr>
    </w:tbl>
    <w:p w14:paraId="267ACC5A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6C3B28F2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4618A58C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549538DC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2386CD51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011A97BB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2C859426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2C313216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26970120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118F97BD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082969F5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2147D0D8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03CBB2C7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0DE8D715" w14:textId="77777777" w:rsidR="004573E2" w:rsidRDefault="004573E2" w:rsidP="004573E2">
      <w:pPr>
        <w:tabs>
          <w:tab w:val="left" w:pos="851"/>
        </w:tabs>
        <w:spacing w:after="240" w:line="312" w:lineRule="auto"/>
        <w:rPr>
          <w:rFonts w:ascii="Verdana" w:eastAsia="Verdana" w:hAnsi="Verdana" w:cs="Verdana"/>
          <w:b/>
          <w:sz w:val="20"/>
        </w:rPr>
      </w:pPr>
    </w:p>
    <w:p w14:paraId="630573A7" w14:textId="77777777" w:rsidR="00B97177" w:rsidRPr="00453581" w:rsidRDefault="00B97177" w:rsidP="00B97177">
      <w:pPr>
        <w:rPr>
          <w:b/>
        </w:rPr>
      </w:pPr>
      <w:r w:rsidRPr="00453581">
        <w:rPr>
          <w:b/>
        </w:rPr>
        <w:lastRenderedPageBreak/>
        <w:t>Contents</w:t>
      </w:r>
    </w:p>
    <w:p w14:paraId="6332CACC" w14:textId="77777777" w:rsidR="00B97177" w:rsidRDefault="00B97177" w:rsidP="00B97177"/>
    <w:p w14:paraId="2E9ADAFD" w14:textId="77777777" w:rsidR="00B97177" w:rsidRPr="00453581" w:rsidRDefault="00B97177" w:rsidP="00B97177"/>
    <w:p w14:paraId="1295A0A5" w14:textId="433E5846" w:rsidR="00B97177" w:rsidRDefault="00B97177" w:rsidP="00F90238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C57C54">
        <w:rPr>
          <w:b/>
          <w:color w:val="5C2D91"/>
        </w:rPr>
        <w:fldChar w:fldCharType="begin"/>
      </w:r>
      <w:r w:rsidRPr="00C57C54">
        <w:rPr>
          <w:b/>
          <w:color w:val="5C2D91"/>
        </w:rPr>
        <w:instrText xml:space="preserve"> TOC \o "1-1" \h \z \u </w:instrText>
      </w:r>
      <w:r w:rsidRPr="00C57C54">
        <w:rPr>
          <w:b/>
          <w:color w:val="5C2D91"/>
        </w:rPr>
        <w:fldChar w:fldCharType="separate"/>
      </w:r>
      <w:hyperlink w:anchor="_Toc77862611" w:history="1">
        <w:r w:rsidRPr="004F29BD">
          <w:rPr>
            <w:rStyle w:val="Hyperlink"/>
          </w:rPr>
          <w:t>JOB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_Toc77862611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409CA1" w14:textId="77777777" w:rsidR="00B97177" w:rsidRDefault="00000000" w:rsidP="00B97177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2613" w:history="1">
        <w:r w:rsidR="00B97177" w:rsidRPr="004F29BD">
          <w:rPr>
            <w:rStyle w:val="Hyperlink"/>
          </w:rPr>
          <w:t>MAIN RESPONSIBILITIES</w:t>
        </w:r>
        <w:r w:rsidR="00B97177">
          <w:rPr>
            <w:webHidden/>
          </w:rPr>
          <w:tab/>
        </w:r>
        <w:r w:rsidR="00B97177">
          <w:rPr>
            <w:webHidden/>
          </w:rPr>
          <w:fldChar w:fldCharType="begin"/>
        </w:r>
        <w:r w:rsidR="00B97177">
          <w:rPr>
            <w:webHidden/>
          </w:rPr>
          <w:instrText xml:space="preserve"> PAGEREF _Toc77862613 \h </w:instrText>
        </w:r>
        <w:r w:rsidR="00B97177">
          <w:rPr>
            <w:webHidden/>
          </w:rPr>
        </w:r>
        <w:r w:rsidR="00B97177">
          <w:rPr>
            <w:webHidden/>
          </w:rPr>
          <w:fldChar w:fldCharType="separate"/>
        </w:r>
        <w:r w:rsidR="00B97177">
          <w:rPr>
            <w:webHidden/>
          </w:rPr>
          <w:t>3</w:t>
        </w:r>
        <w:r w:rsidR="00B97177">
          <w:rPr>
            <w:webHidden/>
          </w:rPr>
          <w:fldChar w:fldCharType="end"/>
        </w:r>
      </w:hyperlink>
    </w:p>
    <w:p w14:paraId="15968CB1" w14:textId="7EF7F25D" w:rsidR="00B97177" w:rsidRDefault="00000000" w:rsidP="00194A73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2614" w:history="1">
        <w:r w:rsidR="00B97177" w:rsidRPr="004F29BD">
          <w:rPr>
            <w:rStyle w:val="Hyperlink"/>
          </w:rPr>
          <w:t xml:space="preserve">KEY </w:t>
        </w:r>
        <w:r w:rsidR="00194A73">
          <w:rPr>
            <w:rStyle w:val="Hyperlink"/>
          </w:rPr>
          <w:t>COMPETENCIES</w:t>
        </w:r>
        <w:r w:rsidR="00B97177">
          <w:rPr>
            <w:webHidden/>
          </w:rPr>
          <w:tab/>
        </w:r>
        <w:r w:rsidR="00B97177">
          <w:rPr>
            <w:webHidden/>
          </w:rPr>
          <w:fldChar w:fldCharType="begin"/>
        </w:r>
        <w:r w:rsidR="00B97177">
          <w:rPr>
            <w:webHidden/>
          </w:rPr>
          <w:instrText xml:space="preserve"> PAGEREF _Toc77862614 \h </w:instrText>
        </w:r>
        <w:r w:rsidR="00B97177">
          <w:rPr>
            <w:webHidden/>
          </w:rPr>
        </w:r>
        <w:r w:rsidR="00B97177">
          <w:rPr>
            <w:webHidden/>
          </w:rPr>
          <w:fldChar w:fldCharType="separate"/>
        </w:r>
        <w:r w:rsidR="00B97177">
          <w:rPr>
            <w:webHidden/>
          </w:rPr>
          <w:t>4</w:t>
        </w:r>
        <w:r w:rsidR="00B97177">
          <w:rPr>
            <w:webHidden/>
          </w:rPr>
          <w:fldChar w:fldCharType="end"/>
        </w:r>
      </w:hyperlink>
    </w:p>
    <w:p w14:paraId="4BA02FDA" w14:textId="2CAD26C8" w:rsidR="00B97177" w:rsidRDefault="00000000" w:rsidP="00B97177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2617" w:history="1">
        <w:r w:rsidR="00194A73">
          <w:rPr>
            <w:rStyle w:val="Hyperlink"/>
          </w:rPr>
          <w:t>POTENTIAL PROGRESSION</w:t>
        </w:r>
        <w:r w:rsidR="00194A73">
          <w:rPr>
            <w:webHidden/>
          </w:rPr>
          <w:tab/>
        </w:r>
        <w:r w:rsidR="00194A73">
          <w:rPr>
            <w:webHidden/>
          </w:rPr>
          <w:fldChar w:fldCharType="begin"/>
        </w:r>
        <w:r w:rsidR="00194A73">
          <w:rPr>
            <w:webHidden/>
          </w:rPr>
          <w:instrText xml:space="preserve"> PAGEREF _Toc77862617 \h </w:instrText>
        </w:r>
        <w:r w:rsidR="00194A73">
          <w:rPr>
            <w:webHidden/>
          </w:rPr>
        </w:r>
        <w:r w:rsidR="00194A73">
          <w:rPr>
            <w:webHidden/>
          </w:rPr>
          <w:fldChar w:fldCharType="separate"/>
        </w:r>
        <w:r w:rsidR="00194A73">
          <w:rPr>
            <w:webHidden/>
          </w:rPr>
          <w:t>5</w:t>
        </w:r>
        <w:r w:rsidR="00194A73">
          <w:rPr>
            <w:webHidden/>
          </w:rPr>
          <w:fldChar w:fldCharType="end"/>
        </w:r>
      </w:hyperlink>
      <w:hyperlink w:anchor="_Toc77862616" w:history="1"/>
    </w:p>
    <w:p w14:paraId="5B5897F5" w14:textId="59CD49E0" w:rsidR="00B97177" w:rsidRDefault="00000000" w:rsidP="00B97177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2617" w:history="1">
        <w:r w:rsidR="00B97177" w:rsidRPr="004F29BD">
          <w:rPr>
            <w:rStyle w:val="Hyperlink"/>
          </w:rPr>
          <w:t>HIGHFIELD GROUP WAY OF WORKING</w:t>
        </w:r>
        <w:r w:rsidR="00B97177">
          <w:rPr>
            <w:webHidden/>
          </w:rPr>
          <w:tab/>
        </w:r>
        <w:r w:rsidR="00B97177">
          <w:rPr>
            <w:webHidden/>
          </w:rPr>
          <w:fldChar w:fldCharType="begin"/>
        </w:r>
        <w:r w:rsidR="00B97177">
          <w:rPr>
            <w:webHidden/>
          </w:rPr>
          <w:instrText xml:space="preserve"> PAGEREF _Toc77862617 \h </w:instrText>
        </w:r>
        <w:r w:rsidR="00B97177">
          <w:rPr>
            <w:webHidden/>
          </w:rPr>
        </w:r>
        <w:r w:rsidR="00B97177">
          <w:rPr>
            <w:webHidden/>
          </w:rPr>
          <w:fldChar w:fldCharType="separate"/>
        </w:r>
        <w:r w:rsidR="00B97177">
          <w:rPr>
            <w:webHidden/>
          </w:rPr>
          <w:t>5</w:t>
        </w:r>
        <w:r w:rsidR="00B97177">
          <w:rPr>
            <w:webHidden/>
          </w:rPr>
          <w:fldChar w:fldCharType="end"/>
        </w:r>
      </w:hyperlink>
    </w:p>
    <w:p w14:paraId="70CA8311" w14:textId="5D844796" w:rsidR="00B97177" w:rsidRDefault="00000000" w:rsidP="00B97177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862618" w:history="1">
        <w:r w:rsidR="00B97177" w:rsidRPr="004F29BD">
          <w:rPr>
            <w:rStyle w:val="Hyperlink"/>
          </w:rPr>
          <w:t>HIGHFIELD GROUP’S COMMITMENT TO YOU</w:t>
        </w:r>
        <w:r w:rsidR="00B97177">
          <w:rPr>
            <w:webHidden/>
          </w:rPr>
          <w:tab/>
        </w:r>
        <w:r w:rsidR="00B97177">
          <w:rPr>
            <w:webHidden/>
          </w:rPr>
          <w:fldChar w:fldCharType="begin"/>
        </w:r>
        <w:r w:rsidR="00B97177">
          <w:rPr>
            <w:webHidden/>
          </w:rPr>
          <w:instrText xml:space="preserve"> PAGEREF _Toc77862618 \h </w:instrText>
        </w:r>
        <w:r w:rsidR="00B97177">
          <w:rPr>
            <w:webHidden/>
          </w:rPr>
        </w:r>
        <w:r w:rsidR="00B97177">
          <w:rPr>
            <w:webHidden/>
          </w:rPr>
          <w:fldChar w:fldCharType="separate"/>
        </w:r>
        <w:r w:rsidR="00B97177">
          <w:rPr>
            <w:webHidden/>
          </w:rPr>
          <w:t>5</w:t>
        </w:r>
        <w:r w:rsidR="00B97177">
          <w:rPr>
            <w:webHidden/>
          </w:rPr>
          <w:fldChar w:fldCharType="end"/>
        </w:r>
      </w:hyperlink>
    </w:p>
    <w:p w14:paraId="4889A17F" w14:textId="2413270D" w:rsidR="00B97177" w:rsidRDefault="00B97177" w:rsidP="00B97177">
      <w:pPr>
        <w:tabs>
          <w:tab w:val="left" w:pos="851"/>
        </w:tabs>
        <w:spacing w:after="240" w:line="312" w:lineRule="auto"/>
      </w:pPr>
      <w:r w:rsidRPr="00C57C54">
        <w:fldChar w:fldCharType="end"/>
      </w:r>
    </w:p>
    <w:p w14:paraId="49F97C16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2088F7F3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38E99027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43581688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376EB644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69C8B3DB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0DECD566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4D0511CE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5D13AD31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1F3D83A2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228A567C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04A59038" w14:textId="77777777" w:rsidR="00B97177" w:rsidRDefault="00B97177" w:rsidP="00B97177">
      <w:pPr>
        <w:tabs>
          <w:tab w:val="left" w:pos="851"/>
        </w:tabs>
        <w:spacing w:after="240" w:line="312" w:lineRule="auto"/>
      </w:pPr>
    </w:p>
    <w:p w14:paraId="6E939A7F" w14:textId="77777777" w:rsidR="00F15C9C" w:rsidRDefault="00F15C9C" w:rsidP="00B97177">
      <w:pPr>
        <w:tabs>
          <w:tab w:val="left" w:pos="851"/>
        </w:tabs>
        <w:spacing w:after="240" w:line="312" w:lineRule="auto"/>
      </w:pPr>
    </w:p>
    <w:p w14:paraId="63721C2B" w14:textId="77777777" w:rsidR="00F15C9C" w:rsidRDefault="00F15C9C" w:rsidP="00B97177">
      <w:pPr>
        <w:tabs>
          <w:tab w:val="left" w:pos="851"/>
        </w:tabs>
        <w:spacing w:after="240" w:line="312" w:lineRule="auto"/>
      </w:pPr>
    </w:p>
    <w:p w14:paraId="05DA17CB" w14:textId="77777777" w:rsidR="00F15C9C" w:rsidRDefault="00F15C9C" w:rsidP="00B97177">
      <w:pPr>
        <w:tabs>
          <w:tab w:val="left" w:pos="851"/>
        </w:tabs>
        <w:spacing w:after="240" w:line="312" w:lineRule="auto"/>
        <w:rPr>
          <w:rFonts w:ascii="Verdana" w:eastAsia="Verdana" w:hAnsi="Verdana" w:cs="Verdana"/>
          <w:b/>
          <w:sz w:val="20"/>
        </w:rPr>
      </w:pPr>
    </w:p>
    <w:p w14:paraId="08210421" w14:textId="77777777" w:rsidR="004573E2" w:rsidRDefault="004573E2" w:rsidP="00847BA5">
      <w:pPr>
        <w:tabs>
          <w:tab w:val="left" w:pos="851"/>
        </w:tabs>
        <w:spacing w:after="240" w:line="312" w:lineRule="auto"/>
        <w:ind w:left="851"/>
        <w:jc w:val="center"/>
        <w:rPr>
          <w:rFonts w:ascii="Verdana" w:eastAsia="Verdana" w:hAnsi="Verdana" w:cs="Verdana"/>
          <w:b/>
          <w:sz w:val="20"/>
        </w:rPr>
      </w:pPr>
    </w:p>
    <w:p w14:paraId="42D25AFF" w14:textId="77777777" w:rsidR="005B065C" w:rsidRDefault="005B065C" w:rsidP="005B065C">
      <w:pPr>
        <w:pStyle w:val="Heading1"/>
      </w:pPr>
      <w:bookmarkStart w:id="1" w:name="_Toc77862611"/>
      <w:bookmarkEnd w:id="0"/>
    </w:p>
    <w:p w14:paraId="41044FB7" w14:textId="1D939BF2" w:rsidR="005B065C" w:rsidRPr="00373D75" w:rsidRDefault="005B065C" w:rsidP="005B065C">
      <w:pPr>
        <w:pStyle w:val="Heading1"/>
      </w:pPr>
      <w:r w:rsidRPr="00373D75">
        <w:lastRenderedPageBreak/>
        <w:t>JOB DESCRIPTION</w:t>
      </w:r>
      <w:bookmarkEnd w:id="1"/>
    </w:p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2670"/>
        <w:gridCol w:w="6789"/>
      </w:tblGrid>
      <w:tr w:rsidR="005B065C" w:rsidRPr="00373D75" w14:paraId="516FAE6F" w14:textId="77777777" w:rsidTr="00926A30">
        <w:trPr>
          <w:trHeight w:val="496"/>
        </w:trPr>
        <w:tc>
          <w:tcPr>
            <w:tcW w:w="2670" w:type="dxa"/>
            <w:vAlign w:val="center"/>
          </w:tcPr>
          <w:p w14:paraId="5D72E4A3" w14:textId="77777777" w:rsidR="005B065C" w:rsidRPr="002E2FF9" w:rsidRDefault="005B065C" w:rsidP="007A61EC">
            <w:pPr>
              <w:rPr>
                <w:rFonts w:ascii="Verdana" w:hAnsi="Verdana"/>
                <w:sz w:val="20"/>
                <w:szCs w:val="20"/>
              </w:rPr>
            </w:pPr>
            <w:r w:rsidRPr="002E2FF9">
              <w:rPr>
                <w:rFonts w:ascii="Verdana" w:hAnsi="Verdana"/>
                <w:sz w:val="20"/>
                <w:szCs w:val="20"/>
              </w:rPr>
              <w:t>Job Title</w:t>
            </w:r>
          </w:p>
        </w:tc>
        <w:tc>
          <w:tcPr>
            <w:tcW w:w="6789" w:type="dxa"/>
            <w:vAlign w:val="center"/>
          </w:tcPr>
          <w:p w14:paraId="1BBA3428" w14:textId="43A68F48" w:rsidR="005B065C" w:rsidRPr="002E2FF9" w:rsidRDefault="005B065C" w:rsidP="007A61EC">
            <w:pPr>
              <w:rPr>
                <w:rFonts w:ascii="Verdana" w:hAnsi="Verdana"/>
                <w:sz w:val="20"/>
                <w:szCs w:val="20"/>
              </w:rPr>
            </w:pPr>
            <w:r w:rsidRPr="002E2FF9">
              <w:rPr>
                <w:rFonts w:ascii="Verdana" w:hAnsi="Verdana"/>
                <w:sz w:val="20"/>
                <w:szCs w:val="20"/>
              </w:rPr>
              <w:t xml:space="preserve">Centre Support and Compliance Officer </w:t>
            </w:r>
          </w:p>
        </w:tc>
      </w:tr>
      <w:tr w:rsidR="005B065C" w:rsidRPr="00373D75" w14:paraId="0960DBBF" w14:textId="77777777" w:rsidTr="00926A30">
        <w:trPr>
          <w:trHeight w:val="468"/>
        </w:trPr>
        <w:tc>
          <w:tcPr>
            <w:tcW w:w="2670" w:type="dxa"/>
            <w:vAlign w:val="center"/>
          </w:tcPr>
          <w:p w14:paraId="4483B23D" w14:textId="77777777" w:rsidR="005B065C" w:rsidRPr="002E2FF9" w:rsidRDefault="005B065C" w:rsidP="007A61EC">
            <w:pPr>
              <w:rPr>
                <w:rFonts w:ascii="Verdana" w:hAnsi="Verdana"/>
                <w:sz w:val="20"/>
                <w:szCs w:val="20"/>
              </w:rPr>
            </w:pPr>
            <w:r w:rsidRPr="002E2FF9">
              <w:rPr>
                <w:rFonts w:ascii="Verdana" w:hAnsi="Verdana"/>
                <w:sz w:val="20"/>
                <w:szCs w:val="20"/>
              </w:rPr>
              <w:t>Responsible to</w:t>
            </w:r>
          </w:p>
        </w:tc>
        <w:tc>
          <w:tcPr>
            <w:tcW w:w="6789" w:type="dxa"/>
            <w:vAlign w:val="center"/>
          </w:tcPr>
          <w:p w14:paraId="0B59A6CE" w14:textId="33F36C50" w:rsidR="005B065C" w:rsidRPr="002E2FF9" w:rsidRDefault="005B065C" w:rsidP="007A61EC">
            <w:pPr>
              <w:rPr>
                <w:rFonts w:ascii="Verdana" w:hAnsi="Verdana"/>
                <w:sz w:val="20"/>
                <w:szCs w:val="20"/>
              </w:rPr>
            </w:pPr>
            <w:r w:rsidRPr="002E2FF9">
              <w:rPr>
                <w:rFonts w:ascii="Verdana" w:hAnsi="Verdana"/>
                <w:sz w:val="20"/>
                <w:szCs w:val="20"/>
              </w:rPr>
              <w:t xml:space="preserve">Centre Support and Compliance Manager </w:t>
            </w:r>
          </w:p>
        </w:tc>
      </w:tr>
      <w:tr w:rsidR="00704C86" w:rsidRPr="00373D75" w14:paraId="6BABA2BC" w14:textId="77777777" w:rsidTr="00926A30">
        <w:trPr>
          <w:trHeight w:val="919"/>
        </w:trPr>
        <w:tc>
          <w:tcPr>
            <w:tcW w:w="2670" w:type="dxa"/>
            <w:vAlign w:val="center"/>
          </w:tcPr>
          <w:p w14:paraId="63DAD69F" w14:textId="43F8E236" w:rsidR="00704C86" w:rsidRPr="002E2FF9" w:rsidRDefault="002E2FF9" w:rsidP="007A6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Job Description</w:t>
            </w:r>
          </w:p>
        </w:tc>
        <w:tc>
          <w:tcPr>
            <w:tcW w:w="6789" w:type="dxa"/>
            <w:vAlign w:val="center"/>
          </w:tcPr>
          <w:p w14:paraId="6EE89511" w14:textId="15CF00C5" w:rsidR="00704C86" w:rsidRPr="002E2FF9" w:rsidRDefault="002E2FF9" w:rsidP="002E2FF9">
            <w:pPr>
              <w:pStyle w:val="NormalWeb"/>
              <w:spacing w:before="0" w:beforeAutospacing="0" w:after="120" w:afterAutospacing="0"/>
              <w:rPr>
                <w:rFonts w:ascii="Verdana" w:hAnsi="Verdana" w:cs="Segoe UI"/>
                <w:color w:val="444444"/>
                <w:sz w:val="20"/>
                <w:szCs w:val="20"/>
              </w:rPr>
            </w:pPr>
            <w:r w:rsidRPr="002E2FF9">
              <w:rPr>
                <w:rStyle w:val="Strong"/>
                <w:rFonts w:ascii="Verdana" w:hAnsi="Verdana" w:cs="Segoe UI"/>
                <w:b w:val="0"/>
                <w:bCs w:val="0"/>
                <w:color w:val="444444"/>
                <w:sz w:val="20"/>
                <w:szCs w:val="20"/>
              </w:rPr>
              <w:t>Th</w:t>
            </w:r>
            <w:r w:rsidR="0056173D" w:rsidRPr="002E2FF9">
              <w:rPr>
                <w:rStyle w:val="Strong"/>
                <w:rFonts w:ascii="Verdana" w:hAnsi="Verdana" w:cs="Segoe UI"/>
                <w:b w:val="0"/>
                <w:bCs w:val="0"/>
                <w:color w:val="444444"/>
                <w:sz w:val="20"/>
                <w:szCs w:val="20"/>
              </w:rPr>
              <w:t>e Centre Support and Compliance officer</w:t>
            </w:r>
            <w:r w:rsidR="0056173D" w:rsidRPr="002E2FF9">
              <w:rPr>
                <w:rFonts w:ascii="Verdana" w:hAnsi="Verdana" w:cs="Segoe UI"/>
                <w:b/>
                <w:bCs/>
                <w:color w:val="444444"/>
                <w:sz w:val="20"/>
                <w:szCs w:val="20"/>
              </w:rPr>
              <w:t> </w:t>
            </w:r>
            <w:r w:rsidR="0056173D" w:rsidRPr="002E2FF9">
              <w:rPr>
                <w:rFonts w:ascii="Verdana" w:hAnsi="Verdana" w:cs="Segoe UI"/>
                <w:color w:val="444444"/>
                <w:sz w:val="20"/>
                <w:szCs w:val="20"/>
              </w:rPr>
              <w:t>role is integral in ensuring our qualifications, end point assessments and services are delivered within the highest requirements set by ourselves and by our regulators.</w:t>
            </w:r>
            <w:r w:rsidR="002E3F38">
              <w:rPr>
                <w:rFonts w:ascii="Verdana" w:hAnsi="Verdana" w:cs="Segoe UI"/>
                <w:color w:val="444444"/>
                <w:sz w:val="20"/>
                <w:szCs w:val="20"/>
              </w:rPr>
              <w:t xml:space="preserve"> T</w:t>
            </w:r>
            <w:r w:rsidR="0056173D" w:rsidRPr="002E2FF9">
              <w:rPr>
                <w:rFonts w:ascii="Verdana" w:hAnsi="Verdana" w:cs="Segoe UI"/>
                <w:color w:val="444444"/>
                <w:sz w:val="20"/>
                <w:szCs w:val="20"/>
              </w:rPr>
              <w:t>he role includes involvement in complex investigations into malpractice, contributing to internal compliance/regulatory matters, enforcing our policies both internally and externally, while providing first class support to our Centres/internal teams.</w:t>
            </w:r>
          </w:p>
        </w:tc>
      </w:tr>
    </w:tbl>
    <w:p w14:paraId="3C0904A7" w14:textId="77777777" w:rsidR="005B065C" w:rsidRPr="007E123E" w:rsidRDefault="005B065C" w:rsidP="00847BA5">
      <w:pPr>
        <w:pStyle w:val="Level1"/>
        <w:numPr>
          <w:ilvl w:val="0"/>
          <w:numId w:val="0"/>
        </w:numPr>
        <w:ind w:left="851"/>
        <w:rPr>
          <w:b/>
        </w:rPr>
      </w:pPr>
    </w:p>
    <w:p w14:paraId="1836D10F" w14:textId="68F9E08F" w:rsidR="00C62370" w:rsidRPr="007E123E" w:rsidRDefault="00C62370" w:rsidP="00C62370">
      <w:pPr>
        <w:pStyle w:val="Level1"/>
        <w:numPr>
          <w:ilvl w:val="0"/>
          <w:numId w:val="7"/>
        </w:numPr>
        <w:rPr>
          <w:b/>
        </w:rPr>
      </w:pPr>
      <w:r w:rsidRPr="007E123E">
        <w:rPr>
          <w:b/>
        </w:rPr>
        <w:t xml:space="preserve">Main Responsibilities </w:t>
      </w:r>
    </w:p>
    <w:p w14:paraId="5528AEC2" w14:textId="073AD7E3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 xml:space="preserve">Following training, investigating cases of potential malpractice/maladministration, including making recommendations for actions and outcomes to the Centre Support and Compliance Manager.  </w:t>
      </w:r>
    </w:p>
    <w:p w14:paraId="7778CDC4" w14:textId="4B5DD3A1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Analysing course paperwork, documentation and information for potential evidence of malpractice and recording findings.</w:t>
      </w:r>
    </w:p>
    <w:p w14:paraId="698CA047" w14:textId="29D7DCCF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Analysing any evidence presented as part of an investigation and recording findings.</w:t>
      </w:r>
    </w:p>
    <w:p w14:paraId="593EB755" w14:textId="6E745786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Drafting investigation emails/letters and other correspondence as required.</w:t>
      </w:r>
    </w:p>
    <w:p w14:paraId="004E9F54" w14:textId="6D8729E3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Reviewing incoming emails, documentation/information and recording findings.</w:t>
      </w:r>
    </w:p>
    <w:p w14:paraId="755EECA9" w14:textId="01DBC5D4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Efficiently logging and tracking investigations, including the administration of hard copy and electronic files ensuring that all information (including evidence) is recorded accurately.</w:t>
      </w:r>
    </w:p>
    <w:p w14:paraId="674104B2" w14:textId="5B92585E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 xml:space="preserve">Conducting telephone interviews with Centre staff and/or tutors in relation to investigations.   </w:t>
      </w:r>
    </w:p>
    <w:p w14:paraId="1854F46E" w14:textId="3C286965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Conducting quality assurance calls / telephone interviews with learners and collating responses.</w:t>
      </w:r>
    </w:p>
    <w:p w14:paraId="75602520" w14:textId="54E8D7AF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Writing summary reports of investigations for submission to the Centre Support and Compliance Manager as required.</w:t>
      </w:r>
    </w:p>
    <w:p w14:paraId="03A73190" w14:textId="4424B147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Understanding and implementing all internal policies relevant to the Centre Support and Compliance Team.</w:t>
      </w:r>
    </w:p>
    <w:p w14:paraId="4EB1C756" w14:textId="38DF0810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lastRenderedPageBreak/>
        <w:t xml:space="preserve">Providing support and guidance to Highfield Centres to assist their compliance with Highfield and regulatory requirements via phone, email, letter and face-to-face meetings.  </w:t>
      </w:r>
    </w:p>
    <w:p w14:paraId="5F4526FA" w14:textId="38DF8F97" w:rsidR="00847BA5" w:rsidRPr="00847BA5" w:rsidRDefault="00847BA5" w:rsidP="00847BA5">
      <w:pPr>
        <w:pStyle w:val="Level2"/>
        <w:numPr>
          <w:ilvl w:val="1"/>
          <w:numId w:val="7"/>
        </w:numPr>
        <w:rPr>
          <w:b/>
        </w:rPr>
      </w:pPr>
      <w:r w:rsidRPr="00847BA5">
        <w:rPr>
          <w:bCs/>
        </w:rPr>
        <w:t>Liaising with internal Highfield staff to arrange visits to Centres and courses.</w:t>
      </w:r>
    </w:p>
    <w:p w14:paraId="73946107" w14:textId="3A46419A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 xml:space="preserve">To have a good understanding of Highfield’s suite of qualifications.   </w:t>
      </w:r>
    </w:p>
    <w:p w14:paraId="344F90EE" w14:textId="01A1F2DE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 xml:space="preserve">Understanding the requirements and criteria set by our qualification Regulators, i.e. Ofqual (General Conditions), SQA (Principles), Welsh Government (General Conditions) and SIA (Regulations).  </w:t>
      </w:r>
    </w:p>
    <w:p w14:paraId="3CEEF1DC" w14:textId="194A7092" w:rsidR="00847BA5" w:rsidRPr="00847BA5" w:rsidRDefault="00847BA5" w:rsidP="00847BA5">
      <w:pPr>
        <w:pStyle w:val="Level2"/>
        <w:numPr>
          <w:ilvl w:val="1"/>
          <w:numId w:val="7"/>
        </w:numPr>
        <w:rPr>
          <w:b/>
          <w:color w:val="5C2D91"/>
        </w:rPr>
      </w:pPr>
      <w:r w:rsidRPr="00F5726B">
        <w:rPr>
          <w:rFonts w:eastAsia="Verdana" w:cs="Verdana"/>
          <w:bCs/>
        </w:rPr>
        <w:t>Understanding the Highfield Core Manual, along with all internal policies and procedures.</w:t>
      </w:r>
    </w:p>
    <w:p w14:paraId="57CD53B9" w14:textId="54A5F7D3" w:rsidR="00847BA5" w:rsidRPr="00847BA5" w:rsidRDefault="00847BA5" w:rsidP="2C841692">
      <w:pPr>
        <w:pStyle w:val="Level2"/>
        <w:numPr>
          <w:ilvl w:val="1"/>
          <w:numId w:val="7"/>
        </w:numPr>
        <w:rPr>
          <w:b/>
          <w:bCs/>
          <w:color w:val="5C2D91"/>
        </w:rPr>
      </w:pPr>
      <w:r w:rsidRPr="2C841692">
        <w:rPr>
          <w:rFonts w:eastAsia="Verdana" w:cs="Verdana"/>
        </w:rPr>
        <w:t>Using the Highfield website and Highfield IT systems to review details of courses, tutors, Centres and learners.</w:t>
      </w:r>
    </w:p>
    <w:p w14:paraId="79B449F1" w14:textId="4697D68C" w:rsidR="475E53CD" w:rsidRDefault="475E53CD" w:rsidP="2C841692">
      <w:pPr>
        <w:pStyle w:val="Level2"/>
        <w:numPr>
          <w:ilvl w:val="1"/>
          <w:numId w:val="7"/>
        </w:numPr>
        <w:rPr>
          <w:b/>
          <w:bCs/>
          <w:color w:val="5C2D91"/>
        </w:rPr>
      </w:pPr>
      <w:r w:rsidRPr="2C841692">
        <w:rPr>
          <w:rFonts w:eastAsia="Verdana" w:cs="Verdana"/>
        </w:rPr>
        <w:t xml:space="preserve">Understanding Highfield’s Qualify at Home service and undertaking second line reviews of footage to inform decisions around awards. </w:t>
      </w:r>
    </w:p>
    <w:p w14:paraId="7E214BC4" w14:textId="56252CE5" w:rsidR="00847BA5" w:rsidRPr="00847BA5" w:rsidRDefault="00847BA5" w:rsidP="2C841692">
      <w:pPr>
        <w:pStyle w:val="Level2"/>
        <w:numPr>
          <w:ilvl w:val="1"/>
          <w:numId w:val="7"/>
        </w:numPr>
        <w:rPr>
          <w:b/>
          <w:bCs/>
          <w:color w:val="5C2D91"/>
        </w:rPr>
      </w:pPr>
      <w:r w:rsidRPr="2C841692">
        <w:rPr>
          <w:rFonts w:eastAsia="Verdana" w:cs="Verdana"/>
        </w:rPr>
        <w:t>Providing support and guidance to other departments within Highfield with queries relating to course paperwork, potential maladministration/malpractice and other queries as required.</w:t>
      </w:r>
    </w:p>
    <w:p w14:paraId="6B3828C0" w14:textId="4C6B6504" w:rsidR="00847BA5" w:rsidRPr="00847BA5" w:rsidRDefault="00847BA5" w:rsidP="2C841692">
      <w:pPr>
        <w:pStyle w:val="Level2"/>
        <w:numPr>
          <w:ilvl w:val="1"/>
          <w:numId w:val="7"/>
        </w:numPr>
        <w:rPr>
          <w:b/>
          <w:bCs/>
          <w:color w:val="5C2D91"/>
        </w:rPr>
      </w:pPr>
      <w:r w:rsidRPr="2C841692">
        <w:rPr>
          <w:rFonts w:eastAsia="Verdana" w:cs="Verdana"/>
        </w:rPr>
        <w:t>Supporting Centre Support and Compliance Manager, Senior Centre Support and Compliance Officer(s) and other Centre Support and Compliance Officers with investigations and other tasks as required.</w:t>
      </w:r>
    </w:p>
    <w:p w14:paraId="4F0F299D" w14:textId="79E783C5" w:rsidR="00847BA5" w:rsidRPr="00847BA5" w:rsidRDefault="00847BA5" w:rsidP="2C841692">
      <w:pPr>
        <w:pStyle w:val="Level2"/>
        <w:numPr>
          <w:ilvl w:val="1"/>
          <w:numId w:val="7"/>
        </w:numPr>
        <w:rPr>
          <w:b/>
          <w:bCs/>
          <w:color w:val="5C2D91"/>
        </w:rPr>
      </w:pPr>
      <w:r w:rsidRPr="2C841692">
        <w:rPr>
          <w:rFonts w:eastAsia="Verdana" w:cs="Verdana"/>
        </w:rPr>
        <w:t>Representing Highfield at events, meetings or visits as required.</w:t>
      </w:r>
    </w:p>
    <w:p w14:paraId="32DB99A2" w14:textId="7A49C902" w:rsidR="00847BA5" w:rsidRPr="00C3215B" w:rsidRDefault="00847BA5" w:rsidP="2C841692">
      <w:pPr>
        <w:pStyle w:val="Level2"/>
        <w:numPr>
          <w:ilvl w:val="1"/>
          <w:numId w:val="7"/>
        </w:numPr>
        <w:rPr>
          <w:b/>
          <w:bCs/>
          <w:color w:val="5C2D91"/>
        </w:rPr>
      </w:pPr>
      <w:r w:rsidRPr="2C841692">
        <w:rPr>
          <w:rFonts w:eastAsia="Verdana" w:cs="Verdana"/>
        </w:rPr>
        <w:t>Other tasks as the role may reasonably require.</w:t>
      </w:r>
    </w:p>
    <w:p w14:paraId="7B5ABA3F" w14:textId="77777777" w:rsidR="00C62370" w:rsidRPr="007E123E" w:rsidRDefault="00C62370" w:rsidP="00847BA5">
      <w:pPr>
        <w:pStyle w:val="Level1"/>
        <w:numPr>
          <w:ilvl w:val="0"/>
          <w:numId w:val="7"/>
        </w:numPr>
        <w:rPr>
          <w:b/>
        </w:rPr>
      </w:pPr>
      <w:r w:rsidRPr="007E123E">
        <w:rPr>
          <w:b/>
        </w:rPr>
        <w:t xml:space="preserve">Key Competencies </w:t>
      </w:r>
    </w:p>
    <w:p w14:paraId="62A7F8AC" w14:textId="7520701A" w:rsidR="00C62370" w:rsidRPr="00847BA5" w:rsidRDefault="00C62370" w:rsidP="00C62370">
      <w:pPr>
        <w:pStyle w:val="Level2"/>
        <w:numPr>
          <w:ilvl w:val="1"/>
          <w:numId w:val="7"/>
        </w:numPr>
      </w:pPr>
      <w:r w:rsidRPr="00881D9C">
        <w:t xml:space="preserve">Excellent </w:t>
      </w:r>
      <w:r w:rsidR="00847BA5" w:rsidRPr="00F5726B">
        <w:rPr>
          <w:rFonts w:eastAsia="Verdana" w:cs="Verdana"/>
          <w:bCs/>
        </w:rPr>
        <w:t>time management skills and ability to priorities and meet deadlines.</w:t>
      </w:r>
    </w:p>
    <w:p w14:paraId="78797A72" w14:textId="455DB315" w:rsidR="00847BA5" w:rsidRPr="00847BA5" w:rsidRDefault="00847BA5" w:rsidP="00C62370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Excellent organisational skills, particularly when dealing with a large and varied and case load.</w:t>
      </w:r>
    </w:p>
    <w:p w14:paraId="36AC057F" w14:textId="097EFC0F" w:rsidR="00847BA5" w:rsidRPr="00847BA5" w:rsidRDefault="00847BA5" w:rsidP="00C62370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Excellent written and oral communication skills.</w:t>
      </w:r>
    </w:p>
    <w:p w14:paraId="67987243" w14:textId="46C491D8" w:rsidR="00847BA5" w:rsidRPr="00847BA5" w:rsidRDefault="00847BA5" w:rsidP="00C62370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Confident and professional telephone manner.</w:t>
      </w:r>
    </w:p>
    <w:p w14:paraId="7E1BDBA3" w14:textId="3135FBEE" w:rsidR="00847BA5" w:rsidRPr="00847BA5" w:rsidRDefault="00847BA5" w:rsidP="00C62370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Good accuracy and attention to detail.</w:t>
      </w:r>
    </w:p>
    <w:p w14:paraId="7F0EAE6D" w14:textId="0B05D800" w:rsidR="00847BA5" w:rsidRPr="00847BA5" w:rsidRDefault="00847BA5" w:rsidP="00C62370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lastRenderedPageBreak/>
        <w:t>Excellent problem solving skills.</w:t>
      </w:r>
    </w:p>
    <w:p w14:paraId="7A3C2A0D" w14:textId="7627A926" w:rsidR="00847BA5" w:rsidRPr="00847BA5" w:rsidRDefault="00847BA5" w:rsidP="00C62370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Understanding the need for confidentiality.</w:t>
      </w:r>
    </w:p>
    <w:p w14:paraId="34F710F2" w14:textId="2D25BAF1" w:rsidR="00847BA5" w:rsidRPr="00881D9C" w:rsidRDefault="00847BA5" w:rsidP="007E123E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Proficient in Microsoft Office particularly Word, Excel and Outlook.</w:t>
      </w:r>
    </w:p>
    <w:p w14:paraId="3A887A4F" w14:textId="77777777" w:rsidR="00C62370" w:rsidRPr="007E123E" w:rsidRDefault="00C62370" w:rsidP="00C62370">
      <w:pPr>
        <w:pStyle w:val="Level1"/>
        <w:numPr>
          <w:ilvl w:val="0"/>
          <w:numId w:val="7"/>
        </w:numPr>
        <w:rPr>
          <w:b/>
        </w:rPr>
      </w:pPr>
      <w:r w:rsidRPr="007E123E">
        <w:rPr>
          <w:b/>
        </w:rPr>
        <w:t>Potential Progression</w:t>
      </w:r>
    </w:p>
    <w:p w14:paraId="2C09C3E9" w14:textId="1AC3897B" w:rsidR="00847BA5" w:rsidRPr="00881D9C" w:rsidRDefault="00847BA5" w:rsidP="00C3215B">
      <w:pPr>
        <w:pStyle w:val="Level2"/>
        <w:numPr>
          <w:ilvl w:val="1"/>
          <w:numId w:val="7"/>
        </w:numPr>
      </w:pPr>
      <w:r w:rsidRPr="00F5726B">
        <w:rPr>
          <w:rFonts w:eastAsia="Verdana" w:cs="Verdana"/>
          <w:bCs/>
        </w:rPr>
        <w:t>There are opportunities to progress within the Centre Support and Compliance team and as the business grows it is anticipated that more progression routes will become available.</w:t>
      </w:r>
    </w:p>
    <w:p w14:paraId="583CF348" w14:textId="6D8741C8" w:rsidR="00C62370" w:rsidRPr="007E123E" w:rsidRDefault="00C62370" w:rsidP="00C62370">
      <w:pPr>
        <w:pStyle w:val="Level1"/>
        <w:numPr>
          <w:ilvl w:val="0"/>
          <w:numId w:val="7"/>
        </w:numPr>
        <w:rPr>
          <w:b/>
          <w:u w:val="single"/>
        </w:rPr>
      </w:pPr>
      <w:r w:rsidRPr="007E123E">
        <w:rPr>
          <w:b/>
        </w:rPr>
        <w:t>The H</w:t>
      </w:r>
      <w:r w:rsidR="00847BA5" w:rsidRPr="007E123E">
        <w:rPr>
          <w:b/>
        </w:rPr>
        <w:t>ighfield</w:t>
      </w:r>
      <w:r w:rsidRPr="007E123E">
        <w:rPr>
          <w:b/>
        </w:rPr>
        <w:t xml:space="preserve"> Way of Working</w:t>
      </w:r>
    </w:p>
    <w:p w14:paraId="354DF0C4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t>Think customer;</w:t>
      </w:r>
    </w:p>
    <w:p w14:paraId="0A1A605B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>Be passionate about our products and services;</w:t>
      </w:r>
    </w:p>
    <w:p w14:paraId="30EF2BAC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>Be a team player;</w:t>
      </w:r>
    </w:p>
    <w:p w14:paraId="626B2A31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>Accept responsibility for your actions;</w:t>
      </w:r>
    </w:p>
    <w:p w14:paraId="443E894B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 xml:space="preserve">Be enthusiastic, honest and </w:t>
      </w:r>
      <w:proofErr w:type="gramStart"/>
      <w:r w:rsidRPr="00881D9C">
        <w:rPr>
          <w:bCs/>
          <w:iCs/>
        </w:rPr>
        <w:t>confident;</w:t>
      </w:r>
      <w:proofErr w:type="gramEnd"/>
      <w:r w:rsidRPr="00881D9C">
        <w:rPr>
          <w:bCs/>
          <w:iCs/>
        </w:rPr>
        <w:t xml:space="preserve"> </w:t>
      </w:r>
    </w:p>
    <w:p w14:paraId="2E25E6E0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>Listen and learn and respect confidentiality;</w:t>
      </w:r>
    </w:p>
    <w:p w14:paraId="7F16F70A" w14:textId="77777777" w:rsidR="00C62370" w:rsidRPr="00881D9C" w:rsidRDefault="00C62370" w:rsidP="00C62370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>Be loyal and committed to the Company and your future within the Company; and</w:t>
      </w:r>
    </w:p>
    <w:p w14:paraId="07490864" w14:textId="791D5C7A" w:rsidR="00847BA5" w:rsidRPr="00C3215B" w:rsidRDefault="00C62370" w:rsidP="00C3215B">
      <w:pPr>
        <w:pStyle w:val="Level2"/>
        <w:numPr>
          <w:ilvl w:val="1"/>
          <w:numId w:val="7"/>
        </w:numPr>
        <w:rPr>
          <w:u w:val="single"/>
        </w:rPr>
      </w:pPr>
      <w:r w:rsidRPr="00881D9C">
        <w:rPr>
          <w:bCs/>
          <w:iCs/>
        </w:rPr>
        <w:t>To respect all members of the team.</w:t>
      </w:r>
    </w:p>
    <w:p w14:paraId="19EAD54E" w14:textId="498D71A5" w:rsidR="00C62370" w:rsidRPr="007E123E" w:rsidRDefault="00C62370" w:rsidP="00C62370">
      <w:pPr>
        <w:pStyle w:val="Level1"/>
        <w:numPr>
          <w:ilvl w:val="0"/>
          <w:numId w:val="7"/>
        </w:numPr>
        <w:rPr>
          <w:b/>
        </w:rPr>
      </w:pPr>
      <w:r w:rsidRPr="007E123E">
        <w:rPr>
          <w:b/>
        </w:rPr>
        <w:t>H</w:t>
      </w:r>
      <w:r w:rsidR="00847BA5" w:rsidRPr="007E123E">
        <w:rPr>
          <w:b/>
        </w:rPr>
        <w:t>ighfield</w:t>
      </w:r>
      <w:r w:rsidRPr="007E123E">
        <w:rPr>
          <w:b/>
        </w:rPr>
        <w:t>’</w:t>
      </w:r>
      <w:r w:rsidR="00847BA5" w:rsidRPr="007E123E">
        <w:rPr>
          <w:b/>
        </w:rPr>
        <w:t>s</w:t>
      </w:r>
      <w:r w:rsidRPr="007E123E">
        <w:rPr>
          <w:b/>
        </w:rPr>
        <w:t xml:space="preserve"> Commitment to you. </w:t>
      </w:r>
    </w:p>
    <w:p w14:paraId="6105DBAA" w14:textId="77777777" w:rsidR="00C62370" w:rsidRPr="00881D9C" w:rsidRDefault="00C62370" w:rsidP="00C62370">
      <w:pPr>
        <w:pStyle w:val="Level2"/>
        <w:numPr>
          <w:ilvl w:val="1"/>
          <w:numId w:val="7"/>
        </w:numPr>
      </w:pPr>
      <w:r w:rsidRPr="00881D9C">
        <w:t xml:space="preserve">To build on your strengths and develop your skills; </w:t>
      </w:r>
    </w:p>
    <w:p w14:paraId="38C8E9CA" w14:textId="77777777" w:rsidR="00C62370" w:rsidRPr="00881D9C" w:rsidRDefault="00C62370" w:rsidP="00C62370">
      <w:pPr>
        <w:pStyle w:val="Level2"/>
        <w:numPr>
          <w:ilvl w:val="1"/>
          <w:numId w:val="7"/>
        </w:numPr>
      </w:pPr>
      <w:r>
        <w:rPr>
          <w:bCs/>
          <w:iCs/>
        </w:rPr>
        <w:t>To recognis</w:t>
      </w:r>
      <w:r w:rsidRPr="00881D9C">
        <w:rPr>
          <w:bCs/>
          <w:iCs/>
        </w:rPr>
        <w:t xml:space="preserve">e the value of your contribution; </w:t>
      </w:r>
    </w:p>
    <w:p w14:paraId="0EBDCCD8" w14:textId="77777777" w:rsidR="00C62370" w:rsidRPr="00881D9C" w:rsidRDefault="00C62370" w:rsidP="00C62370">
      <w:pPr>
        <w:pStyle w:val="Level2"/>
        <w:numPr>
          <w:ilvl w:val="1"/>
          <w:numId w:val="7"/>
        </w:numPr>
      </w:pPr>
      <w:r w:rsidRPr="00881D9C">
        <w:rPr>
          <w:bCs/>
          <w:iCs/>
        </w:rPr>
        <w:t xml:space="preserve">To respect the balance between life and work; </w:t>
      </w:r>
    </w:p>
    <w:p w14:paraId="22682182" w14:textId="77777777" w:rsidR="00C62370" w:rsidRPr="00881D9C" w:rsidRDefault="00C62370" w:rsidP="00C62370">
      <w:pPr>
        <w:pStyle w:val="Level2"/>
        <w:numPr>
          <w:ilvl w:val="1"/>
          <w:numId w:val="7"/>
        </w:numPr>
      </w:pPr>
      <w:r w:rsidRPr="00881D9C">
        <w:rPr>
          <w:bCs/>
          <w:iCs/>
        </w:rPr>
        <w:t>To maintain confidentiality;</w:t>
      </w:r>
    </w:p>
    <w:p w14:paraId="0FDA440F" w14:textId="77777777" w:rsidR="00C62370" w:rsidRPr="00881D9C" w:rsidRDefault="00C62370" w:rsidP="00C62370">
      <w:pPr>
        <w:pStyle w:val="Level2"/>
        <w:numPr>
          <w:ilvl w:val="1"/>
          <w:numId w:val="7"/>
        </w:numPr>
      </w:pPr>
      <w:r w:rsidRPr="00881D9C">
        <w:rPr>
          <w:bCs/>
          <w:iCs/>
        </w:rPr>
        <w:t>To provide excellent working conditions, and;</w:t>
      </w:r>
    </w:p>
    <w:p w14:paraId="4371A008" w14:textId="276A131A" w:rsidR="0032200A" w:rsidRDefault="00C62370" w:rsidP="00C62370">
      <w:pPr>
        <w:pStyle w:val="Level2"/>
        <w:numPr>
          <w:ilvl w:val="1"/>
          <w:numId w:val="7"/>
        </w:numPr>
      </w:pPr>
      <w:r w:rsidRPr="00881D9C">
        <w:t>To reward loyalty, commitment, innovation and outstanding performance.</w:t>
      </w:r>
    </w:p>
    <w:p w14:paraId="2B6BA5E0" w14:textId="5BC740E7" w:rsidR="00A220E2" w:rsidRPr="00A220E2" w:rsidRDefault="00A220E2" w:rsidP="00A220E2">
      <w:pPr>
        <w:rPr>
          <w:lang w:eastAsia="en-GB"/>
        </w:rPr>
      </w:pPr>
    </w:p>
    <w:p w14:paraId="3879F85B" w14:textId="2544F59C" w:rsidR="00A220E2" w:rsidRPr="00A220E2" w:rsidRDefault="00A220E2" w:rsidP="00A220E2">
      <w:pPr>
        <w:tabs>
          <w:tab w:val="left" w:pos="2085"/>
        </w:tabs>
        <w:rPr>
          <w:lang w:eastAsia="en-GB"/>
        </w:rPr>
      </w:pPr>
    </w:p>
    <w:sectPr w:rsidR="00A220E2" w:rsidRPr="00A220E2" w:rsidSect="00152266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BE9B" w14:textId="77777777" w:rsidR="003074EC" w:rsidRDefault="003074EC" w:rsidP="00E36785">
      <w:r>
        <w:separator/>
      </w:r>
    </w:p>
  </w:endnote>
  <w:endnote w:type="continuationSeparator" w:id="0">
    <w:p w14:paraId="2118AFEF" w14:textId="77777777" w:rsidR="003074EC" w:rsidRDefault="003074EC" w:rsidP="00E36785">
      <w:r>
        <w:continuationSeparator/>
      </w:r>
    </w:p>
  </w:endnote>
  <w:endnote w:type="continuationNotice" w:id="1">
    <w:p w14:paraId="7903D2B0" w14:textId="77777777" w:rsidR="003074EC" w:rsidRDefault="00307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2DEC" w14:textId="269B8BD2" w:rsidR="007E123E" w:rsidRPr="007E123E" w:rsidRDefault="007E123E" w:rsidP="007E123E">
    <w:pPr>
      <w:pStyle w:val="Footer"/>
      <w:rPr>
        <w:rFonts w:ascii="Verdana" w:hAnsi="Verdana"/>
        <w:color w:val="808080"/>
        <w:sz w:val="18"/>
        <w:szCs w:val="18"/>
      </w:rPr>
    </w:pPr>
    <w:r w:rsidRPr="007E123E">
      <w:rPr>
        <w:rFonts w:ascii="Verdana" w:hAnsi="Verdana"/>
        <w:color w:val="808080"/>
        <w:sz w:val="18"/>
        <w:szCs w:val="18"/>
      </w:rPr>
      <w:t>Centre Support and Compliance Officer Job Description</w:t>
    </w:r>
  </w:p>
  <w:p w14:paraId="6F9882A2" w14:textId="4248C0E8" w:rsidR="007E123E" w:rsidRPr="007E123E" w:rsidRDefault="007E123E" w:rsidP="007E123E">
    <w:pPr>
      <w:pStyle w:val="Footer"/>
      <w:rPr>
        <w:rFonts w:ascii="Verdana" w:hAnsi="Verdana"/>
        <w:color w:val="808080"/>
        <w:sz w:val="18"/>
        <w:szCs w:val="18"/>
      </w:rPr>
    </w:pPr>
    <w:r w:rsidRPr="007E123E">
      <w:rPr>
        <w:rFonts w:ascii="Verdana" w:hAnsi="Verdana"/>
        <w:color w:val="808080"/>
        <w:sz w:val="18"/>
        <w:szCs w:val="18"/>
      </w:rPr>
      <w:t>20</w:t>
    </w:r>
    <w:r w:rsidR="00A220E2">
      <w:rPr>
        <w:rFonts w:ascii="Verdana" w:hAnsi="Verdana"/>
        <w:color w:val="808080"/>
        <w:sz w:val="18"/>
        <w:szCs w:val="18"/>
      </w:rPr>
      <w:t>2</w:t>
    </w:r>
    <w:r w:rsidR="00437901">
      <w:rPr>
        <w:rFonts w:ascii="Verdana" w:hAnsi="Verdana"/>
        <w:color w:val="808080"/>
        <w:sz w:val="18"/>
        <w:szCs w:val="18"/>
      </w:rPr>
      <w:t>4</w:t>
    </w:r>
  </w:p>
  <w:p w14:paraId="37AF0945" w14:textId="21AB156F" w:rsidR="00E36785" w:rsidRDefault="00E36785" w:rsidP="00E36785">
    <w:pPr>
      <w:pStyle w:val="Footer"/>
      <w:jc w:val="center"/>
      <w:rPr>
        <w:rStyle w:val="PageNumber"/>
        <w:rFonts w:ascii="Verdana" w:hAnsi="Verdana"/>
        <w:sz w:val="16"/>
        <w:szCs w:val="16"/>
      </w:rPr>
    </w:pPr>
  </w:p>
  <w:p w14:paraId="51036173" w14:textId="77777777" w:rsidR="00E36785" w:rsidRPr="00E36785" w:rsidRDefault="00C053ED" w:rsidP="00E36785">
    <w:pPr>
      <w:pStyle w:val="Footer"/>
      <w:jc w:val="center"/>
      <w:rPr>
        <w:rFonts w:ascii="Verdana" w:hAnsi="Verdana"/>
        <w:sz w:val="16"/>
        <w:szCs w:val="16"/>
      </w:rPr>
    </w:pPr>
    <w:r w:rsidRPr="00023467">
      <w:rPr>
        <w:rStyle w:val="PageNumber"/>
        <w:rFonts w:ascii="Verdana" w:hAnsi="Verdana"/>
        <w:sz w:val="16"/>
        <w:szCs w:val="16"/>
      </w:rPr>
      <w:fldChar w:fldCharType="begin"/>
    </w:r>
    <w:r w:rsidR="00E36785" w:rsidRPr="00023467">
      <w:rPr>
        <w:rStyle w:val="PageNumber"/>
        <w:rFonts w:ascii="Verdana" w:hAnsi="Verdana"/>
        <w:sz w:val="16"/>
        <w:szCs w:val="16"/>
      </w:rPr>
      <w:instrText xml:space="preserve"> PAGE </w:instrText>
    </w:r>
    <w:r w:rsidRPr="00023467">
      <w:rPr>
        <w:rStyle w:val="PageNumber"/>
        <w:rFonts w:ascii="Verdana" w:hAnsi="Verdana"/>
        <w:sz w:val="16"/>
        <w:szCs w:val="16"/>
      </w:rPr>
      <w:fldChar w:fldCharType="separate"/>
    </w:r>
    <w:r w:rsidR="00643D98">
      <w:rPr>
        <w:rStyle w:val="PageNumber"/>
        <w:rFonts w:ascii="Verdana" w:hAnsi="Verdana"/>
        <w:noProof/>
        <w:sz w:val="16"/>
        <w:szCs w:val="16"/>
      </w:rPr>
      <w:t>1</w:t>
    </w:r>
    <w:r w:rsidRPr="00023467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41783" w14:textId="77777777" w:rsidR="003074EC" w:rsidRDefault="003074EC" w:rsidP="00E36785">
      <w:r>
        <w:separator/>
      </w:r>
    </w:p>
  </w:footnote>
  <w:footnote w:type="continuationSeparator" w:id="0">
    <w:p w14:paraId="44FD9891" w14:textId="77777777" w:rsidR="003074EC" w:rsidRDefault="003074EC" w:rsidP="00E36785">
      <w:r>
        <w:continuationSeparator/>
      </w:r>
    </w:p>
  </w:footnote>
  <w:footnote w:type="continuationNotice" w:id="1">
    <w:p w14:paraId="6375C736" w14:textId="77777777" w:rsidR="003074EC" w:rsidRDefault="00307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2B2C3" w14:textId="2591AD46" w:rsidR="00E36785" w:rsidRDefault="004F048A">
    <w:pPr>
      <w:pStyle w:val="Header"/>
    </w:pPr>
    <w:r>
      <w:t xml:space="preserve">                                         </w:t>
    </w:r>
    <w:r>
      <w:rPr>
        <w:noProof/>
      </w:rPr>
      <w:drawing>
        <wp:inline distT="0" distB="0" distL="0" distR="0" wp14:anchorId="380D9BA6" wp14:editId="46836B58">
          <wp:extent cx="2536190" cy="536575"/>
          <wp:effectExtent l="0" t="0" r="0" b="0"/>
          <wp:docPr id="425146876" name="Picture 42514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50B33E" w14:textId="77777777" w:rsidR="00E36785" w:rsidRDefault="00E36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B01"/>
    <w:multiLevelType w:val="hybridMultilevel"/>
    <w:tmpl w:val="1D7C932A"/>
    <w:lvl w:ilvl="0" w:tplc="20FA66B2">
      <w:start w:val="1"/>
      <w:numFmt w:val="decimal"/>
      <w:lvlText w:val="%1."/>
      <w:lvlJc w:val="left"/>
      <w:pPr>
        <w:ind w:left="928" w:hanging="360"/>
      </w:pPr>
      <w:rPr>
        <w:color w:val="00B0F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91C97"/>
    <w:multiLevelType w:val="hybridMultilevel"/>
    <w:tmpl w:val="95C8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FB2"/>
    <w:multiLevelType w:val="hybridMultilevel"/>
    <w:tmpl w:val="9FD645C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68A6331"/>
    <w:multiLevelType w:val="hybridMultilevel"/>
    <w:tmpl w:val="12F6E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C7C84"/>
    <w:multiLevelType w:val="hybridMultilevel"/>
    <w:tmpl w:val="2B50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87184"/>
    <w:multiLevelType w:val="multilevel"/>
    <w:tmpl w:val="D626FE2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Webdings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Webdings" w:hint="default"/>
        <w:b w:val="0"/>
        <w:i w:val="0"/>
        <w:color w:val="00AEEF"/>
        <w:sz w:val="20"/>
        <w:szCs w:val="2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cs="Webdings" w:hint="default"/>
        <w:b w:val="0"/>
        <w:i w:val="0"/>
        <w:color w:val="00AEEF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cs="Webdings"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cs="Webdings"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cs="Webdings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Webdings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Webdings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Webdings" w:hint="default"/>
      </w:rPr>
    </w:lvl>
  </w:abstractNum>
  <w:abstractNum w:abstractNumId="6" w15:restartNumberingAfterBreak="0">
    <w:nsid w:val="6B340398"/>
    <w:multiLevelType w:val="hybridMultilevel"/>
    <w:tmpl w:val="9FCA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4FB7"/>
    <w:multiLevelType w:val="hybridMultilevel"/>
    <w:tmpl w:val="EEDE7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89969">
    <w:abstractNumId w:val="1"/>
  </w:num>
  <w:num w:numId="2" w16cid:durableId="706105793">
    <w:abstractNumId w:val="4"/>
  </w:num>
  <w:num w:numId="3" w16cid:durableId="741487283">
    <w:abstractNumId w:val="3"/>
  </w:num>
  <w:num w:numId="4" w16cid:durableId="47145625">
    <w:abstractNumId w:val="6"/>
  </w:num>
  <w:num w:numId="5" w16cid:durableId="1908494045">
    <w:abstractNumId w:val="2"/>
  </w:num>
  <w:num w:numId="6" w16cid:durableId="1746301050">
    <w:abstractNumId w:val="5"/>
  </w:num>
  <w:num w:numId="7" w16cid:durableId="1860462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0424794">
    <w:abstractNumId w:val="7"/>
  </w:num>
  <w:num w:numId="9" w16cid:durableId="1973053779">
    <w:abstractNumId w:val="0"/>
  </w:num>
  <w:num w:numId="10" w16cid:durableId="258375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38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5"/>
    <w:rsid w:val="00000A8F"/>
    <w:rsid w:val="00004EA7"/>
    <w:rsid w:val="00021352"/>
    <w:rsid w:val="000243B5"/>
    <w:rsid w:val="0003261D"/>
    <w:rsid w:val="000361D5"/>
    <w:rsid w:val="00040E2A"/>
    <w:rsid w:val="00043A17"/>
    <w:rsid w:val="000667B3"/>
    <w:rsid w:val="00067124"/>
    <w:rsid w:val="000753DC"/>
    <w:rsid w:val="000831D1"/>
    <w:rsid w:val="0008692A"/>
    <w:rsid w:val="000A1CF3"/>
    <w:rsid w:val="000A44E1"/>
    <w:rsid w:val="000B1093"/>
    <w:rsid w:val="000C46ED"/>
    <w:rsid w:val="00152266"/>
    <w:rsid w:val="0015328B"/>
    <w:rsid w:val="00157386"/>
    <w:rsid w:val="00170062"/>
    <w:rsid w:val="00174F9C"/>
    <w:rsid w:val="001946BD"/>
    <w:rsid w:val="00194A73"/>
    <w:rsid w:val="00196C56"/>
    <w:rsid w:val="001B5B92"/>
    <w:rsid w:val="001D1C1C"/>
    <w:rsid w:val="001D32D7"/>
    <w:rsid w:val="001E35F4"/>
    <w:rsid w:val="001E5095"/>
    <w:rsid w:val="001F45C3"/>
    <w:rsid w:val="002663E1"/>
    <w:rsid w:val="00272659"/>
    <w:rsid w:val="00274CC8"/>
    <w:rsid w:val="00275DCB"/>
    <w:rsid w:val="002922F9"/>
    <w:rsid w:val="002A7D2C"/>
    <w:rsid w:val="002C5518"/>
    <w:rsid w:val="002D3759"/>
    <w:rsid w:val="002E2FF9"/>
    <w:rsid w:val="002E3D06"/>
    <w:rsid w:val="002E3F38"/>
    <w:rsid w:val="002E436E"/>
    <w:rsid w:val="003074EC"/>
    <w:rsid w:val="0032200A"/>
    <w:rsid w:val="0034615A"/>
    <w:rsid w:val="0036450B"/>
    <w:rsid w:val="00365DCF"/>
    <w:rsid w:val="00397112"/>
    <w:rsid w:val="003B5029"/>
    <w:rsid w:val="003E16BD"/>
    <w:rsid w:val="003F15B7"/>
    <w:rsid w:val="0040192E"/>
    <w:rsid w:val="00404783"/>
    <w:rsid w:val="00416764"/>
    <w:rsid w:val="004174D4"/>
    <w:rsid w:val="00424081"/>
    <w:rsid w:val="00437901"/>
    <w:rsid w:val="00441E6F"/>
    <w:rsid w:val="00447BB8"/>
    <w:rsid w:val="00453526"/>
    <w:rsid w:val="004573E2"/>
    <w:rsid w:val="00464E95"/>
    <w:rsid w:val="00466D02"/>
    <w:rsid w:val="004A1D72"/>
    <w:rsid w:val="004C3DFE"/>
    <w:rsid w:val="004E492A"/>
    <w:rsid w:val="004F048A"/>
    <w:rsid w:val="004F36FA"/>
    <w:rsid w:val="005128D3"/>
    <w:rsid w:val="005375E6"/>
    <w:rsid w:val="00540D30"/>
    <w:rsid w:val="00544702"/>
    <w:rsid w:val="005479EB"/>
    <w:rsid w:val="00552246"/>
    <w:rsid w:val="0056173D"/>
    <w:rsid w:val="0056360E"/>
    <w:rsid w:val="00590F42"/>
    <w:rsid w:val="005973D9"/>
    <w:rsid w:val="005A7CB9"/>
    <w:rsid w:val="005B065C"/>
    <w:rsid w:val="005B38BB"/>
    <w:rsid w:val="005E6F65"/>
    <w:rsid w:val="005F6A99"/>
    <w:rsid w:val="006019B6"/>
    <w:rsid w:val="00610240"/>
    <w:rsid w:val="00622FA6"/>
    <w:rsid w:val="00635D1B"/>
    <w:rsid w:val="00636B57"/>
    <w:rsid w:val="00643D98"/>
    <w:rsid w:val="00645BFC"/>
    <w:rsid w:val="00651D5A"/>
    <w:rsid w:val="00654773"/>
    <w:rsid w:val="00675AFA"/>
    <w:rsid w:val="0069016E"/>
    <w:rsid w:val="006A5B53"/>
    <w:rsid w:val="006C373F"/>
    <w:rsid w:val="006D6581"/>
    <w:rsid w:val="006F193D"/>
    <w:rsid w:val="006F21FA"/>
    <w:rsid w:val="00704C86"/>
    <w:rsid w:val="00713325"/>
    <w:rsid w:val="007366C1"/>
    <w:rsid w:val="007405FD"/>
    <w:rsid w:val="00751A6E"/>
    <w:rsid w:val="00761554"/>
    <w:rsid w:val="007761AE"/>
    <w:rsid w:val="00780B6E"/>
    <w:rsid w:val="007B3D6A"/>
    <w:rsid w:val="007E123E"/>
    <w:rsid w:val="00827001"/>
    <w:rsid w:val="00832196"/>
    <w:rsid w:val="00847BA5"/>
    <w:rsid w:val="00852B8D"/>
    <w:rsid w:val="00895084"/>
    <w:rsid w:val="00897653"/>
    <w:rsid w:val="008A1F8D"/>
    <w:rsid w:val="008A3B32"/>
    <w:rsid w:val="008C6224"/>
    <w:rsid w:val="008E1337"/>
    <w:rsid w:val="008E6983"/>
    <w:rsid w:val="008E751E"/>
    <w:rsid w:val="008F2F0E"/>
    <w:rsid w:val="008F5A23"/>
    <w:rsid w:val="008F663A"/>
    <w:rsid w:val="00926A30"/>
    <w:rsid w:val="00935254"/>
    <w:rsid w:val="009625D8"/>
    <w:rsid w:val="00977FCC"/>
    <w:rsid w:val="009B3215"/>
    <w:rsid w:val="009F26B8"/>
    <w:rsid w:val="009F57DF"/>
    <w:rsid w:val="00A10BDA"/>
    <w:rsid w:val="00A13923"/>
    <w:rsid w:val="00A220E2"/>
    <w:rsid w:val="00A346A3"/>
    <w:rsid w:val="00A64999"/>
    <w:rsid w:val="00A93297"/>
    <w:rsid w:val="00A9682A"/>
    <w:rsid w:val="00AA3503"/>
    <w:rsid w:val="00AC4526"/>
    <w:rsid w:val="00B56631"/>
    <w:rsid w:val="00B61B6F"/>
    <w:rsid w:val="00B67D86"/>
    <w:rsid w:val="00B97177"/>
    <w:rsid w:val="00BA5CB7"/>
    <w:rsid w:val="00BD6A04"/>
    <w:rsid w:val="00BD7892"/>
    <w:rsid w:val="00BE4D35"/>
    <w:rsid w:val="00BF6223"/>
    <w:rsid w:val="00C053ED"/>
    <w:rsid w:val="00C0689C"/>
    <w:rsid w:val="00C1770B"/>
    <w:rsid w:val="00C306FB"/>
    <w:rsid w:val="00C3215B"/>
    <w:rsid w:val="00C42247"/>
    <w:rsid w:val="00C62370"/>
    <w:rsid w:val="00C62CC1"/>
    <w:rsid w:val="00C71521"/>
    <w:rsid w:val="00C80474"/>
    <w:rsid w:val="00C81DD7"/>
    <w:rsid w:val="00CB43CD"/>
    <w:rsid w:val="00CB7BE2"/>
    <w:rsid w:val="00CE3519"/>
    <w:rsid w:val="00CE594D"/>
    <w:rsid w:val="00CE6DE9"/>
    <w:rsid w:val="00CF0635"/>
    <w:rsid w:val="00CF2903"/>
    <w:rsid w:val="00CF7FB8"/>
    <w:rsid w:val="00D1252B"/>
    <w:rsid w:val="00D46140"/>
    <w:rsid w:val="00D816D0"/>
    <w:rsid w:val="00D81841"/>
    <w:rsid w:val="00D86175"/>
    <w:rsid w:val="00DA39A0"/>
    <w:rsid w:val="00DA69E8"/>
    <w:rsid w:val="00DD0F6D"/>
    <w:rsid w:val="00DE10BB"/>
    <w:rsid w:val="00DE59A9"/>
    <w:rsid w:val="00DF6A4A"/>
    <w:rsid w:val="00E13B36"/>
    <w:rsid w:val="00E36785"/>
    <w:rsid w:val="00E54C02"/>
    <w:rsid w:val="00E646CD"/>
    <w:rsid w:val="00E67111"/>
    <w:rsid w:val="00E717BA"/>
    <w:rsid w:val="00E73DF1"/>
    <w:rsid w:val="00E8350E"/>
    <w:rsid w:val="00E975E7"/>
    <w:rsid w:val="00EA3DDB"/>
    <w:rsid w:val="00EB3759"/>
    <w:rsid w:val="00EE3B3E"/>
    <w:rsid w:val="00EF6749"/>
    <w:rsid w:val="00F05F13"/>
    <w:rsid w:val="00F15BC5"/>
    <w:rsid w:val="00F15C9C"/>
    <w:rsid w:val="00F35740"/>
    <w:rsid w:val="00F63CD2"/>
    <w:rsid w:val="00F90238"/>
    <w:rsid w:val="00F91936"/>
    <w:rsid w:val="00FA092C"/>
    <w:rsid w:val="00FA5A8E"/>
    <w:rsid w:val="00FB3AC4"/>
    <w:rsid w:val="00FC1DF0"/>
    <w:rsid w:val="00FD54BD"/>
    <w:rsid w:val="00FE48E5"/>
    <w:rsid w:val="00FE6E18"/>
    <w:rsid w:val="00FF3E66"/>
    <w:rsid w:val="00FF4D1D"/>
    <w:rsid w:val="2C841692"/>
    <w:rsid w:val="43E41676"/>
    <w:rsid w:val="475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9C85"/>
  <w15:docId w15:val="{AA56D421-C870-4176-AAC2-0E87C824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PA Chapter,1,numbered indent 1,ni1,Heading A,Section,Section Title,Section Heading,Heading 1 - Do not use,Heading 1numbered,(Alt+1),H1,Head1,Head,Numbered,nu,Level 1 Head,Lev 1,h11,h12,h13,h14,h15,h16,h17,Outline1,Section1,Section2,Section3"/>
    <w:basedOn w:val="Level1"/>
    <w:next w:val="Normal"/>
    <w:link w:val="Heading1Char"/>
    <w:qFormat/>
    <w:rsid w:val="005B065C"/>
    <w:pPr>
      <w:numPr>
        <w:numId w:val="0"/>
      </w:numPr>
      <w:jc w:val="left"/>
    </w:pPr>
    <w:rPr>
      <w:b/>
      <w:color w:val="00000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85"/>
  </w:style>
  <w:style w:type="paragraph" w:styleId="Footer">
    <w:name w:val="footer"/>
    <w:basedOn w:val="Normal"/>
    <w:link w:val="FooterChar"/>
    <w:uiPriority w:val="99"/>
    <w:unhideWhenUsed/>
    <w:rsid w:val="00E36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85"/>
  </w:style>
  <w:style w:type="paragraph" w:styleId="BalloonText">
    <w:name w:val="Balloon Text"/>
    <w:basedOn w:val="Normal"/>
    <w:link w:val="BalloonTextChar"/>
    <w:uiPriority w:val="99"/>
    <w:semiHidden/>
    <w:unhideWhenUsed/>
    <w:rsid w:val="00E36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8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6785"/>
  </w:style>
  <w:style w:type="character" w:styleId="CommentReference">
    <w:name w:val="annotation reference"/>
    <w:basedOn w:val="DefaultParagraphFont"/>
    <w:uiPriority w:val="99"/>
    <w:semiHidden/>
    <w:unhideWhenUsed/>
    <w:rsid w:val="00066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7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1093"/>
    <w:pPr>
      <w:ind w:left="720"/>
      <w:contextualSpacing/>
    </w:pPr>
  </w:style>
  <w:style w:type="paragraph" w:customStyle="1" w:styleId="Level1">
    <w:name w:val="Level 1"/>
    <w:basedOn w:val="Normal"/>
    <w:rsid w:val="008A1F8D"/>
    <w:pPr>
      <w:numPr>
        <w:numId w:val="6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2">
    <w:name w:val="Level 2"/>
    <w:basedOn w:val="Normal"/>
    <w:rsid w:val="008A1F8D"/>
    <w:pPr>
      <w:numPr>
        <w:ilvl w:val="1"/>
        <w:numId w:val="6"/>
      </w:numPr>
      <w:spacing w:after="240" w:line="312" w:lineRule="auto"/>
      <w:jc w:val="both"/>
      <w:outlineLvl w:val="1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3">
    <w:name w:val="Level 3"/>
    <w:basedOn w:val="Normal"/>
    <w:rsid w:val="008A1F8D"/>
    <w:pPr>
      <w:numPr>
        <w:ilvl w:val="2"/>
        <w:numId w:val="6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4">
    <w:name w:val="Level 4"/>
    <w:basedOn w:val="Normal"/>
    <w:rsid w:val="008A1F8D"/>
    <w:pPr>
      <w:numPr>
        <w:ilvl w:val="3"/>
        <w:numId w:val="6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5">
    <w:name w:val="Level 5"/>
    <w:basedOn w:val="Normal"/>
    <w:rsid w:val="008A1F8D"/>
    <w:pPr>
      <w:numPr>
        <w:ilvl w:val="4"/>
        <w:numId w:val="6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B97177"/>
    <w:pPr>
      <w:tabs>
        <w:tab w:val="left" w:pos="993"/>
        <w:tab w:val="right" w:leader="dot" w:pos="9016"/>
      </w:tabs>
      <w:spacing w:line="360" w:lineRule="auto"/>
    </w:pPr>
    <w:rPr>
      <w:rFonts w:ascii="Verdana" w:eastAsia="Times New Roman" w:hAnsi="Verdana" w:cs="Times New Roman"/>
      <w:noProof/>
      <w:sz w:val="20"/>
      <w:szCs w:val="20"/>
      <w:lang w:eastAsia="en-GB"/>
    </w:rPr>
  </w:style>
  <w:style w:type="character" w:styleId="Hyperlink">
    <w:name w:val="Hyperlink"/>
    <w:uiPriority w:val="99"/>
    <w:rsid w:val="00B97177"/>
    <w:rPr>
      <w:color w:val="0000FF"/>
      <w:u w:val="single"/>
    </w:rPr>
  </w:style>
  <w:style w:type="character" w:customStyle="1" w:styleId="Heading1Char">
    <w:name w:val="Heading 1 Char"/>
    <w:aliases w:val="h1 Char,PA Chapter Char,1 Char,numbered indent 1 Char,ni1 Char,Heading A Char,Section Char,Section Title Char,Section Heading Char,Heading 1 - Do not use Char,Heading 1numbered Char,(Alt+1) Char,H1 Char,Head1 Char,Head Char,Numbered Char"/>
    <w:basedOn w:val="DefaultParagraphFont"/>
    <w:link w:val="Heading1"/>
    <w:rsid w:val="005B065C"/>
    <w:rPr>
      <w:rFonts w:ascii="Verdana" w:eastAsia="Times New Roman" w:hAnsi="Verdana" w:cs="Times New Roman"/>
      <w:b/>
      <w:color w:val="000000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5617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1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3daa1-b633-4bd3-bf05-ac0f441796eb" xsi:nil="true"/>
    <lcf76f155ced4ddcb4097134ff3c332f xmlns="b8ceb444-6cc8-4767-96c4-1946d5f1da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446A5E85C9444A489EB854782F70B" ma:contentTypeVersion="17" ma:contentTypeDescription="Create a new document." ma:contentTypeScope="" ma:versionID="898552346602afa06a2c1c4702e41e85">
  <xsd:schema xmlns:xsd="http://www.w3.org/2001/XMLSchema" xmlns:xs="http://www.w3.org/2001/XMLSchema" xmlns:p="http://schemas.microsoft.com/office/2006/metadata/properties" xmlns:ns2="b8ceb444-6cc8-4767-96c4-1946d5f1da81" xmlns:ns3="6453daa1-b633-4bd3-bf05-ac0f441796eb" targetNamespace="http://schemas.microsoft.com/office/2006/metadata/properties" ma:root="true" ma:fieldsID="4ef88e9b999edc2bfc5ca31f50e44130" ns2:_="" ns3:_="">
    <xsd:import namespace="b8ceb444-6cc8-4767-96c4-1946d5f1da81"/>
    <xsd:import namespace="6453daa1-b633-4bd3-bf05-ac0f4417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444-6cc8-4767-96c4-1946d5f1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3daa1-b633-4bd3-bf05-ac0f4417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c2a1-54dd-4d2c-a079-c022aa55a68d}" ma:internalName="TaxCatchAll" ma:showField="CatchAllData" ma:web="6453daa1-b633-4bd3-bf05-ac0f44179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CC67A-0D23-46AE-B850-9661CA98046F}">
  <ds:schemaRefs>
    <ds:schemaRef ds:uri="http://schemas.microsoft.com/office/2006/metadata/properties"/>
    <ds:schemaRef ds:uri="http://schemas.microsoft.com/office/infopath/2007/PartnerControls"/>
    <ds:schemaRef ds:uri="6453daa1-b633-4bd3-bf05-ac0f441796eb"/>
    <ds:schemaRef ds:uri="b8ceb444-6cc8-4767-96c4-1946d5f1da81"/>
  </ds:schemaRefs>
</ds:datastoreItem>
</file>

<file path=customXml/itemProps2.xml><?xml version="1.0" encoding="utf-8"?>
<ds:datastoreItem xmlns:ds="http://schemas.openxmlformats.org/officeDocument/2006/customXml" ds:itemID="{D04A1C96-CC21-4C55-839C-9DDB04398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1986D-43AB-470D-8ED2-478B0F90B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b444-6cc8-4767-96c4-1946d5f1da81"/>
    <ds:schemaRef ds:uri="6453daa1-b633-4bd3-bf05-ac0f4417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9415C-F010-49A3-B1FD-45E271641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4483</Characters>
  <Application>Microsoft Office Word</Application>
  <DocSecurity>0</DocSecurity>
  <Lines>37</Lines>
  <Paragraphs>10</Paragraphs>
  <ScaleCrop>false</ScaleCrop>
  <Company>Highfield Awarding Body for Compliance Ltd</Company>
  <LinksUpToDate>false</LinksUpToDate>
  <CharactersWithSpaces>5259</CharactersWithSpaces>
  <SharedDoc>false</SharedDoc>
  <HLinks>
    <vt:vector size="42" baseType="variant"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_Toc77862618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_Toc77862617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_Toc77862616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_Toc77862615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_Toc77862614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_Toc77862613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_Toc77862611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tbloor@highfield.co.uk</dc:creator>
  <cp:lastModifiedBy>Zoe Hampshire</cp:lastModifiedBy>
  <cp:revision>5</cp:revision>
  <cp:lastPrinted>2015-02-18T14:30:00Z</cp:lastPrinted>
  <dcterms:created xsi:type="dcterms:W3CDTF">2024-01-05T15:53:00Z</dcterms:created>
  <dcterms:modified xsi:type="dcterms:W3CDTF">2024-07-17T09:05:00Z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0x010100E07446A5E85C9444A489EB854782F70B</vt:lpwstr>
  </property>
  <property fmtid="{D5CDD505-2E9C-101B-9397-08002B2CF9AE}" pid="3" name="MediaServiceImageTags">
    <vt:lpwstr/>
  </property>
</Properties>
</file>