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1C0E57" w:rsidRDefault="00E473A3"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I</w:t>
      </w:r>
      <w:r w:rsidR="001C0E57" w:rsidRPr="001C0E57">
        <w:rPr>
          <w:rFonts w:ascii="Addington CF Thin" w:hAnsi="Addington CF Thin"/>
          <w:color w:val="auto"/>
          <w:sz w:val="44"/>
          <w:szCs w:val="44"/>
        </w:rPr>
        <w:t>nvitation to Comment:</w:t>
      </w:r>
    </w:p>
    <w:p w14:paraId="5A68603D" w14:textId="0DF56754" w:rsidR="00BF0BE9" w:rsidRPr="00BF0BE9" w:rsidRDefault="001C0E57" w:rsidP="00BF0BE9">
      <w:pPr>
        <w:keepNext/>
        <w:spacing w:before="0" w:after="120" w:line="240" w:lineRule="auto"/>
        <w:rPr>
          <w:rFonts w:ascii="Addington CF Thin" w:hAnsi="Addington CF Thin"/>
          <w:color w:val="auto"/>
          <w:sz w:val="44"/>
          <w:szCs w:val="44"/>
        </w:rPr>
      </w:pPr>
      <w:r w:rsidRPr="001C0E57">
        <w:rPr>
          <w:rFonts w:ascii="Addington CF Thin" w:hAnsi="Addington CF Thin"/>
          <w:color w:val="auto"/>
          <w:sz w:val="44"/>
          <w:szCs w:val="44"/>
        </w:rPr>
        <w:t xml:space="preserve">Draft Comment Letter–IASB’s </w:t>
      </w:r>
      <w:r w:rsidR="00CD62B4">
        <w:rPr>
          <w:rFonts w:ascii="Addington CF Thin" w:hAnsi="Addington CF Thin"/>
          <w:color w:val="auto"/>
          <w:sz w:val="44"/>
          <w:szCs w:val="44"/>
        </w:rPr>
        <w:t>ED</w:t>
      </w:r>
      <w:r w:rsidR="003F14BF" w:rsidRPr="00463B30">
        <w:rPr>
          <w:rFonts w:ascii="Addington CF Thin" w:hAnsi="Addington CF Thin"/>
          <w:color w:val="auto"/>
          <w:sz w:val="44"/>
          <w:szCs w:val="44"/>
        </w:rPr>
        <w:t>/202</w:t>
      </w:r>
      <w:r w:rsidR="00CD62B4">
        <w:rPr>
          <w:rFonts w:ascii="Addington CF Thin" w:hAnsi="Addington CF Thin"/>
          <w:color w:val="auto"/>
          <w:sz w:val="44"/>
          <w:szCs w:val="44"/>
        </w:rPr>
        <w:t>1</w:t>
      </w:r>
      <w:r w:rsidR="003F14BF" w:rsidRPr="00463B30">
        <w:rPr>
          <w:rFonts w:ascii="Addington CF Thin" w:hAnsi="Addington CF Thin"/>
          <w:color w:val="auto"/>
          <w:sz w:val="44"/>
          <w:szCs w:val="44"/>
        </w:rPr>
        <w:t>/</w:t>
      </w:r>
      <w:r w:rsidR="00CD62B4">
        <w:rPr>
          <w:rFonts w:ascii="Addington CF Thin" w:hAnsi="Addington CF Thin"/>
          <w:color w:val="auto"/>
          <w:sz w:val="44"/>
          <w:szCs w:val="44"/>
        </w:rPr>
        <w:t>1</w:t>
      </w:r>
      <w:r w:rsidR="003F14BF" w:rsidRPr="00463B30">
        <w:rPr>
          <w:rFonts w:ascii="Addington CF Thin" w:hAnsi="Addington CF Thin"/>
          <w:color w:val="auto"/>
          <w:sz w:val="44"/>
          <w:szCs w:val="44"/>
        </w:rPr>
        <w:t xml:space="preserve"> </w:t>
      </w:r>
      <w:r w:rsidR="00CD62B4" w:rsidRPr="00CD62B4">
        <w:rPr>
          <w:rFonts w:ascii="Addington CF Thin" w:hAnsi="Addington CF Thin"/>
          <w:i/>
          <w:iCs/>
          <w:color w:val="auto"/>
          <w:sz w:val="44"/>
          <w:szCs w:val="44"/>
        </w:rPr>
        <w:t>Regulatory Assets</w:t>
      </w:r>
      <w:r w:rsidR="00CD62B4">
        <w:rPr>
          <w:rFonts w:ascii="Addington CF Thin" w:hAnsi="Addington CF Thin"/>
          <w:i/>
          <w:iCs/>
          <w:color w:val="auto"/>
          <w:sz w:val="44"/>
          <w:szCs w:val="44"/>
        </w:rPr>
        <w:t xml:space="preserve"> </w:t>
      </w:r>
      <w:r w:rsidR="00CD62B4" w:rsidRPr="00CD62B4">
        <w:rPr>
          <w:rFonts w:ascii="Addington CF Thin" w:hAnsi="Addington CF Thin"/>
          <w:i/>
          <w:iCs/>
          <w:color w:val="auto"/>
          <w:sz w:val="44"/>
          <w:szCs w:val="44"/>
        </w:rPr>
        <w:t>and Regulatory Liabilities</w:t>
      </w:r>
    </w:p>
    <w:tbl>
      <w:tblPr>
        <w:tblStyle w:val="TableGrid"/>
        <w:tblW w:w="0" w:type="auto"/>
        <w:tblLook w:val="04A0" w:firstRow="1" w:lastRow="0" w:firstColumn="1" w:lastColumn="0" w:noHBand="0" w:noVBand="1"/>
      </w:tblPr>
      <w:tblGrid>
        <w:gridCol w:w="9350"/>
      </w:tblGrid>
      <w:tr w:rsidR="00BF0BE9" w14:paraId="1A36C5E9" w14:textId="77777777" w:rsidTr="00BF0BE9">
        <w:tc>
          <w:tcPr>
            <w:tcW w:w="9350" w:type="dxa"/>
          </w:tcPr>
          <w:p w14:paraId="5EEADDB7" w14:textId="77777777"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Deadline for completion of this Invitation to Comment:</w:t>
            </w:r>
          </w:p>
          <w:p w14:paraId="7FD850F4" w14:textId="23BB06D8"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 xml:space="preserve">Close of business </w:t>
            </w:r>
            <w:r w:rsidR="00BC20EE">
              <w:rPr>
                <w:rFonts w:ascii="Addington CF Thin" w:hAnsi="Addington CF Thin" w:cs="Arial"/>
                <w:color w:val="auto"/>
                <w:sz w:val="36"/>
                <w:szCs w:val="36"/>
              </w:rPr>
              <w:t xml:space="preserve">Monday </w:t>
            </w:r>
            <w:r w:rsidR="002470BF">
              <w:rPr>
                <w:rFonts w:ascii="Addington CF Thin" w:hAnsi="Addington CF Thin" w:cs="Arial"/>
                <w:color w:val="auto"/>
                <w:sz w:val="36"/>
                <w:szCs w:val="36"/>
              </w:rPr>
              <w:t>2</w:t>
            </w:r>
            <w:r w:rsidR="00BC20EE">
              <w:rPr>
                <w:rFonts w:ascii="Addington CF Thin" w:hAnsi="Addington CF Thin" w:cs="Arial"/>
                <w:color w:val="auto"/>
                <w:sz w:val="36"/>
                <w:szCs w:val="36"/>
              </w:rPr>
              <w:t>6</w:t>
            </w:r>
            <w:r w:rsidR="003036B1">
              <w:rPr>
                <w:rFonts w:ascii="Calibri" w:hAnsi="Calibri" w:cs="Calibri"/>
                <w:color w:val="auto"/>
                <w:sz w:val="36"/>
                <w:szCs w:val="36"/>
              </w:rPr>
              <w:t> </w:t>
            </w:r>
            <w:r w:rsidR="002470BF">
              <w:rPr>
                <w:rFonts w:ascii="Addington CF Thin" w:hAnsi="Addington CF Thin" w:cs="Arial"/>
                <w:color w:val="auto"/>
                <w:sz w:val="36"/>
                <w:szCs w:val="36"/>
              </w:rPr>
              <w:t>July</w:t>
            </w:r>
            <w:r w:rsidRPr="00011DF8">
              <w:rPr>
                <w:rFonts w:ascii="Addington CF Thin" w:hAnsi="Addington CF Thin" w:cs="Arial"/>
                <w:color w:val="auto"/>
                <w:sz w:val="36"/>
                <w:szCs w:val="36"/>
              </w:rPr>
              <w:t xml:space="preserve"> 2021</w:t>
            </w:r>
          </w:p>
          <w:p w14:paraId="617D2D11" w14:textId="5E64BAF5"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011DF8">
              <w:rPr>
                <w:rFonts w:ascii="Addington CF Thin" w:hAnsi="Addington CF Thin" w:cs="Arial"/>
                <w:color w:val="auto"/>
                <w:sz w:val="36"/>
                <w:szCs w:val="36"/>
              </w:rPr>
              <w:t xml:space="preserve">Please submit to: </w:t>
            </w:r>
            <w:hyperlink r:id="rId8" w:history="1">
              <w:r w:rsidR="00D7204B" w:rsidRPr="00B429EC">
                <w:rPr>
                  <w:rStyle w:val="Hyperlink"/>
                  <w:rFonts w:ascii="Addington CF Thin" w:hAnsi="Addington CF Thin" w:cs="Arial"/>
                  <w:sz w:val="36"/>
                  <w:szCs w:val="36"/>
                </w:rPr>
                <w:t>UKEndorsementBoard@endorsement-board.uk</w:t>
              </w:r>
            </w:hyperlink>
          </w:p>
        </w:tc>
      </w:tr>
    </w:tbl>
    <w:p w14:paraId="76969D4F"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Introduction</w:t>
      </w:r>
    </w:p>
    <w:p w14:paraId="0B1DE633" w14:textId="3F105002" w:rsidR="00D04658" w:rsidRPr="00326BFE" w:rsidRDefault="00D04658" w:rsidP="17701BB9">
      <w:pPr>
        <w:pStyle w:val="paragraph"/>
        <w:spacing w:before="0" w:beforeAutospacing="0" w:after="240" w:afterAutospacing="0"/>
        <w:jc w:val="both"/>
        <w:textAlignment w:val="baseline"/>
        <w:rPr>
          <w:rFonts w:ascii="Roboto UKEB" w:hAnsi="Roboto UKEB" w:cs="Arial"/>
          <w:b w:val="0"/>
          <w:bCs w:val="0"/>
          <w:color w:val="auto"/>
          <w:sz w:val="22"/>
          <w:szCs w:val="22"/>
        </w:rPr>
      </w:pPr>
      <w:r w:rsidRPr="17701BB9">
        <w:rPr>
          <w:rFonts w:ascii="Roboto UKEB" w:hAnsi="Roboto UKEB" w:cs="Arial"/>
          <w:b w:val="0"/>
          <w:bCs w:val="0"/>
          <w:color w:val="auto"/>
          <w:sz w:val="22"/>
          <w:szCs w:val="22"/>
        </w:rPr>
        <w:t xml:space="preserve">The objective of this Invitation to Comment is to obtain input from stakeholders on the </w:t>
      </w:r>
      <w:r w:rsidR="18AEFBBE" w:rsidRPr="17701BB9">
        <w:rPr>
          <w:rFonts w:ascii="Roboto UKEB" w:hAnsi="Roboto UKEB" w:cs="Arial"/>
          <w:b w:val="0"/>
          <w:bCs w:val="0"/>
          <w:color w:val="auto"/>
          <w:sz w:val="22"/>
          <w:szCs w:val="22"/>
        </w:rPr>
        <w:t xml:space="preserve">UKEB’s </w:t>
      </w:r>
      <w:r w:rsidRPr="17701BB9">
        <w:rPr>
          <w:rFonts w:ascii="Roboto UKEB" w:hAnsi="Roboto UKEB" w:cs="Arial"/>
          <w:b w:val="0"/>
          <w:bCs w:val="0"/>
          <w:color w:val="auto"/>
          <w:sz w:val="22"/>
          <w:szCs w:val="22"/>
        </w:rPr>
        <w:t xml:space="preserve">draft comment letter on the </w:t>
      </w:r>
      <w:r w:rsidR="00C84D63" w:rsidRPr="17701BB9">
        <w:rPr>
          <w:rFonts w:ascii="Roboto UKEB" w:hAnsi="Roboto UKEB" w:cs="Arial"/>
          <w:b w:val="0"/>
          <w:bCs w:val="0"/>
          <w:color w:val="auto"/>
          <w:sz w:val="22"/>
          <w:szCs w:val="22"/>
        </w:rPr>
        <w:t xml:space="preserve">IASB’s </w:t>
      </w:r>
      <w:r w:rsidR="00770153" w:rsidRPr="17701BB9">
        <w:rPr>
          <w:rFonts w:ascii="Roboto UKEB" w:hAnsi="Roboto UKEB" w:cs="Arial"/>
          <w:b w:val="0"/>
          <w:bCs w:val="0"/>
          <w:i/>
          <w:iCs/>
          <w:color w:val="auto"/>
          <w:sz w:val="22"/>
          <w:szCs w:val="22"/>
        </w:rPr>
        <w:t>ED/2021/1 Regulatory Assets and Regulatory Liabilities</w:t>
      </w:r>
      <w:r w:rsidR="00C84D63" w:rsidRPr="17701BB9">
        <w:rPr>
          <w:rFonts w:ascii="Roboto UKEB" w:hAnsi="Roboto UKEB" w:cs="Arial"/>
          <w:b w:val="0"/>
          <w:bCs w:val="0"/>
          <w:i/>
          <w:iCs/>
          <w:color w:val="auto"/>
          <w:sz w:val="22"/>
          <w:szCs w:val="22"/>
        </w:rPr>
        <w:t>.</w:t>
      </w:r>
    </w:p>
    <w:p w14:paraId="1514E7CE"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Who should respond to this Invitation to Comment?</w:t>
      </w:r>
    </w:p>
    <w:p w14:paraId="5E0D82EE" w14:textId="77777777"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Stakeholders with an interest in the quality of accounts that apply IFRS.</w:t>
      </w:r>
    </w:p>
    <w:p w14:paraId="4764CE09"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How to respond to this Invitation to Comment</w:t>
      </w:r>
    </w:p>
    <w:p w14:paraId="0141067D" w14:textId="3A47DB3F" w:rsidR="00D04658" w:rsidRPr="00326BFE" w:rsidRDefault="00D04658" w:rsidP="3CFF9EB4">
      <w:pPr>
        <w:pStyle w:val="paragraph"/>
        <w:spacing w:before="0" w:beforeAutospacing="0" w:after="240" w:afterAutospacing="0"/>
        <w:jc w:val="both"/>
        <w:textAlignment w:val="baseline"/>
        <w:rPr>
          <w:rFonts w:ascii="Roboto UKEB" w:hAnsi="Roboto UKEB" w:cs="Arial"/>
          <w:b w:val="0"/>
          <w:bCs w:val="0"/>
          <w:color w:val="auto"/>
          <w:sz w:val="22"/>
          <w:szCs w:val="22"/>
        </w:rPr>
      </w:pPr>
      <w:r w:rsidRPr="3CFF9EB4">
        <w:rPr>
          <w:rFonts w:ascii="Roboto UKEB" w:hAnsi="Roboto UKEB" w:cs="Arial"/>
          <w:b w:val="0"/>
          <w:bCs w:val="0"/>
          <w:color w:val="auto"/>
          <w:sz w:val="22"/>
          <w:szCs w:val="22"/>
        </w:rPr>
        <w:t xml:space="preserve">Please download this document, answer any questions on which you would like to provide views, and return to </w:t>
      </w:r>
      <w:hyperlink r:id="rId9">
        <w:r w:rsidR="008C4384" w:rsidRPr="3CFF9EB4">
          <w:rPr>
            <w:rStyle w:val="Hyperlink"/>
            <w:rFonts w:ascii="Roboto UKEB" w:hAnsi="Roboto UKEB" w:cs="Arial"/>
            <w:b w:val="0"/>
            <w:bCs w:val="0"/>
            <w:sz w:val="22"/>
            <w:szCs w:val="22"/>
          </w:rPr>
          <w:t>UKEndorsementBoard@endorsement-board.uk</w:t>
        </w:r>
      </w:hyperlink>
      <w:r w:rsidR="008C4384" w:rsidRPr="3CFF9EB4">
        <w:rPr>
          <w:rFonts w:ascii="Roboto UKEB" w:hAnsi="Roboto UKEB" w:cs="Arial"/>
          <w:b w:val="0"/>
          <w:bCs w:val="0"/>
          <w:color w:val="auto"/>
          <w:sz w:val="22"/>
          <w:szCs w:val="22"/>
        </w:rPr>
        <w:t xml:space="preserve"> </w:t>
      </w:r>
      <w:r w:rsidRPr="3CFF9EB4">
        <w:rPr>
          <w:rFonts w:ascii="Roboto UKEB" w:hAnsi="Roboto UKEB" w:cs="Arial"/>
          <w:b w:val="0"/>
          <w:bCs w:val="0"/>
          <w:color w:val="auto"/>
          <w:sz w:val="22"/>
          <w:szCs w:val="22"/>
        </w:rPr>
        <w:t xml:space="preserve">by close of business </w:t>
      </w:r>
      <w:r w:rsidR="008C4384" w:rsidRPr="3CFF9EB4">
        <w:rPr>
          <w:rFonts w:ascii="Roboto UKEB" w:hAnsi="Roboto UKEB" w:cs="Arial"/>
          <w:b w:val="0"/>
          <w:bCs w:val="0"/>
          <w:color w:val="auto"/>
          <w:sz w:val="22"/>
          <w:szCs w:val="22"/>
        </w:rPr>
        <w:t>Monday 26 </w:t>
      </w:r>
      <w:r w:rsidR="00770153" w:rsidRPr="3CFF9EB4">
        <w:rPr>
          <w:rFonts w:ascii="Roboto UKEB" w:hAnsi="Roboto UKEB" w:cs="Arial"/>
          <w:b w:val="0"/>
          <w:bCs w:val="0"/>
          <w:color w:val="auto"/>
          <w:sz w:val="22"/>
          <w:szCs w:val="22"/>
        </w:rPr>
        <w:t>July</w:t>
      </w:r>
      <w:r w:rsidRPr="3CFF9EB4">
        <w:rPr>
          <w:rFonts w:ascii="Roboto UKEB" w:hAnsi="Roboto UKEB" w:cs="Arial"/>
          <w:b w:val="0"/>
          <w:bCs w:val="0"/>
          <w:color w:val="auto"/>
          <w:sz w:val="22"/>
          <w:szCs w:val="22"/>
        </w:rPr>
        <w:t xml:space="preserve"> 2021.</w:t>
      </w:r>
    </w:p>
    <w:p w14:paraId="01DA0E58" w14:textId="5D20CF6D" w:rsidR="64219F28" w:rsidRPr="0079073D" w:rsidRDefault="64219F28" w:rsidP="3CFF9EB4">
      <w:pPr>
        <w:pStyle w:val="paragraph"/>
        <w:spacing w:before="0" w:beforeAutospacing="0" w:after="240" w:afterAutospacing="0"/>
        <w:jc w:val="both"/>
        <w:rPr>
          <w:rFonts w:ascii="Roboto UKEB" w:hAnsi="Roboto UKEB" w:cs="Arial"/>
          <w:b w:val="0"/>
          <w:bCs w:val="0"/>
          <w:color w:val="auto"/>
          <w:sz w:val="22"/>
          <w:szCs w:val="22"/>
        </w:rPr>
      </w:pPr>
      <w:r w:rsidRPr="0079073D">
        <w:rPr>
          <w:rFonts w:ascii="Roboto UKEB" w:hAnsi="Roboto UKEB" w:cs="Arial"/>
          <w:b w:val="0"/>
          <w:bCs w:val="0"/>
          <w:color w:val="auto"/>
          <w:sz w:val="22"/>
          <w:szCs w:val="22"/>
        </w:rPr>
        <w:t>The UKEB draft comment letter on Regulatory Assets and Regulatory Liabilities is</w:t>
      </w:r>
      <w:r w:rsidR="0079073D" w:rsidRPr="0079073D">
        <w:rPr>
          <w:rFonts w:ascii="Roboto UKEB" w:hAnsi="Roboto UKEB" w:cs="Arial"/>
          <w:b w:val="0"/>
          <w:bCs w:val="0"/>
          <w:color w:val="auto"/>
          <w:sz w:val="22"/>
          <w:szCs w:val="22"/>
        </w:rPr>
        <w:t xml:space="preserve"> </w:t>
      </w:r>
      <w:r w:rsidRPr="0079073D">
        <w:rPr>
          <w:rFonts w:ascii="Roboto UKEB" w:hAnsi="Roboto UKEB" w:cs="Arial"/>
          <w:b w:val="0"/>
          <w:bCs w:val="0"/>
          <w:color w:val="auto"/>
          <w:sz w:val="22"/>
          <w:szCs w:val="22"/>
        </w:rPr>
        <w:t>not yet</w:t>
      </w:r>
      <w:r w:rsidR="0079073D" w:rsidRPr="0079073D">
        <w:rPr>
          <w:rFonts w:ascii="Roboto UKEB" w:hAnsi="Roboto UKEB" w:cs="Arial"/>
          <w:b w:val="0"/>
          <w:bCs w:val="0"/>
          <w:color w:val="auto"/>
          <w:sz w:val="22"/>
          <w:szCs w:val="22"/>
        </w:rPr>
        <w:t xml:space="preserve"> </w:t>
      </w:r>
      <w:proofErr w:type="spellStart"/>
      <w:r w:rsidR="0079073D" w:rsidRPr="0079073D">
        <w:rPr>
          <w:rFonts w:ascii="Roboto UKEB" w:hAnsi="Roboto UKEB" w:cs="Arial"/>
          <w:b w:val="0"/>
          <w:bCs w:val="0"/>
          <w:color w:val="auto"/>
          <w:sz w:val="22"/>
          <w:szCs w:val="22"/>
        </w:rPr>
        <w:t>publically</w:t>
      </w:r>
      <w:proofErr w:type="spellEnd"/>
      <w:r w:rsidRPr="0079073D">
        <w:rPr>
          <w:rFonts w:ascii="Roboto UKEB" w:hAnsi="Roboto UKEB" w:cs="Arial"/>
          <w:b w:val="0"/>
          <w:bCs w:val="0"/>
          <w:color w:val="auto"/>
          <w:sz w:val="22"/>
          <w:szCs w:val="22"/>
        </w:rPr>
        <w:t xml:space="preserve"> available</w:t>
      </w:r>
      <w:r w:rsidR="07FB5B35" w:rsidRPr="0079073D">
        <w:rPr>
          <w:rFonts w:ascii="Roboto UKEB" w:hAnsi="Roboto UKEB" w:cs="Arial"/>
          <w:b w:val="0"/>
          <w:bCs w:val="0"/>
          <w:color w:val="auto"/>
          <w:sz w:val="22"/>
          <w:szCs w:val="22"/>
        </w:rPr>
        <w:t xml:space="preserve">, however the </w:t>
      </w:r>
      <w:r w:rsidR="0079073D" w:rsidRPr="0079073D">
        <w:rPr>
          <w:rFonts w:ascii="Roboto UKEB" w:hAnsi="Roboto UKEB" w:cs="Arial"/>
          <w:b w:val="0"/>
          <w:bCs w:val="0"/>
          <w:color w:val="auto"/>
          <w:sz w:val="22"/>
          <w:szCs w:val="22"/>
        </w:rPr>
        <w:t xml:space="preserve">link to the </w:t>
      </w:r>
      <w:r w:rsidR="07FB5B35" w:rsidRPr="0079073D">
        <w:rPr>
          <w:rFonts w:ascii="Roboto UKEB" w:hAnsi="Roboto UKEB" w:cs="Arial"/>
          <w:b w:val="0"/>
          <w:bCs w:val="0"/>
          <w:color w:val="auto"/>
          <w:sz w:val="22"/>
          <w:szCs w:val="22"/>
        </w:rPr>
        <w:t xml:space="preserve">project page can be found </w:t>
      </w:r>
      <w:hyperlink r:id="rId10" w:history="1">
        <w:r w:rsidR="07FB5B35" w:rsidRPr="0079073D">
          <w:rPr>
            <w:rStyle w:val="Hyperlink"/>
            <w:rFonts w:ascii="Roboto UKEB" w:hAnsi="Roboto UKEB" w:cs="Arial"/>
            <w:b w:val="0"/>
            <w:bCs w:val="0"/>
            <w:sz w:val="22"/>
            <w:szCs w:val="22"/>
          </w:rPr>
          <w:t>here</w:t>
        </w:r>
      </w:hyperlink>
      <w:r w:rsidR="0079073D">
        <w:rPr>
          <w:rFonts w:ascii="Roboto UKEB" w:hAnsi="Roboto UKEB" w:cs="Arial"/>
          <w:b w:val="0"/>
          <w:bCs w:val="0"/>
          <w:color w:val="auto"/>
          <w:sz w:val="22"/>
          <w:szCs w:val="22"/>
        </w:rPr>
        <w:t>.</w:t>
      </w:r>
    </w:p>
    <w:p w14:paraId="36A2AD5F" w14:textId="0BEDDA49" w:rsidR="00D04658" w:rsidRPr="00326BFE" w:rsidRDefault="06135CD9" w:rsidP="17701BB9">
      <w:pPr>
        <w:pStyle w:val="paragraph"/>
        <w:spacing w:before="0" w:beforeAutospacing="0" w:after="240" w:afterAutospacing="0"/>
        <w:jc w:val="both"/>
        <w:textAlignment w:val="baseline"/>
        <w:rPr>
          <w:rFonts w:ascii="Roboto UKEB" w:hAnsi="Roboto UKEB" w:cs="Arial"/>
          <w:b w:val="0"/>
          <w:bCs w:val="0"/>
          <w:color w:val="auto"/>
          <w:sz w:val="22"/>
          <w:szCs w:val="22"/>
        </w:rPr>
      </w:pPr>
      <w:r w:rsidRPr="17701BB9">
        <w:rPr>
          <w:rFonts w:ascii="Roboto UKEB" w:hAnsi="Roboto UKEB" w:cs="Arial"/>
          <w:b w:val="0"/>
          <w:bCs w:val="0"/>
          <w:color w:val="auto"/>
          <w:sz w:val="22"/>
          <w:szCs w:val="22"/>
        </w:rPr>
        <w:t>We welcome b</w:t>
      </w:r>
      <w:r w:rsidR="00D04658" w:rsidRPr="17701BB9">
        <w:rPr>
          <w:rFonts w:ascii="Roboto UKEB" w:hAnsi="Roboto UKEB" w:cs="Arial"/>
          <w:b w:val="0"/>
          <w:bCs w:val="0"/>
          <w:color w:val="auto"/>
          <w:sz w:val="22"/>
          <w:szCs w:val="22"/>
        </w:rPr>
        <w:t>rief responses providing views on individual questions as well as comprehensive responses to all questions.</w:t>
      </w:r>
    </w:p>
    <w:p w14:paraId="19E1E5B0"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17701BB9">
        <w:rPr>
          <w:rFonts w:ascii="Addington CF Thin" w:hAnsi="Addington CF Thin" w:cs="Arial"/>
          <w:color w:val="auto"/>
        </w:rPr>
        <w:t xml:space="preserve">The UK Endorsement Board </w:t>
      </w:r>
    </w:p>
    <w:p w14:paraId="69F97839" w14:textId="15115CCD" w:rsidR="00205BAA" w:rsidRDefault="5964ED6E" w:rsidP="17701BB9">
      <w:pPr>
        <w:pStyle w:val="paragraph"/>
        <w:spacing w:before="0" w:beforeAutospacing="0" w:after="240" w:afterAutospacing="0"/>
        <w:jc w:val="both"/>
        <w:textAlignment w:val="baseline"/>
        <w:rPr>
          <w:rFonts w:ascii="Roboto UKEB" w:hAnsi="Roboto UKEB"/>
          <w:b w:val="0"/>
          <w:bCs w:val="0"/>
          <w:color w:val="000000" w:themeColor="text1"/>
          <w:sz w:val="22"/>
          <w:szCs w:val="22"/>
        </w:rPr>
      </w:pPr>
      <w:r w:rsidRPr="17701BB9">
        <w:rPr>
          <w:rFonts w:ascii="Roboto UKEB" w:hAnsi="Roboto UKEB" w:cs="Arial"/>
          <w:b w:val="0"/>
          <w:bCs w:val="0"/>
          <w:color w:val="000000" w:themeColor="text1"/>
          <w:sz w:val="22"/>
          <w:szCs w:val="22"/>
          <w:lang w:val="en-US"/>
        </w:rPr>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17701BB9">
        <w:rPr>
          <w:rFonts w:ascii="Roboto UKEB" w:hAnsi="Roboto UKEB" w:cs="Arial"/>
          <w:b w:val="0"/>
          <w:bCs w:val="0"/>
          <w:color w:val="000000" w:themeColor="text1"/>
          <w:sz w:val="22"/>
          <w:szCs w:val="22"/>
          <w:lang w:val="en-US"/>
        </w:rPr>
        <w:lastRenderedPageBreak/>
        <w:t>amendments</w:t>
      </w:r>
      <w:proofErr w:type="gramEnd"/>
      <w:r w:rsidRPr="17701BB9">
        <w:rPr>
          <w:rFonts w:ascii="Roboto UKEB" w:hAnsi="Roboto UKEB" w:cs="Arial"/>
          <w:b w:val="0"/>
          <w:bCs w:val="0"/>
          <w:color w:val="000000" w:themeColor="text1"/>
          <w:sz w:val="22"/>
          <w:szCs w:val="22"/>
          <w:lang w:val="en-US"/>
        </w:rPr>
        <w:t xml:space="preserve"> and interpretations.</w:t>
      </w:r>
      <w:r w:rsidRPr="17701BB9">
        <w:rPr>
          <w:rFonts w:ascii="Calibri" w:eastAsia="Calibri" w:hAnsi="Calibri" w:cs="Calibri"/>
          <w:sz w:val="22"/>
          <w:szCs w:val="22"/>
          <w:lang w:val="en-US"/>
        </w:rPr>
        <w:t xml:space="preserve">  </w:t>
      </w:r>
      <w:r w:rsidR="00205BAA" w:rsidRPr="17701BB9">
        <w:rPr>
          <w:rFonts w:ascii="Roboto UKEB" w:hAnsi="Roboto UKEB" w:cs="Arial"/>
          <w:b w:val="0"/>
          <w:bCs w:val="0"/>
          <w:color w:val="000000" w:themeColor="text1"/>
          <w:sz w:val="22"/>
          <w:szCs w:val="22"/>
        </w:rPr>
        <w:t xml:space="preserve">This Invitation to Comment forms </w:t>
      </w:r>
      <w:r w:rsidR="00205BAA" w:rsidRPr="17701BB9">
        <w:rPr>
          <w:rFonts w:ascii="Roboto UKEB" w:hAnsi="Roboto UKEB" w:cs="Arial"/>
          <w:b w:val="0"/>
          <w:bCs w:val="0"/>
          <w:color w:val="auto"/>
          <w:sz w:val="22"/>
          <w:szCs w:val="22"/>
        </w:rPr>
        <w:t xml:space="preserve">part of those influencing activities and is intended to contribute to the International Accounting Standards Board’s (IASB) due process. The views expressed by the UKEB in this document are separate from, and will not necessarily affect the conclusions in, any endorsement and adoption assessment on new or amended International Accounting Standards </w:t>
      </w:r>
      <w:r w:rsidR="00E0575B" w:rsidRPr="17701BB9">
        <w:rPr>
          <w:rFonts w:ascii="Roboto UKEB" w:hAnsi="Roboto UKEB"/>
          <w:b w:val="0"/>
          <w:bCs w:val="0"/>
          <w:color w:val="000000" w:themeColor="text1"/>
          <w:sz w:val="22"/>
          <w:szCs w:val="22"/>
        </w:rPr>
        <w:t>undertaken by the UKEB</w:t>
      </w:r>
      <w:r w:rsidR="00205BAA" w:rsidRPr="17701BB9">
        <w:rPr>
          <w:rFonts w:ascii="Roboto UKEB" w:hAnsi="Roboto UKEB" w:cs="Arial"/>
          <w:b w:val="0"/>
          <w:bCs w:val="0"/>
          <w:color w:val="auto"/>
          <w:sz w:val="22"/>
          <w:szCs w:val="22"/>
        </w:rPr>
        <w:t>.</w:t>
      </w:r>
    </w:p>
    <w:p w14:paraId="1864177A"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Privacy and other policies</w:t>
      </w:r>
    </w:p>
    <w:p w14:paraId="3E3D8DE8" w14:textId="76BB6D92" w:rsidR="002610B8" w:rsidRPr="002610B8" w:rsidRDefault="002610B8" w:rsidP="002610B8">
      <w:pPr>
        <w:pStyle w:val="paragraph"/>
        <w:spacing w:before="0" w:after="24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122CF2">
        <w:rPr>
          <w:rStyle w:val="FootnoteReference"/>
          <w:rFonts w:ascii="Roboto UKEB" w:hAnsi="Roboto UKEB" w:cs="Arial"/>
          <w:b w:val="0"/>
          <w:bCs w:val="0"/>
          <w:color w:val="auto"/>
          <w:sz w:val="22"/>
          <w:szCs w:val="22"/>
        </w:rPr>
        <w:footnoteReference w:id="2"/>
      </w:r>
      <w:r w:rsidRPr="002610B8">
        <w:rPr>
          <w:rFonts w:ascii="Roboto UKEB" w:hAnsi="Roboto UKEB" w:cs="Arial"/>
          <w:b w:val="0"/>
          <w:bCs w:val="0"/>
          <w:color w:val="auto"/>
          <w:sz w:val="22"/>
          <w:szCs w:val="22"/>
        </w:rPr>
        <w:t>.</w:t>
      </w:r>
    </w:p>
    <w:p w14:paraId="21D65296" w14:textId="77777777" w:rsidR="002610B8" w:rsidRDefault="002610B8" w:rsidP="002610B8">
      <w:pPr>
        <w:pStyle w:val="paragraph"/>
        <w:spacing w:before="0" w:beforeAutospacing="0" w:after="240" w:afterAutospacing="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40753B5F" w14:textId="724973F5" w:rsidR="000E2CD6" w:rsidRDefault="000E2CD6" w:rsidP="00541587">
      <w:pPr>
        <w:pStyle w:val="paragraph"/>
        <w:keepNext/>
        <w:spacing w:before="120" w:beforeAutospacing="0" w:after="240" w:afterAutospacing="0"/>
        <w:jc w:val="both"/>
        <w:textAlignment w:val="baseline"/>
        <w:rPr>
          <w:rFonts w:ascii="Addington CF Thin" w:hAnsi="Addington CF Thin" w:cs="Arial"/>
          <w:color w:val="auto"/>
          <w:szCs w:val="28"/>
        </w:rPr>
      </w:pPr>
      <w:r w:rsidRPr="00541587">
        <w:rPr>
          <w:rFonts w:ascii="Addington CF Thin" w:hAnsi="Addington CF Thin" w:cs="Arial"/>
          <w:color w:val="auto"/>
          <w:szCs w:val="28"/>
        </w:rPr>
        <w:t>Questions</w:t>
      </w:r>
    </w:p>
    <w:tbl>
      <w:tblPr>
        <w:tblStyle w:val="TableGrid"/>
        <w:tblW w:w="9498" w:type="dxa"/>
        <w:tblInd w:w="-5" w:type="dxa"/>
        <w:tblLook w:val="04A0" w:firstRow="1" w:lastRow="0" w:firstColumn="1" w:lastColumn="0" w:noHBand="0" w:noVBand="1"/>
      </w:tblPr>
      <w:tblGrid>
        <w:gridCol w:w="9498"/>
      </w:tblGrid>
      <w:tr w:rsidR="00CB6471" w:rsidRPr="003677FA" w14:paraId="47A41FE5" w14:textId="77777777" w:rsidTr="008A0CDB">
        <w:trPr>
          <w:tblHeader/>
        </w:trPr>
        <w:tc>
          <w:tcPr>
            <w:tcW w:w="9498" w:type="dxa"/>
          </w:tcPr>
          <w:p w14:paraId="5AAD5BB5" w14:textId="77777777" w:rsidR="00CB6471" w:rsidRPr="003677FA" w:rsidRDefault="00CB6471" w:rsidP="004B7A53">
            <w:pPr>
              <w:keepNext/>
              <w:spacing w:after="120"/>
              <w:rPr>
                <w:rFonts w:ascii="Addington CF Thin" w:hAnsi="Addington CF Thin"/>
                <w:b w:val="0"/>
                <w:bCs w:val="0"/>
              </w:rPr>
            </w:pPr>
            <w:bookmarkStart w:id="0" w:name="_Hlk58824346"/>
            <w:r w:rsidRPr="002B4564">
              <w:rPr>
                <w:rFonts w:ascii="Addington CF Thin" w:hAnsi="Addington CF Thin"/>
                <w:color w:val="auto"/>
              </w:rPr>
              <w:t>Question 1: Objective and scope</w:t>
            </w:r>
          </w:p>
        </w:tc>
      </w:tr>
      <w:tr w:rsidR="00CB6471" w:rsidRPr="003677FA" w14:paraId="54B43A17" w14:textId="77777777" w:rsidTr="004B7A53">
        <w:tc>
          <w:tcPr>
            <w:tcW w:w="9498" w:type="dxa"/>
          </w:tcPr>
          <w:p w14:paraId="7E6878AB" w14:textId="77777777" w:rsidR="00CB6471" w:rsidRPr="006838C2" w:rsidRDefault="00CB6471" w:rsidP="004B7A53">
            <w:pPr>
              <w:autoSpaceDE w:val="0"/>
              <w:autoSpaceDN w:val="0"/>
              <w:adjustRightInd w:val="0"/>
              <w:spacing w:after="120"/>
              <w:rPr>
                <w:rFonts w:ascii="Roboto UKEB" w:hAnsi="Roboto UKEB"/>
                <w:b w:val="0"/>
                <w:bCs w:val="0"/>
                <w:color w:val="000000" w:themeColor="text1"/>
                <w:sz w:val="18"/>
                <w:szCs w:val="18"/>
              </w:rPr>
            </w:pPr>
            <w:r w:rsidRPr="006838C2">
              <w:rPr>
                <w:rFonts w:ascii="Roboto UKEB" w:hAnsi="Roboto UKEB"/>
                <w:b w:val="0"/>
                <w:bCs w:val="0"/>
                <w:color w:val="000000" w:themeColor="text1"/>
                <w:sz w:val="18"/>
                <w:szCs w:val="18"/>
              </w:rPr>
              <w:t>Paragraph 1 of the Exposure Draft sets out the proposed objective: an entity should provide relevant information that faithfully represents how regulatory income and regulatory expense affect the entity’s financial performance, and how regulatory assets and regulatory liabilities affect its financial position. Paragraph 3 of the Exposure Draft proposes that an entity apply the [draft] Standard to all its regulatory assets and all its regulatory liabilities. Regulatory assets and regulatory liabilities are created by a regulatory agreement that determines the regulated rate in such a way that part of the total allowed compensation for goods or services supplied in one period is charged to customers through the regulated rates for goods or services supplied in a different period (past or future).</w:t>
            </w:r>
            <w:r w:rsidRPr="006838C2">
              <w:rPr>
                <w:rFonts w:ascii="Roboto UKEB" w:hAnsi="Roboto UKEB"/>
                <w:b w:val="0"/>
                <w:bCs w:val="0"/>
                <w:color w:val="000000" w:themeColor="text1"/>
                <w:sz w:val="18"/>
                <w:szCs w:val="18"/>
                <w:vertAlign w:val="superscript"/>
              </w:rPr>
              <w:t>1</w:t>
            </w:r>
            <w:r w:rsidRPr="006838C2">
              <w:rPr>
                <w:rFonts w:ascii="Roboto UKEB" w:hAnsi="Roboto UKEB"/>
                <w:b w:val="0"/>
                <w:bCs w:val="0"/>
                <w:color w:val="000000" w:themeColor="text1"/>
                <w:sz w:val="18"/>
                <w:szCs w:val="18"/>
              </w:rPr>
              <w:t xml:space="preserve"> The [draft] Standard would not apply to any other rights or obligations created by the regulatory agreement—an entity would continue to apply other IFRS Standards in accounting for the effects of those other rights or obligations.</w:t>
            </w:r>
          </w:p>
          <w:p w14:paraId="08EA2838" w14:textId="77777777" w:rsidR="00CB6471" w:rsidRPr="006838C2" w:rsidRDefault="00CB6471" w:rsidP="004B7A53">
            <w:pPr>
              <w:autoSpaceDE w:val="0"/>
              <w:autoSpaceDN w:val="0"/>
              <w:adjustRightInd w:val="0"/>
              <w:spacing w:after="120"/>
              <w:rPr>
                <w:rFonts w:ascii="Roboto UKEB" w:hAnsi="Roboto UKEB"/>
                <w:b w:val="0"/>
                <w:bCs w:val="0"/>
                <w:color w:val="000000" w:themeColor="text1"/>
                <w:sz w:val="18"/>
                <w:szCs w:val="18"/>
              </w:rPr>
            </w:pPr>
            <w:r w:rsidRPr="006838C2">
              <w:rPr>
                <w:rFonts w:ascii="Roboto UKEB" w:hAnsi="Roboto UKEB"/>
                <w:b w:val="0"/>
                <w:bCs w:val="0"/>
                <w:color w:val="000000" w:themeColor="text1"/>
                <w:sz w:val="18"/>
                <w:szCs w:val="18"/>
              </w:rPr>
              <w:t xml:space="preserve">Paragraphs BC78–BC86 of the Basis for Conclusions describe the reasoning behind the Board’s proposals. They also explain why the Exposure Draft does not restrict the scope of the proposed requirements to apply only to regulatory agreements with a particular legal form or only to those enforced by a regulator with </w:t>
            </w:r>
            <w:proofErr w:type="gramStart"/>
            <w:r w:rsidRPr="006838C2">
              <w:rPr>
                <w:rFonts w:ascii="Roboto UKEB" w:hAnsi="Roboto UKEB"/>
                <w:b w:val="0"/>
                <w:bCs w:val="0"/>
                <w:color w:val="000000" w:themeColor="text1"/>
                <w:sz w:val="18"/>
                <w:szCs w:val="18"/>
              </w:rPr>
              <w:t>particular attributes</w:t>
            </w:r>
            <w:proofErr w:type="gramEnd"/>
            <w:r w:rsidRPr="006838C2">
              <w:rPr>
                <w:rFonts w:ascii="Roboto UKEB" w:hAnsi="Roboto UKEB"/>
                <w:b w:val="0"/>
                <w:bCs w:val="0"/>
                <w:color w:val="000000" w:themeColor="text1"/>
                <w:sz w:val="18"/>
                <w:szCs w:val="18"/>
              </w:rPr>
              <w:t>.</w:t>
            </w:r>
          </w:p>
          <w:p w14:paraId="1A1595A2" w14:textId="77777777" w:rsidR="00CB6471" w:rsidRPr="006838C2" w:rsidRDefault="00CB6471" w:rsidP="00CB6471">
            <w:pPr>
              <w:pStyle w:val="ListParagraph"/>
              <w:numPr>
                <w:ilvl w:val="0"/>
                <w:numId w:val="35"/>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r w:rsidRPr="006838C2">
              <w:rPr>
                <w:rFonts w:ascii="Roboto UKEB" w:hAnsi="Roboto UKEB"/>
                <w:b w:val="0"/>
                <w:bCs w:val="0"/>
                <w:color w:val="000000" w:themeColor="text1"/>
                <w:sz w:val="18"/>
                <w:szCs w:val="18"/>
              </w:rPr>
              <w:lastRenderedPageBreak/>
              <w:t>Do you agree with the objective of the Exposure Draft? Why or why not?</w:t>
            </w:r>
          </w:p>
          <w:p w14:paraId="491A1E8D" w14:textId="77777777" w:rsidR="00CB6471" w:rsidRPr="006838C2" w:rsidRDefault="00CB6471" w:rsidP="00CB6471">
            <w:pPr>
              <w:pStyle w:val="ListParagraph"/>
              <w:numPr>
                <w:ilvl w:val="0"/>
                <w:numId w:val="35"/>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bookmarkStart w:id="1" w:name="_Hlk75970247"/>
            <w:r w:rsidRPr="006838C2">
              <w:rPr>
                <w:rFonts w:ascii="Roboto UKEB" w:hAnsi="Roboto UKEB"/>
                <w:b w:val="0"/>
                <w:bCs w:val="0"/>
                <w:color w:val="000000" w:themeColor="text1"/>
                <w:sz w:val="18"/>
                <w:szCs w:val="18"/>
              </w:rPr>
              <w:t>Do you agree with the proposed scope of the Exposure Draft? Why or why not? If not, what scope do you suggest and why</w:t>
            </w:r>
            <w:bookmarkEnd w:id="1"/>
            <w:r w:rsidRPr="006838C2">
              <w:rPr>
                <w:rFonts w:ascii="Roboto UKEB" w:hAnsi="Roboto UKEB"/>
                <w:b w:val="0"/>
                <w:bCs w:val="0"/>
                <w:color w:val="000000" w:themeColor="text1"/>
                <w:sz w:val="18"/>
                <w:szCs w:val="18"/>
              </w:rPr>
              <w:t>?</w:t>
            </w:r>
          </w:p>
          <w:p w14:paraId="0A12D1A1" w14:textId="77777777" w:rsidR="00CB6471" w:rsidRPr="006838C2" w:rsidRDefault="00CB6471" w:rsidP="00CB6471">
            <w:pPr>
              <w:pStyle w:val="ListParagraph"/>
              <w:numPr>
                <w:ilvl w:val="0"/>
                <w:numId w:val="35"/>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r w:rsidRPr="006838C2">
              <w:rPr>
                <w:rFonts w:ascii="Roboto UKEB" w:hAnsi="Roboto UKEB"/>
                <w:b w:val="0"/>
                <w:bCs w:val="0"/>
                <w:color w:val="000000" w:themeColor="text1"/>
                <w:sz w:val="18"/>
                <w:szCs w:val="18"/>
              </w:rPr>
              <w:t>Do you agree that the proposals in the Exposure Draft are clear enough to enable an entity to determine whether a regulatory agreement gives rise to regulatory assets and regulatory liabilities? If not, what additional requirements do you recommend and why?</w:t>
            </w:r>
          </w:p>
          <w:p w14:paraId="0F00CF21" w14:textId="77777777" w:rsidR="00CB6471" w:rsidRPr="006838C2" w:rsidRDefault="00CB6471" w:rsidP="00CB6471">
            <w:pPr>
              <w:pStyle w:val="ListParagraph"/>
              <w:numPr>
                <w:ilvl w:val="0"/>
                <w:numId w:val="35"/>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r w:rsidRPr="006838C2">
              <w:rPr>
                <w:rFonts w:ascii="Roboto UKEB" w:hAnsi="Roboto UKEB"/>
                <w:b w:val="0"/>
                <w:bCs w:val="0"/>
                <w:color w:val="000000" w:themeColor="text1"/>
                <w:sz w:val="18"/>
                <w:szCs w:val="18"/>
              </w:rPr>
              <w:t xml:space="preserve">Do you agree that the requirements proposed in the Exposure Draft should apply to all regulatory agreements and not only to those that have a particular legal form or those enforced by a regulator with </w:t>
            </w:r>
            <w:proofErr w:type="gramStart"/>
            <w:r w:rsidRPr="006838C2">
              <w:rPr>
                <w:rFonts w:ascii="Roboto UKEB" w:hAnsi="Roboto UKEB"/>
                <w:b w:val="0"/>
                <w:bCs w:val="0"/>
                <w:color w:val="000000" w:themeColor="text1"/>
                <w:sz w:val="18"/>
                <w:szCs w:val="18"/>
              </w:rPr>
              <w:t>particular attributes</w:t>
            </w:r>
            <w:proofErr w:type="gramEnd"/>
            <w:r w:rsidRPr="006838C2">
              <w:rPr>
                <w:rFonts w:ascii="Roboto UKEB" w:hAnsi="Roboto UKEB"/>
                <w:b w:val="0"/>
                <w:bCs w:val="0"/>
                <w:color w:val="000000" w:themeColor="text1"/>
                <w:sz w:val="18"/>
                <w:szCs w:val="18"/>
              </w:rPr>
              <w:t xml:space="preserve">? Why or why not? If not, </w:t>
            </w:r>
            <w:proofErr w:type="gramStart"/>
            <w:r w:rsidRPr="006838C2">
              <w:rPr>
                <w:rFonts w:ascii="Roboto UKEB" w:hAnsi="Roboto UKEB"/>
                <w:b w:val="0"/>
                <w:bCs w:val="0"/>
                <w:color w:val="000000" w:themeColor="text1"/>
                <w:sz w:val="18"/>
                <w:szCs w:val="18"/>
              </w:rPr>
              <w:t>how</w:t>
            </w:r>
            <w:proofErr w:type="gramEnd"/>
            <w:r w:rsidRPr="006838C2">
              <w:rPr>
                <w:rFonts w:ascii="Roboto UKEB" w:hAnsi="Roboto UKEB"/>
                <w:b w:val="0"/>
                <w:bCs w:val="0"/>
                <w:color w:val="000000" w:themeColor="text1"/>
                <w:sz w:val="18"/>
                <w:szCs w:val="18"/>
              </w:rPr>
              <w:t xml:space="preserve"> and why should the Board specify what form a regulatory agreement should have, and how and why should it define a regulator?</w:t>
            </w:r>
          </w:p>
          <w:p w14:paraId="2D16DCF6" w14:textId="77777777" w:rsidR="00CB6471" w:rsidRPr="006838C2" w:rsidRDefault="00CB6471" w:rsidP="00CB6471">
            <w:pPr>
              <w:pStyle w:val="ListParagraph"/>
              <w:numPr>
                <w:ilvl w:val="0"/>
                <w:numId w:val="35"/>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bookmarkStart w:id="2" w:name="_Hlk75976213"/>
            <w:r w:rsidRPr="006838C2">
              <w:rPr>
                <w:rFonts w:ascii="Roboto UKEB" w:hAnsi="Roboto UKEB"/>
                <w:b w:val="0"/>
                <w:bCs w:val="0"/>
                <w:color w:val="000000" w:themeColor="text1"/>
                <w:sz w:val="18"/>
                <w:szCs w:val="18"/>
              </w:rPr>
              <w:t>Have you identified any situations in which the proposed requirements would affect activities that you do not view as subject to rate regulation? If so, please describe the situations, state whether you have any concerns about those effects and explain what your concerns are.</w:t>
            </w:r>
            <w:bookmarkEnd w:id="2"/>
          </w:p>
          <w:p w14:paraId="61279724" w14:textId="77777777" w:rsidR="00CB6471" w:rsidRPr="006838C2" w:rsidRDefault="00CB6471" w:rsidP="00CB6471">
            <w:pPr>
              <w:pStyle w:val="ListParagraph"/>
              <w:numPr>
                <w:ilvl w:val="0"/>
                <w:numId w:val="35"/>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r w:rsidRPr="006838C2">
              <w:rPr>
                <w:rFonts w:ascii="Roboto UKEB" w:hAnsi="Roboto UKEB"/>
                <w:b w:val="0"/>
                <w:bCs w:val="0"/>
                <w:color w:val="000000" w:themeColor="text1"/>
                <w:sz w:val="18"/>
                <w:szCs w:val="18"/>
              </w:rPr>
              <w:t>Do you agree that an entity should not recognise any assets or liabilities created by a regulatory agreement other than regulatory assets and regulatory liabilities and other assets and liabilities, if any, that are already required or permitted to be recognised by IFRS Standards?</w:t>
            </w:r>
          </w:p>
          <w:p w14:paraId="46DE2EBF" w14:textId="77777777" w:rsidR="00CB6471" w:rsidRPr="006838C2" w:rsidRDefault="00CB6471" w:rsidP="004B7A53">
            <w:pPr>
              <w:tabs>
                <w:tab w:val="left" w:pos="538"/>
              </w:tabs>
              <w:autoSpaceDE w:val="0"/>
              <w:autoSpaceDN w:val="0"/>
              <w:adjustRightInd w:val="0"/>
              <w:spacing w:after="120"/>
              <w:ind w:left="538" w:hanging="538"/>
              <w:rPr>
                <w:rFonts w:ascii="Roboto UKEB" w:hAnsi="Roboto UKEB"/>
                <w:b w:val="0"/>
                <w:bCs w:val="0"/>
                <w:color w:val="000000" w:themeColor="text1"/>
                <w:sz w:val="18"/>
                <w:szCs w:val="18"/>
              </w:rPr>
            </w:pPr>
            <w:r w:rsidRPr="006838C2">
              <w:rPr>
                <w:rFonts w:ascii="Roboto UKEB" w:hAnsi="Roboto UKEB"/>
                <w:b w:val="0"/>
                <w:bCs w:val="0"/>
                <w:color w:val="000000" w:themeColor="text1"/>
                <w:sz w:val="18"/>
                <w:szCs w:val="18"/>
                <w:vertAlign w:val="superscript"/>
              </w:rPr>
              <w:t>1</w:t>
            </w:r>
            <w:r w:rsidRPr="006838C2">
              <w:rPr>
                <w:rFonts w:ascii="Roboto UKEB" w:hAnsi="Roboto UKEB"/>
                <w:b w:val="0"/>
                <w:bCs w:val="0"/>
                <w:color w:val="000000" w:themeColor="text1"/>
                <w:sz w:val="18"/>
                <w:szCs w:val="18"/>
              </w:rPr>
              <w:tab/>
              <w:t>A regulatory agreement is defined in the Exposure Draft as a set of enforceable rights and obligations that determine a regulated rate to be applied in contracts with customers.</w:t>
            </w:r>
          </w:p>
        </w:tc>
      </w:tr>
    </w:tbl>
    <w:p w14:paraId="212562FE" w14:textId="77777777" w:rsidR="00CB6471" w:rsidRPr="003677FA" w:rsidRDefault="00CB6471" w:rsidP="00CB6471">
      <w:pPr>
        <w:pStyle w:val="paragraph"/>
        <w:spacing w:before="0" w:beforeAutospacing="0" w:after="0" w:afterAutospacing="0"/>
        <w:textAlignment w:val="baseline"/>
        <w:rPr>
          <w:rFonts w:ascii="Roboto UKEB" w:hAnsi="Roboto UKEB" w:cs="Arial"/>
          <w:b w:val="0"/>
          <w:bCs w:val="0"/>
          <w:i/>
          <w:iCs/>
          <w:color w:val="auto"/>
          <w:sz w:val="22"/>
          <w:szCs w:val="22"/>
        </w:rPr>
      </w:pPr>
    </w:p>
    <w:p w14:paraId="6C737A69" w14:textId="3D18F98E" w:rsidR="000E2CD6" w:rsidRPr="00BE0656" w:rsidRDefault="00BE0656"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0E2CD6" w14:paraId="21F94E81" w14:textId="77777777" w:rsidTr="00BE0656">
        <w:tc>
          <w:tcPr>
            <w:tcW w:w="9498" w:type="dxa"/>
          </w:tcPr>
          <w:p w14:paraId="252BF240" w14:textId="5B93444D" w:rsidR="00D301FB" w:rsidRDefault="00D301FB" w:rsidP="00D301FB">
            <w:pPr>
              <w:pStyle w:val="FRCNumberedparagraphs"/>
              <w:numPr>
                <w:ilvl w:val="0"/>
                <w:numId w:val="0"/>
              </w:numPr>
              <w:rPr>
                <w:rStyle w:val="normaltextrun"/>
                <w:rFonts w:ascii="Roboto UKEB" w:hAnsi="Roboto UKEB" w:cs="Arial"/>
                <w:szCs w:val="22"/>
              </w:rPr>
            </w:pPr>
            <w:bookmarkStart w:id="3" w:name="_Hlk62730938"/>
          </w:p>
        </w:tc>
      </w:tr>
      <w:bookmarkEnd w:id="0"/>
      <w:bookmarkEnd w:id="3"/>
    </w:tbl>
    <w:p w14:paraId="7F756872" w14:textId="51CF05B6" w:rsidR="00D7204B" w:rsidRDefault="00D7204B" w:rsidP="00BB579D">
      <w:pPr>
        <w:pStyle w:val="FRCNumberedparagraphs"/>
        <w:numPr>
          <w:ilvl w:val="0"/>
          <w:numId w:val="0"/>
        </w:numPr>
        <w:spacing w:after="0"/>
        <w:rPr>
          <w:rStyle w:val="normaltextrun"/>
          <w:rFonts w:ascii="Roboto UKEB" w:hAnsi="Roboto UKEB" w:cs="Arial"/>
          <w:szCs w:val="22"/>
        </w:rPr>
      </w:pPr>
    </w:p>
    <w:p w14:paraId="0E1AF71B" w14:textId="77777777" w:rsidR="00AD1FFD" w:rsidRDefault="00AD1FFD" w:rsidP="00BB579D">
      <w:pPr>
        <w:pStyle w:val="FRCNumberedparagraphs"/>
        <w:numPr>
          <w:ilvl w:val="0"/>
          <w:numId w:val="0"/>
        </w:numPr>
        <w:spacing w:after="0"/>
        <w:rPr>
          <w:rStyle w:val="normaltextrun"/>
          <w:rFonts w:ascii="Roboto UKEB" w:hAnsi="Roboto UKEB" w:cs="Arial"/>
          <w:szCs w:val="22"/>
        </w:rPr>
      </w:pPr>
    </w:p>
    <w:tbl>
      <w:tblPr>
        <w:tblStyle w:val="TableGrid"/>
        <w:tblW w:w="9356" w:type="dxa"/>
        <w:tblInd w:w="-5" w:type="dxa"/>
        <w:tblLook w:val="04A0" w:firstRow="1" w:lastRow="0" w:firstColumn="1" w:lastColumn="0" w:noHBand="0" w:noVBand="1"/>
      </w:tblPr>
      <w:tblGrid>
        <w:gridCol w:w="9356"/>
      </w:tblGrid>
      <w:tr w:rsidR="003E6823" w:rsidRPr="003E6823" w14:paraId="72D94303" w14:textId="77777777" w:rsidTr="008A0CDB">
        <w:trPr>
          <w:tblHeader/>
        </w:trPr>
        <w:tc>
          <w:tcPr>
            <w:tcW w:w="9356" w:type="dxa"/>
          </w:tcPr>
          <w:p w14:paraId="5996376D" w14:textId="77777777" w:rsidR="003E6823" w:rsidRPr="00E3412A" w:rsidRDefault="003E6823" w:rsidP="003E6823">
            <w:pPr>
              <w:keepNext/>
              <w:spacing w:after="120"/>
              <w:rPr>
                <w:rFonts w:ascii="Addington CF Thin" w:hAnsi="Addington CF Thin"/>
              </w:rPr>
            </w:pPr>
            <w:r w:rsidRPr="00E3412A">
              <w:rPr>
                <w:rFonts w:ascii="Addington CF Thin" w:hAnsi="Addington CF Thin"/>
                <w:color w:val="auto"/>
              </w:rPr>
              <w:t>Question 2: Regulatory assets and regulatory liabilities</w:t>
            </w:r>
          </w:p>
        </w:tc>
      </w:tr>
      <w:tr w:rsidR="003E6823" w:rsidRPr="003677FA" w14:paraId="6FCE9198" w14:textId="77777777" w:rsidTr="004B7A53">
        <w:tc>
          <w:tcPr>
            <w:tcW w:w="9356" w:type="dxa"/>
          </w:tcPr>
          <w:p w14:paraId="13ECB1F2" w14:textId="77777777" w:rsidR="003E6823" w:rsidRPr="003E6823" w:rsidRDefault="003E6823" w:rsidP="004B7A53">
            <w:pPr>
              <w:autoSpaceDE w:val="0"/>
              <w:autoSpaceDN w:val="0"/>
              <w:adjustRightInd w:val="0"/>
              <w:spacing w:after="120"/>
              <w:rPr>
                <w:rFonts w:ascii="Roboto UKEB" w:hAnsi="Roboto UKEB"/>
                <w:b w:val="0"/>
                <w:bCs w:val="0"/>
                <w:color w:val="000000" w:themeColor="text1"/>
                <w:sz w:val="18"/>
                <w:szCs w:val="18"/>
              </w:rPr>
            </w:pPr>
            <w:r w:rsidRPr="003E6823">
              <w:rPr>
                <w:rFonts w:ascii="Roboto UKEB" w:hAnsi="Roboto UKEB"/>
                <w:b w:val="0"/>
                <w:bCs w:val="0"/>
                <w:color w:val="000000" w:themeColor="text1"/>
                <w:sz w:val="18"/>
                <w:szCs w:val="18"/>
              </w:rPr>
              <w:t>The Exposure Draft defines a regulatory asset as an enforceable present right, created by a regulatory agreement, to add an amount in determining a regulated rate to be charged to customers in future periods because part of the total allowed compensation for goods or services already supplied will be included in revenue in the future. The Exposure Draft defines a regulatory liability as an enforceable present obligation, created by a regulatory agreement, to deduct an amount in determining a regulated rate to be charged to customers in future periods because the revenue already recognised includes an amount that will provide part of the total allowed compensation for goods or services to be supplied in the future.</w:t>
            </w:r>
          </w:p>
          <w:p w14:paraId="7A733B18" w14:textId="77777777" w:rsidR="003E6823" w:rsidRPr="003E6823" w:rsidRDefault="003E6823" w:rsidP="003E6823">
            <w:pPr>
              <w:pStyle w:val="ListParagraph"/>
              <w:numPr>
                <w:ilvl w:val="0"/>
                <w:numId w:val="37"/>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r w:rsidRPr="003E6823">
              <w:rPr>
                <w:rFonts w:ascii="Roboto UKEB" w:hAnsi="Roboto UKEB"/>
                <w:b w:val="0"/>
                <w:bCs w:val="0"/>
                <w:color w:val="000000" w:themeColor="text1"/>
                <w:sz w:val="18"/>
                <w:szCs w:val="18"/>
              </w:rPr>
              <w:t>Paragraphs BC36–BC62 of the Basis for Conclusions discuss what regulatory assets and regulatory liabilities are and why the Board proposes that an entity account for them separately.</w:t>
            </w:r>
          </w:p>
          <w:p w14:paraId="31AF120A" w14:textId="77777777" w:rsidR="003E6823" w:rsidRPr="003E6823" w:rsidRDefault="003E6823" w:rsidP="003E6823">
            <w:pPr>
              <w:pStyle w:val="ListParagraph"/>
              <w:numPr>
                <w:ilvl w:val="0"/>
                <w:numId w:val="37"/>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r w:rsidRPr="003E6823">
              <w:rPr>
                <w:rFonts w:ascii="Roboto UKEB" w:hAnsi="Roboto UKEB"/>
                <w:b w:val="0"/>
                <w:bCs w:val="0"/>
                <w:color w:val="000000" w:themeColor="text1"/>
                <w:sz w:val="18"/>
                <w:szCs w:val="18"/>
              </w:rPr>
              <w:t>Do you agree with the proposed definitions? Why or why not? If not, what changes do you suggest and why?</w:t>
            </w:r>
          </w:p>
          <w:p w14:paraId="2453C919" w14:textId="77777777" w:rsidR="003E6823" w:rsidRPr="003E6823" w:rsidRDefault="003E6823" w:rsidP="003E6823">
            <w:pPr>
              <w:pStyle w:val="ListParagraph"/>
              <w:numPr>
                <w:ilvl w:val="0"/>
                <w:numId w:val="37"/>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r w:rsidRPr="003E6823">
              <w:rPr>
                <w:rFonts w:ascii="Roboto UKEB" w:hAnsi="Roboto UKEB"/>
                <w:b w:val="0"/>
                <w:bCs w:val="0"/>
                <w:color w:val="000000" w:themeColor="text1"/>
                <w:sz w:val="18"/>
                <w:szCs w:val="18"/>
              </w:rPr>
              <w:t xml:space="preserve">The proposed definitions refer to total allowed compensation for goods or services. Total allowed compensation would include the recovery of allowable expenses and a profit component (paragraphs BC87–BC113 of the Basis for Conclusions). This concept differs from the concepts underlying some current accounting approaches for the effects of rate regulation, which focus on cost deferral and may not involve a profit component (paragraphs BC224 andBC233–BC244 of the Basis for Conclusions). Do you </w:t>
            </w:r>
            <w:r w:rsidRPr="003E6823">
              <w:rPr>
                <w:rFonts w:ascii="Roboto UKEB" w:hAnsi="Roboto UKEB"/>
                <w:b w:val="0"/>
                <w:bCs w:val="0"/>
                <w:color w:val="000000" w:themeColor="text1"/>
                <w:sz w:val="18"/>
                <w:szCs w:val="18"/>
              </w:rPr>
              <w:lastRenderedPageBreak/>
              <w:t>agree with the focus on total allowed compensation, including both the recovery of allowable expenses and a profit component? Why or why not?</w:t>
            </w:r>
          </w:p>
          <w:p w14:paraId="3D569827" w14:textId="77777777" w:rsidR="003E6823" w:rsidRPr="003E6823" w:rsidRDefault="003E6823" w:rsidP="003E6823">
            <w:pPr>
              <w:pStyle w:val="ListParagraph"/>
              <w:numPr>
                <w:ilvl w:val="0"/>
                <w:numId w:val="37"/>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r w:rsidRPr="003E6823">
              <w:rPr>
                <w:rFonts w:ascii="Roboto UKEB" w:hAnsi="Roboto UKEB"/>
                <w:b w:val="0"/>
                <w:bCs w:val="0"/>
                <w:color w:val="000000" w:themeColor="text1"/>
                <w:sz w:val="18"/>
                <w:szCs w:val="18"/>
              </w:rPr>
              <w:t>Do you agree that regulatory assets and regulatory liabilities meet the definitions of assets and liabilities within the Conceptual Framework for Financial Reporting (paragraphs BC37–BC47)? Why or why not?</w:t>
            </w:r>
          </w:p>
          <w:p w14:paraId="3E17E25D" w14:textId="77777777" w:rsidR="003E6823" w:rsidRPr="003E6823" w:rsidRDefault="003E6823" w:rsidP="003E6823">
            <w:pPr>
              <w:pStyle w:val="ListParagraph"/>
              <w:numPr>
                <w:ilvl w:val="0"/>
                <w:numId w:val="37"/>
              </w:numPr>
              <w:tabs>
                <w:tab w:val="left" w:pos="567"/>
              </w:tabs>
              <w:autoSpaceDE w:val="0"/>
              <w:autoSpaceDN w:val="0"/>
              <w:adjustRightInd w:val="0"/>
              <w:spacing w:after="120" w:line="240" w:lineRule="auto"/>
              <w:ind w:left="567" w:hanging="567"/>
              <w:contextualSpacing w:val="0"/>
              <w:rPr>
                <w:rFonts w:ascii="Roboto UKEB" w:hAnsi="Roboto UKEB"/>
                <w:b w:val="0"/>
                <w:bCs w:val="0"/>
                <w:color w:val="000000" w:themeColor="text1"/>
                <w:sz w:val="18"/>
                <w:szCs w:val="18"/>
              </w:rPr>
            </w:pPr>
            <w:r w:rsidRPr="003E6823">
              <w:rPr>
                <w:rFonts w:ascii="Roboto UKEB" w:hAnsi="Roboto UKEB"/>
                <w:b w:val="0"/>
                <w:bCs w:val="0"/>
                <w:color w:val="000000" w:themeColor="text1"/>
                <w:sz w:val="18"/>
                <w:szCs w:val="18"/>
              </w:rPr>
              <w:t>Do you agree that an entity should account for regulatory assets and regulatory liabilities separately from the rest of the regulatory agreement (paragraphsBC58–BC62)? Why or why not?</w:t>
            </w:r>
          </w:p>
          <w:p w14:paraId="3553ED97" w14:textId="77777777" w:rsidR="003E6823" w:rsidRPr="003E6823" w:rsidRDefault="003E6823" w:rsidP="003E6823">
            <w:pPr>
              <w:pStyle w:val="ListParagraph"/>
              <w:numPr>
                <w:ilvl w:val="0"/>
                <w:numId w:val="37"/>
              </w:numPr>
              <w:tabs>
                <w:tab w:val="left" w:pos="567"/>
              </w:tabs>
              <w:autoSpaceDE w:val="0"/>
              <w:autoSpaceDN w:val="0"/>
              <w:adjustRightInd w:val="0"/>
              <w:spacing w:after="120" w:line="240" w:lineRule="auto"/>
              <w:ind w:left="567" w:hanging="567"/>
              <w:contextualSpacing w:val="0"/>
              <w:rPr>
                <w:rStyle w:val="normaltextrun"/>
                <w:rFonts w:ascii="Roboto UKEB" w:hAnsi="Roboto UKEB"/>
                <w:b w:val="0"/>
                <w:bCs w:val="0"/>
                <w:color w:val="000000" w:themeColor="text1"/>
                <w:sz w:val="18"/>
                <w:szCs w:val="18"/>
              </w:rPr>
            </w:pPr>
            <w:r w:rsidRPr="003E6823">
              <w:rPr>
                <w:rFonts w:ascii="Roboto UKEB" w:hAnsi="Roboto UKEB"/>
                <w:b w:val="0"/>
                <w:bCs w:val="0"/>
                <w:color w:val="000000" w:themeColor="text1"/>
                <w:sz w:val="18"/>
                <w:szCs w:val="18"/>
              </w:rPr>
              <w:t>Have you identified any situations in which the proposed definitions would result in regulatory assets or regulatory liabilities being recognised when their recognition would provide information that is not useful to users of financial statements?</w:t>
            </w:r>
          </w:p>
        </w:tc>
      </w:tr>
    </w:tbl>
    <w:p w14:paraId="62B468F5" w14:textId="77777777" w:rsidR="003E6823" w:rsidRPr="003677FA" w:rsidRDefault="003E6823" w:rsidP="003E6823">
      <w:pPr>
        <w:pStyle w:val="Appendixnumparas"/>
        <w:numPr>
          <w:ilvl w:val="0"/>
          <w:numId w:val="0"/>
        </w:numPr>
        <w:spacing w:after="0"/>
        <w:rPr>
          <w:rFonts w:ascii="Roboto UKEB" w:hAnsi="Roboto UKEB"/>
          <w:color w:val="auto"/>
          <w:lang w:val="en-GB"/>
        </w:rPr>
      </w:pPr>
    </w:p>
    <w:p w14:paraId="70D5DEEC" w14:textId="77777777" w:rsidR="003E6823" w:rsidRPr="00BE0656" w:rsidRDefault="003E6823"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3E6823" w14:paraId="477BEA48" w14:textId="77777777" w:rsidTr="004B7A53">
        <w:tc>
          <w:tcPr>
            <w:tcW w:w="9498" w:type="dxa"/>
          </w:tcPr>
          <w:p w14:paraId="57D5FDF1" w14:textId="77777777" w:rsidR="003E6823" w:rsidRDefault="003E6823" w:rsidP="004B7A53">
            <w:pPr>
              <w:pStyle w:val="FRCNumberedparagraphs"/>
              <w:numPr>
                <w:ilvl w:val="0"/>
                <w:numId w:val="0"/>
              </w:numPr>
              <w:rPr>
                <w:rStyle w:val="normaltextrun"/>
                <w:rFonts w:ascii="Roboto UKEB" w:hAnsi="Roboto UKEB" w:cs="Arial"/>
                <w:szCs w:val="22"/>
              </w:rPr>
            </w:pPr>
          </w:p>
        </w:tc>
      </w:tr>
    </w:tbl>
    <w:p w14:paraId="77D79CED" w14:textId="77777777" w:rsidR="003E6823" w:rsidRDefault="003E6823" w:rsidP="003E6823">
      <w:pPr>
        <w:pStyle w:val="FRCNumberedparagraphs"/>
        <w:numPr>
          <w:ilvl w:val="0"/>
          <w:numId w:val="0"/>
        </w:numPr>
        <w:spacing w:after="0"/>
        <w:rPr>
          <w:rStyle w:val="normaltextrun"/>
          <w:rFonts w:ascii="Roboto UKEB" w:hAnsi="Roboto UKEB" w:cs="Arial"/>
          <w:szCs w:val="22"/>
        </w:rPr>
      </w:pPr>
    </w:p>
    <w:p w14:paraId="3B4045F5" w14:textId="16B7D43D" w:rsidR="009926D6" w:rsidRDefault="009926D6" w:rsidP="006447F3">
      <w:pPr>
        <w:pStyle w:val="FRCNumberedparagraphs"/>
        <w:numPr>
          <w:ilvl w:val="0"/>
          <w:numId w:val="0"/>
        </w:numPr>
        <w:spacing w:after="0"/>
        <w:rPr>
          <w:rFonts w:ascii="Roboto UKEB" w:hAnsi="Roboto UKEB"/>
          <w:szCs w:val="22"/>
        </w:rPr>
      </w:pPr>
    </w:p>
    <w:tbl>
      <w:tblPr>
        <w:tblStyle w:val="TableGrid"/>
        <w:tblW w:w="9498" w:type="dxa"/>
        <w:tblInd w:w="-5" w:type="dxa"/>
        <w:tblLook w:val="04A0" w:firstRow="1" w:lastRow="0" w:firstColumn="1" w:lastColumn="0" w:noHBand="0" w:noVBand="1"/>
      </w:tblPr>
      <w:tblGrid>
        <w:gridCol w:w="9498"/>
      </w:tblGrid>
      <w:tr w:rsidR="000130C7" w:rsidRPr="003677FA" w14:paraId="237ACCA9" w14:textId="77777777" w:rsidTr="008A0CDB">
        <w:trPr>
          <w:tblHeader/>
        </w:trPr>
        <w:tc>
          <w:tcPr>
            <w:tcW w:w="9498" w:type="dxa"/>
          </w:tcPr>
          <w:p w14:paraId="6BE0A084" w14:textId="77777777" w:rsidR="000130C7" w:rsidRPr="003677FA" w:rsidRDefault="000130C7" w:rsidP="004B7A53">
            <w:pPr>
              <w:keepNext/>
              <w:spacing w:after="120"/>
              <w:rPr>
                <w:rFonts w:ascii="Addington CF Thin" w:hAnsi="Addington CF Thin"/>
                <w:b w:val="0"/>
                <w:bCs w:val="0"/>
              </w:rPr>
            </w:pPr>
            <w:r w:rsidRPr="00AD1FFD">
              <w:rPr>
                <w:rFonts w:ascii="Addington CF Thin" w:hAnsi="Addington CF Thin"/>
                <w:color w:val="auto"/>
              </w:rPr>
              <w:t>Question 3: Total allowed compensation</w:t>
            </w:r>
          </w:p>
        </w:tc>
      </w:tr>
      <w:tr w:rsidR="000130C7" w:rsidRPr="003677FA" w14:paraId="12F315C8" w14:textId="77777777" w:rsidTr="004B7A53">
        <w:tc>
          <w:tcPr>
            <w:tcW w:w="9498" w:type="dxa"/>
          </w:tcPr>
          <w:p w14:paraId="390A27AB" w14:textId="77777777" w:rsidR="000130C7" w:rsidRPr="003677FA" w:rsidRDefault="000130C7" w:rsidP="004B7A53">
            <w:pPr>
              <w:pStyle w:val="FRCNumberedparagraphs"/>
              <w:numPr>
                <w:ilvl w:val="0"/>
                <w:numId w:val="0"/>
              </w:numPr>
              <w:spacing w:before="40" w:after="120"/>
              <w:rPr>
                <w:rFonts w:ascii="Roboto UKEB" w:hAnsi="Roboto UKEB" w:cs="Arial"/>
                <w:sz w:val="18"/>
                <w:szCs w:val="18"/>
              </w:rPr>
            </w:pPr>
            <w:r w:rsidRPr="003677FA">
              <w:rPr>
                <w:rFonts w:ascii="Roboto UKEB" w:hAnsi="Roboto UKEB"/>
                <w:bCs/>
                <w:color w:val="000000"/>
                <w:sz w:val="18"/>
                <w:szCs w:val="18"/>
              </w:rPr>
              <w:t>Paragraphs B3–B27 of the Exposure Draft set out how an entity would determine whether components of total allowed compensation included in determining the regulated rates charged to customers in a period, and hence included in the revenue recognised in the period, relate to goods or services supplied in the same period, or to goods or services supplied in a different period. Paragraphs BC87–BC113 of the Basis for Conclusions explain the reasoning behind the Board’s proposals.</w:t>
            </w:r>
          </w:p>
          <w:p w14:paraId="55A08E68" w14:textId="77777777" w:rsidR="000130C7" w:rsidRPr="003677FA" w:rsidRDefault="000130C7" w:rsidP="000130C7">
            <w:pPr>
              <w:pStyle w:val="FRCNumberedparagraphs"/>
              <w:numPr>
                <w:ilvl w:val="1"/>
                <w:numId w:val="22"/>
              </w:numPr>
              <w:spacing w:before="40" w:after="120"/>
              <w:ind w:left="567" w:hanging="567"/>
              <w:rPr>
                <w:rFonts w:ascii="Roboto UKEB" w:hAnsi="Roboto UKEB" w:cs="Arial"/>
                <w:sz w:val="18"/>
                <w:szCs w:val="18"/>
              </w:rPr>
            </w:pPr>
            <w:r w:rsidRPr="003677FA">
              <w:rPr>
                <w:rFonts w:ascii="Roboto UKEB" w:hAnsi="Roboto UKEB"/>
                <w:bCs/>
                <w:color w:val="000000"/>
                <w:sz w:val="18"/>
                <w:szCs w:val="18"/>
              </w:rPr>
              <w:t xml:space="preserve">Do you agree with the proposed guidance on how an entity would determine total allowed compensation for goods or services supplied in a period if a regulatory agreement </w:t>
            </w:r>
            <w:proofErr w:type="gramStart"/>
            <w:r w:rsidRPr="003677FA">
              <w:rPr>
                <w:rFonts w:ascii="Roboto UKEB" w:hAnsi="Roboto UKEB"/>
                <w:bCs/>
                <w:color w:val="000000"/>
                <w:sz w:val="18"/>
                <w:szCs w:val="18"/>
              </w:rPr>
              <w:t>provides:</w:t>
            </w:r>
            <w:proofErr w:type="gramEnd"/>
          </w:p>
          <w:p w14:paraId="0B8409F8" w14:textId="77777777" w:rsidR="000130C7" w:rsidRPr="003677FA" w:rsidRDefault="000130C7" w:rsidP="000130C7">
            <w:pPr>
              <w:pStyle w:val="FRCNumberedparagraphs"/>
              <w:numPr>
                <w:ilvl w:val="2"/>
                <w:numId w:val="23"/>
              </w:numPr>
              <w:spacing w:before="40" w:after="120"/>
              <w:ind w:left="1134" w:hanging="567"/>
              <w:rPr>
                <w:rFonts w:ascii="Roboto UKEB" w:hAnsi="Roboto UKEB" w:cs="Arial"/>
                <w:sz w:val="18"/>
                <w:szCs w:val="18"/>
              </w:rPr>
            </w:pPr>
            <w:r w:rsidRPr="003677FA">
              <w:rPr>
                <w:rFonts w:ascii="Roboto UKEB" w:hAnsi="Roboto UKEB"/>
                <w:bCs/>
                <w:color w:val="000000"/>
                <w:sz w:val="18"/>
                <w:szCs w:val="18"/>
              </w:rPr>
              <w:t>regulatory returns calculated by applying a return rate to a base, such as a regulatory capital base (paragraphs B13–B14 and BC92–BC95)?</w:t>
            </w:r>
          </w:p>
          <w:p w14:paraId="637F2EEE" w14:textId="77777777" w:rsidR="000130C7" w:rsidRPr="003677FA" w:rsidRDefault="000130C7" w:rsidP="000130C7">
            <w:pPr>
              <w:pStyle w:val="FRCNumberedparagraphs"/>
              <w:numPr>
                <w:ilvl w:val="2"/>
                <w:numId w:val="23"/>
              </w:numPr>
              <w:spacing w:before="40" w:after="120"/>
              <w:ind w:left="1134" w:hanging="567"/>
              <w:rPr>
                <w:rFonts w:ascii="Roboto UKEB" w:hAnsi="Roboto UKEB" w:cs="Arial"/>
                <w:sz w:val="18"/>
                <w:szCs w:val="18"/>
              </w:rPr>
            </w:pPr>
            <w:r w:rsidRPr="003677FA">
              <w:rPr>
                <w:rFonts w:ascii="Roboto UKEB" w:hAnsi="Roboto UKEB"/>
                <w:bCs/>
                <w:color w:val="000000"/>
                <w:sz w:val="18"/>
                <w:szCs w:val="18"/>
              </w:rPr>
              <w:t>regulatory returns on a balance relating to assets not yet available for use (paragraphs B15 and BC96–BC100)?</w:t>
            </w:r>
          </w:p>
          <w:p w14:paraId="21385760" w14:textId="77777777" w:rsidR="000130C7" w:rsidRPr="003677FA" w:rsidRDefault="000130C7" w:rsidP="000130C7">
            <w:pPr>
              <w:pStyle w:val="FRCNumberedparagraphs"/>
              <w:numPr>
                <w:ilvl w:val="2"/>
                <w:numId w:val="23"/>
              </w:numPr>
              <w:spacing w:before="40" w:after="120"/>
              <w:ind w:left="1134" w:hanging="567"/>
              <w:rPr>
                <w:rFonts w:ascii="Roboto UKEB" w:hAnsi="Roboto UKEB" w:cs="Arial"/>
                <w:sz w:val="18"/>
                <w:szCs w:val="18"/>
              </w:rPr>
            </w:pPr>
            <w:r w:rsidRPr="003677FA">
              <w:rPr>
                <w:rFonts w:ascii="Roboto UKEB" w:hAnsi="Roboto UKEB"/>
                <w:bCs/>
                <w:color w:val="000000"/>
                <w:sz w:val="18"/>
                <w:szCs w:val="18"/>
              </w:rPr>
              <w:t>performance incentives (paragraphs B16–B20 and BC101–BC110)?</w:t>
            </w:r>
          </w:p>
          <w:p w14:paraId="097CBB78" w14:textId="77777777" w:rsidR="000130C7" w:rsidRPr="003677FA" w:rsidRDefault="000130C7" w:rsidP="000130C7">
            <w:pPr>
              <w:pStyle w:val="FRCNumberedparagraphs"/>
              <w:numPr>
                <w:ilvl w:val="1"/>
                <w:numId w:val="22"/>
              </w:numPr>
              <w:spacing w:before="40" w:after="120"/>
              <w:ind w:left="567" w:hanging="567"/>
              <w:rPr>
                <w:rFonts w:ascii="Roboto UKEB" w:hAnsi="Roboto UKEB"/>
                <w:bCs/>
                <w:color w:val="000000"/>
                <w:sz w:val="18"/>
                <w:szCs w:val="18"/>
              </w:rPr>
            </w:pPr>
            <w:r w:rsidRPr="003677FA">
              <w:rPr>
                <w:rFonts w:ascii="Roboto UKEB" w:hAnsi="Roboto UKEB"/>
                <w:bCs/>
                <w:color w:val="000000"/>
                <w:sz w:val="18"/>
                <w:szCs w:val="18"/>
              </w:rPr>
              <w:t>Do you agree with how the proposed guidance in paragraphs B3–B27 would treat all components of total allowed compensation not listed in question 3(a)?</w:t>
            </w:r>
            <w:r>
              <w:rPr>
                <w:rFonts w:ascii="Roboto UKEB" w:hAnsi="Roboto UKEB"/>
                <w:bCs/>
                <w:color w:val="000000"/>
                <w:sz w:val="18"/>
                <w:szCs w:val="18"/>
              </w:rPr>
              <w:t xml:space="preserve"> </w:t>
            </w:r>
            <w:r w:rsidRPr="003677FA">
              <w:rPr>
                <w:rFonts w:ascii="Roboto UKEB" w:hAnsi="Roboto UKEB"/>
                <w:bCs/>
                <w:color w:val="000000"/>
                <w:sz w:val="18"/>
                <w:szCs w:val="18"/>
              </w:rPr>
              <w:t>Why or why not? If not, what approach do you recommend and why?</w:t>
            </w:r>
          </w:p>
          <w:p w14:paraId="1130A9E9" w14:textId="77777777" w:rsidR="000130C7" w:rsidRPr="003677FA" w:rsidRDefault="000130C7" w:rsidP="000130C7">
            <w:pPr>
              <w:pStyle w:val="FRCNumberedparagraphs"/>
              <w:numPr>
                <w:ilvl w:val="1"/>
                <w:numId w:val="22"/>
              </w:numPr>
              <w:spacing w:before="40" w:after="120"/>
              <w:ind w:left="567" w:hanging="567"/>
              <w:rPr>
                <w:rFonts w:ascii="Roboto UKEB" w:hAnsi="Roboto UKEB" w:cs="Arial"/>
                <w:szCs w:val="22"/>
              </w:rPr>
            </w:pPr>
            <w:r w:rsidRPr="003677FA">
              <w:rPr>
                <w:rFonts w:ascii="Roboto UKEB" w:hAnsi="Roboto UKEB"/>
                <w:bCs/>
                <w:color w:val="000000"/>
                <w:sz w:val="18"/>
                <w:szCs w:val="18"/>
              </w:rPr>
              <w:t>Should the Board provide any further guidance on how to apply the concept of total allowed compensation? If so, what guidance is needed and why?</w:t>
            </w:r>
          </w:p>
        </w:tc>
      </w:tr>
    </w:tbl>
    <w:p w14:paraId="12974DBC" w14:textId="77777777" w:rsidR="000130C7" w:rsidRPr="003677FA" w:rsidRDefault="000130C7" w:rsidP="000130C7">
      <w:pPr>
        <w:pStyle w:val="Appendixnumparas"/>
        <w:numPr>
          <w:ilvl w:val="0"/>
          <w:numId w:val="0"/>
        </w:numPr>
        <w:spacing w:after="0"/>
        <w:rPr>
          <w:rFonts w:ascii="Roboto UKEB" w:hAnsi="Roboto UKEB"/>
          <w:color w:val="auto"/>
          <w:lang w:val="en-GB"/>
        </w:rPr>
      </w:pPr>
    </w:p>
    <w:p w14:paraId="017464A5" w14:textId="77777777" w:rsidR="000130C7" w:rsidRPr="00BE0656" w:rsidRDefault="000130C7"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0130C7" w14:paraId="353F2A5B" w14:textId="77777777" w:rsidTr="004B7A53">
        <w:tc>
          <w:tcPr>
            <w:tcW w:w="9498" w:type="dxa"/>
          </w:tcPr>
          <w:p w14:paraId="6945C90F" w14:textId="77777777" w:rsidR="000130C7" w:rsidRDefault="000130C7" w:rsidP="004B7A53">
            <w:pPr>
              <w:pStyle w:val="FRCNumberedparagraphs"/>
              <w:numPr>
                <w:ilvl w:val="0"/>
                <w:numId w:val="0"/>
              </w:numPr>
              <w:rPr>
                <w:rStyle w:val="normaltextrun"/>
                <w:rFonts w:ascii="Roboto UKEB" w:hAnsi="Roboto UKEB" w:cs="Arial"/>
                <w:szCs w:val="22"/>
              </w:rPr>
            </w:pPr>
          </w:p>
        </w:tc>
      </w:tr>
    </w:tbl>
    <w:p w14:paraId="5348A532" w14:textId="77777777" w:rsidR="000130C7" w:rsidRDefault="000130C7" w:rsidP="000130C7">
      <w:pPr>
        <w:pStyle w:val="FRCNumberedparagraphs"/>
        <w:numPr>
          <w:ilvl w:val="0"/>
          <w:numId w:val="0"/>
        </w:numPr>
        <w:spacing w:after="0"/>
        <w:rPr>
          <w:rStyle w:val="normaltextrun"/>
          <w:rFonts w:ascii="Roboto UKEB" w:hAnsi="Roboto UKEB" w:cs="Arial"/>
          <w:szCs w:val="22"/>
        </w:rPr>
      </w:pPr>
    </w:p>
    <w:p w14:paraId="24F65B96" w14:textId="77777777" w:rsidR="000130C7" w:rsidRDefault="000130C7" w:rsidP="000130C7">
      <w:pPr>
        <w:pStyle w:val="FRCNumberedparagraphs"/>
        <w:numPr>
          <w:ilvl w:val="0"/>
          <w:numId w:val="0"/>
        </w:numPr>
        <w:spacing w:after="0"/>
        <w:rPr>
          <w:rStyle w:val="normaltextrun"/>
          <w:rFonts w:ascii="Roboto UKEB" w:hAnsi="Roboto UKEB" w:cs="Arial"/>
          <w:szCs w:val="22"/>
        </w:rPr>
      </w:pPr>
    </w:p>
    <w:tbl>
      <w:tblPr>
        <w:tblStyle w:val="TableGrid"/>
        <w:tblW w:w="9498" w:type="dxa"/>
        <w:tblInd w:w="-5" w:type="dxa"/>
        <w:tblLook w:val="04A0" w:firstRow="1" w:lastRow="0" w:firstColumn="1" w:lastColumn="0" w:noHBand="0" w:noVBand="1"/>
      </w:tblPr>
      <w:tblGrid>
        <w:gridCol w:w="9498"/>
      </w:tblGrid>
      <w:tr w:rsidR="00A73715" w:rsidRPr="003677FA" w14:paraId="45D0EA4D" w14:textId="77777777" w:rsidTr="008A0CDB">
        <w:trPr>
          <w:tblHeader/>
        </w:trPr>
        <w:tc>
          <w:tcPr>
            <w:tcW w:w="9498" w:type="dxa"/>
          </w:tcPr>
          <w:p w14:paraId="60CA23EB" w14:textId="77777777" w:rsidR="00A73715" w:rsidRPr="003677FA" w:rsidRDefault="00A73715" w:rsidP="004B7A53">
            <w:pPr>
              <w:keepNext/>
              <w:spacing w:after="120"/>
              <w:rPr>
                <w:rFonts w:ascii="Addington CF Thin" w:hAnsi="Addington CF Thin"/>
                <w:b w:val="0"/>
                <w:bCs w:val="0"/>
              </w:rPr>
            </w:pPr>
            <w:r w:rsidRPr="00AD1FFD">
              <w:rPr>
                <w:rFonts w:ascii="Addington CF Thin" w:hAnsi="Addington CF Thin"/>
                <w:color w:val="auto"/>
              </w:rPr>
              <w:lastRenderedPageBreak/>
              <w:t>Question 4: Recognition</w:t>
            </w:r>
          </w:p>
        </w:tc>
      </w:tr>
      <w:tr w:rsidR="00A73715" w:rsidRPr="003677FA" w14:paraId="2BB59BD9" w14:textId="77777777" w:rsidTr="004B7A53">
        <w:tc>
          <w:tcPr>
            <w:tcW w:w="9498" w:type="dxa"/>
          </w:tcPr>
          <w:p w14:paraId="7AB97671" w14:textId="77777777" w:rsidR="00A73715" w:rsidRPr="00A73715" w:rsidRDefault="00A73715" w:rsidP="004B7A53">
            <w:pPr>
              <w:pStyle w:val="AG-NTBT"/>
              <w:spacing w:after="120"/>
              <w:jc w:val="both"/>
              <w:rPr>
                <w:rFonts w:ascii="Roboto UKEB" w:hAnsi="Roboto UKEB"/>
                <w:b w:val="0"/>
                <w:bCs w:val="0"/>
                <w:szCs w:val="18"/>
              </w:rPr>
            </w:pPr>
            <w:r w:rsidRPr="00A73715">
              <w:rPr>
                <w:rFonts w:ascii="Roboto UKEB" w:hAnsi="Roboto UKEB"/>
                <w:b w:val="0"/>
                <w:bCs w:val="0"/>
                <w:szCs w:val="18"/>
              </w:rPr>
              <w:t>Paragraphs 25–28 of the Exposure Draft propose that:</w:t>
            </w:r>
          </w:p>
          <w:p w14:paraId="3801D186" w14:textId="77777777" w:rsidR="00A73715" w:rsidRPr="00A73715" w:rsidRDefault="00A73715" w:rsidP="00A73715">
            <w:pPr>
              <w:pStyle w:val="AG-NTBT"/>
              <w:numPr>
                <w:ilvl w:val="0"/>
                <w:numId w:val="24"/>
              </w:numPr>
              <w:spacing w:after="120"/>
              <w:ind w:left="567" w:hanging="567"/>
              <w:jc w:val="both"/>
              <w:rPr>
                <w:rFonts w:ascii="Roboto UKEB" w:hAnsi="Roboto UKEB"/>
                <w:b w:val="0"/>
                <w:bCs w:val="0"/>
                <w:szCs w:val="18"/>
              </w:rPr>
            </w:pPr>
            <w:r w:rsidRPr="00A73715">
              <w:rPr>
                <w:rFonts w:ascii="Roboto UKEB" w:hAnsi="Roboto UKEB"/>
                <w:b w:val="0"/>
                <w:bCs w:val="0"/>
                <w:szCs w:val="18"/>
              </w:rPr>
              <w:t xml:space="preserve">an entity </w:t>
            </w:r>
            <w:proofErr w:type="spellStart"/>
            <w:r w:rsidRPr="00A73715">
              <w:rPr>
                <w:rFonts w:ascii="Roboto UKEB" w:hAnsi="Roboto UKEB"/>
                <w:b w:val="0"/>
                <w:bCs w:val="0"/>
                <w:szCs w:val="18"/>
              </w:rPr>
              <w:t>recognise</w:t>
            </w:r>
            <w:proofErr w:type="spellEnd"/>
            <w:r w:rsidRPr="00A73715">
              <w:rPr>
                <w:rFonts w:ascii="Roboto UKEB" w:hAnsi="Roboto UKEB"/>
                <w:b w:val="0"/>
                <w:bCs w:val="0"/>
                <w:szCs w:val="18"/>
              </w:rPr>
              <w:t xml:space="preserve"> all its regulatory assets and regulatory liabilities; and</w:t>
            </w:r>
          </w:p>
          <w:p w14:paraId="38CFE0EA" w14:textId="77777777" w:rsidR="00A73715" w:rsidRPr="00A73715" w:rsidRDefault="00A73715" w:rsidP="00A73715">
            <w:pPr>
              <w:pStyle w:val="AG-NTBT"/>
              <w:numPr>
                <w:ilvl w:val="0"/>
                <w:numId w:val="24"/>
              </w:numPr>
              <w:spacing w:after="120"/>
              <w:ind w:left="567" w:hanging="567"/>
              <w:jc w:val="both"/>
              <w:rPr>
                <w:rFonts w:ascii="Roboto UKEB" w:hAnsi="Roboto UKEB"/>
                <w:b w:val="0"/>
                <w:bCs w:val="0"/>
                <w:szCs w:val="18"/>
              </w:rPr>
            </w:pPr>
            <w:r w:rsidRPr="00A73715">
              <w:rPr>
                <w:rFonts w:ascii="Roboto UKEB" w:hAnsi="Roboto UKEB"/>
                <w:b w:val="0"/>
                <w:bCs w:val="0"/>
                <w:szCs w:val="18"/>
              </w:rPr>
              <w:t xml:space="preserve">if it is uncertain whether a regulatory asset or regulatory liability exists, an entity should </w:t>
            </w:r>
            <w:proofErr w:type="spellStart"/>
            <w:r w:rsidRPr="00A73715">
              <w:rPr>
                <w:rFonts w:ascii="Roboto UKEB" w:hAnsi="Roboto UKEB"/>
                <w:b w:val="0"/>
                <w:bCs w:val="0"/>
                <w:szCs w:val="18"/>
              </w:rPr>
              <w:t>recognise</w:t>
            </w:r>
            <w:proofErr w:type="spellEnd"/>
            <w:r w:rsidRPr="00A73715">
              <w:rPr>
                <w:rFonts w:ascii="Roboto UKEB" w:hAnsi="Roboto UKEB"/>
                <w:b w:val="0"/>
                <w:bCs w:val="0"/>
                <w:szCs w:val="18"/>
              </w:rPr>
              <w:t xml:space="preserve"> that regulatory asset or regulatory liability if it is more likely than not that it exists. It could be certain that a regulatory asset or regulatory liability exists even if it is uncertain whether that asset or liability will ultimately generate any inflows or outflows of cash. Uncertainty of outcome would be addressed in measurement (Question 5).</w:t>
            </w:r>
          </w:p>
          <w:p w14:paraId="19F445AE" w14:textId="77777777" w:rsidR="00A73715" w:rsidRPr="00A73715" w:rsidRDefault="00A73715" w:rsidP="004B7A53">
            <w:pPr>
              <w:pStyle w:val="AG-NTBT"/>
              <w:spacing w:after="120"/>
              <w:jc w:val="both"/>
              <w:rPr>
                <w:rFonts w:ascii="Roboto UKEB" w:hAnsi="Roboto UKEB"/>
                <w:b w:val="0"/>
                <w:bCs w:val="0"/>
                <w:szCs w:val="18"/>
              </w:rPr>
            </w:pPr>
            <w:r w:rsidRPr="00A73715">
              <w:rPr>
                <w:rFonts w:ascii="Roboto UKEB" w:hAnsi="Roboto UKEB"/>
                <w:b w:val="0"/>
                <w:bCs w:val="0"/>
                <w:szCs w:val="18"/>
              </w:rPr>
              <w:t>Paragraphs BC122–BC129 of the Basis for Conclusions describe the reasoning behind the Board’s proposals.</w:t>
            </w:r>
          </w:p>
          <w:p w14:paraId="4B21E16D" w14:textId="77777777" w:rsidR="00A73715" w:rsidRPr="00A73715" w:rsidRDefault="00A73715" w:rsidP="00A73715">
            <w:pPr>
              <w:pStyle w:val="AG-NTBT"/>
              <w:numPr>
                <w:ilvl w:val="0"/>
                <w:numId w:val="25"/>
              </w:numPr>
              <w:spacing w:after="120"/>
              <w:ind w:left="567" w:hanging="567"/>
              <w:jc w:val="both"/>
              <w:rPr>
                <w:rFonts w:ascii="Roboto UKEB" w:hAnsi="Roboto UKEB"/>
                <w:b w:val="0"/>
                <w:bCs w:val="0"/>
                <w:szCs w:val="18"/>
              </w:rPr>
            </w:pPr>
            <w:r w:rsidRPr="00A73715">
              <w:rPr>
                <w:rFonts w:ascii="Roboto UKEB" w:hAnsi="Roboto UKEB"/>
                <w:b w:val="0"/>
                <w:bCs w:val="0"/>
                <w:szCs w:val="18"/>
              </w:rPr>
              <w:t xml:space="preserve">Do you agree that an entity should </w:t>
            </w:r>
            <w:proofErr w:type="spellStart"/>
            <w:r w:rsidRPr="00A73715">
              <w:rPr>
                <w:rFonts w:ascii="Roboto UKEB" w:hAnsi="Roboto UKEB"/>
                <w:b w:val="0"/>
                <w:bCs w:val="0"/>
                <w:szCs w:val="18"/>
              </w:rPr>
              <w:t>recognise</w:t>
            </w:r>
            <w:proofErr w:type="spellEnd"/>
            <w:r w:rsidRPr="00A73715">
              <w:rPr>
                <w:rFonts w:ascii="Roboto UKEB" w:hAnsi="Roboto UKEB"/>
                <w:b w:val="0"/>
                <w:bCs w:val="0"/>
                <w:szCs w:val="18"/>
              </w:rPr>
              <w:t xml:space="preserve"> all its regulatory assets and regulatory liabilities? Why or why not?</w:t>
            </w:r>
          </w:p>
          <w:p w14:paraId="6DD1FBCB" w14:textId="77777777" w:rsidR="00A73715" w:rsidRPr="00A73715" w:rsidRDefault="00A73715" w:rsidP="00A73715">
            <w:pPr>
              <w:pStyle w:val="AG-NTBT"/>
              <w:numPr>
                <w:ilvl w:val="0"/>
                <w:numId w:val="25"/>
              </w:numPr>
              <w:spacing w:after="120"/>
              <w:ind w:left="567" w:hanging="567"/>
              <w:jc w:val="both"/>
              <w:rPr>
                <w:rFonts w:ascii="Roboto UKEB" w:hAnsi="Roboto UKEB"/>
                <w:b w:val="0"/>
                <w:bCs w:val="0"/>
                <w:sz w:val="22"/>
              </w:rPr>
            </w:pPr>
            <w:r w:rsidRPr="00A73715">
              <w:rPr>
                <w:rFonts w:ascii="Roboto UKEB" w:hAnsi="Roboto UKEB"/>
                <w:b w:val="0"/>
                <w:bCs w:val="0"/>
                <w:szCs w:val="18"/>
              </w:rPr>
              <w:t>Do you agree that a ‘more likely than not’ recognition threshold should apply when it is uncertain whether a regulatory asset or regulatory liability exists? Why or why not? If not, what recognition threshold do you suggest and why?</w:t>
            </w:r>
          </w:p>
        </w:tc>
      </w:tr>
    </w:tbl>
    <w:p w14:paraId="57B78EAC" w14:textId="37E93BDE" w:rsidR="0078590C" w:rsidRDefault="0078590C" w:rsidP="006447F3">
      <w:pPr>
        <w:pStyle w:val="FRCNumberedparagraphs"/>
        <w:numPr>
          <w:ilvl w:val="0"/>
          <w:numId w:val="0"/>
        </w:numPr>
        <w:spacing w:after="0"/>
        <w:rPr>
          <w:rFonts w:ascii="Roboto UKEB" w:hAnsi="Roboto UKEB"/>
          <w:szCs w:val="22"/>
        </w:rPr>
      </w:pPr>
    </w:p>
    <w:p w14:paraId="7ACD8571" w14:textId="77777777" w:rsidR="00A84197" w:rsidRPr="00BE0656" w:rsidRDefault="00A84197"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A84197" w14:paraId="481E6E03" w14:textId="77777777" w:rsidTr="004B7A53">
        <w:tc>
          <w:tcPr>
            <w:tcW w:w="9498" w:type="dxa"/>
          </w:tcPr>
          <w:p w14:paraId="39854114" w14:textId="77777777" w:rsidR="00A84197" w:rsidRDefault="00A84197" w:rsidP="004B7A53">
            <w:pPr>
              <w:pStyle w:val="FRCNumberedparagraphs"/>
              <w:numPr>
                <w:ilvl w:val="0"/>
                <w:numId w:val="0"/>
              </w:numPr>
              <w:rPr>
                <w:rStyle w:val="normaltextrun"/>
                <w:rFonts w:ascii="Roboto UKEB" w:hAnsi="Roboto UKEB" w:cs="Arial"/>
                <w:szCs w:val="22"/>
              </w:rPr>
            </w:pPr>
          </w:p>
        </w:tc>
      </w:tr>
    </w:tbl>
    <w:p w14:paraId="526F4972" w14:textId="77777777" w:rsidR="00A84197" w:rsidRDefault="00A84197" w:rsidP="00A84197">
      <w:pPr>
        <w:pStyle w:val="FRCNumberedparagraphs"/>
        <w:numPr>
          <w:ilvl w:val="0"/>
          <w:numId w:val="0"/>
        </w:numPr>
        <w:spacing w:after="0"/>
        <w:rPr>
          <w:rStyle w:val="normaltextrun"/>
          <w:rFonts w:ascii="Roboto UKEB" w:hAnsi="Roboto UKEB" w:cs="Arial"/>
          <w:szCs w:val="22"/>
        </w:rPr>
      </w:pPr>
    </w:p>
    <w:p w14:paraId="3EA4523A" w14:textId="23D4BD42" w:rsidR="0078590C" w:rsidRDefault="0078590C" w:rsidP="006447F3">
      <w:pPr>
        <w:pStyle w:val="FRCNumberedparagraphs"/>
        <w:numPr>
          <w:ilvl w:val="0"/>
          <w:numId w:val="0"/>
        </w:numPr>
        <w:spacing w:after="0"/>
        <w:rPr>
          <w:rFonts w:ascii="Roboto UKEB" w:hAnsi="Roboto UKEB"/>
          <w:szCs w:val="22"/>
        </w:rPr>
      </w:pPr>
    </w:p>
    <w:tbl>
      <w:tblPr>
        <w:tblStyle w:val="TableGrid"/>
        <w:tblW w:w="9498" w:type="dxa"/>
        <w:tblInd w:w="-5" w:type="dxa"/>
        <w:tblLook w:val="04A0" w:firstRow="1" w:lastRow="0" w:firstColumn="1" w:lastColumn="0" w:noHBand="0" w:noVBand="1"/>
      </w:tblPr>
      <w:tblGrid>
        <w:gridCol w:w="9498"/>
      </w:tblGrid>
      <w:tr w:rsidR="00A84197" w:rsidRPr="003677FA" w14:paraId="42A13224" w14:textId="77777777" w:rsidTr="008A0CDB">
        <w:trPr>
          <w:tblHeader/>
        </w:trPr>
        <w:tc>
          <w:tcPr>
            <w:tcW w:w="9498" w:type="dxa"/>
          </w:tcPr>
          <w:p w14:paraId="0ABE53CA" w14:textId="77777777" w:rsidR="00A84197" w:rsidRPr="003677FA" w:rsidRDefault="00A84197" w:rsidP="004B7A53">
            <w:pPr>
              <w:keepNext/>
              <w:spacing w:after="120"/>
              <w:rPr>
                <w:rFonts w:ascii="Addington CF Thin" w:hAnsi="Addington CF Thin"/>
                <w:b w:val="0"/>
                <w:bCs w:val="0"/>
              </w:rPr>
            </w:pPr>
            <w:r w:rsidRPr="00AD1FFD">
              <w:rPr>
                <w:rFonts w:ascii="Addington CF Thin" w:hAnsi="Addington CF Thin"/>
                <w:color w:val="auto"/>
              </w:rPr>
              <w:t>Question 5: Measurement</w:t>
            </w:r>
          </w:p>
        </w:tc>
      </w:tr>
      <w:tr w:rsidR="00A84197" w:rsidRPr="003677FA" w14:paraId="44850A6B" w14:textId="77777777" w:rsidTr="004B7A53">
        <w:tc>
          <w:tcPr>
            <w:tcW w:w="9498" w:type="dxa"/>
          </w:tcPr>
          <w:p w14:paraId="3D0D6D0A" w14:textId="77777777" w:rsidR="00A84197" w:rsidRPr="003677FA" w:rsidRDefault="00A84197" w:rsidP="004B7A53">
            <w:pPr>
              <w:pStyle w:val="FRCNumberedparagraphs"/>
              <w:numPr>
                <w:ilvl w:val="0"/>
                <w:numId w:val="0"/>
              </w:numPr>
              <w:spacing w:before="40" w:after="120"/>
              <w:rPr>
                <w:rFonts w:ascii="Roboto UKEB" w:hAnsi="Roboto UKEB" w:cs="Arial"/>
                <w:sz w:val="18"/>
                <w:szCs w:val="18"/>
              </w:rPr>
            </w:pPr>
            <w:r w:rsidRPr="003677FA">
              <w:rPr>
                <w:rFonts w:ascii="Roboto UKEB" w:hAnsi="Roboto UKEB"/>
                <w:bCs/>
                <w:sz w:val="18"/>
                <w:szCs w:val="18"/>
              </w:rPr>
              <w:t>Paragraph 29 of the Exposure Draft specifies the measurement basis. Paragraphs 29–45</w:t>
            </w:r>
            <w:r>
              <w:rPr>
                <w:rFonts w:ascii="Roboto UKEB" w:hAnsi="Roboto UKEB"/>
                <w:bCs/>
                <w:sz w:val="18"/>
                <w:szCs w:val="18"/>
              </w:rPr>
              <w:t xml:space="preserve"> </w:t>
            </w:r>
            <w:r w:rsidRPr="003677FA">
              <w:rPr>
                <w:rFonts w:ascii="Roboto UKEB" w:hAnsi="Roboto UKEB"/>
                <w:bCs/>
                <w:sz w:val="18"/>
                <w:szCs w:val="18"/>
              </w:rPr>
              <w:t>of the Exposure Draft propose that an entity measure regulatory assets and regulatory liabilities at historical cost, modified by using updated estimates of future cash flows. An entity would implement that measurement basis by applying a cash-flow-based measurement technique. That technique would involve estimating future cash flows—including future cash flows arising from regulatory interest—and updating those estimates at the end of each reporting period to reflect conditions existing at that date. The future cash flows would be discounted (in most cases at the regulatory interest rate—see Question 6). Paragraphs BC130–BC158 of the Basis for Conclusions describe the reasoning behind the Board’s proposals.</w:t>
            </w:r>
          </w:p>
          <w:p w14:paraId="471CE9EE" w14:textId="77777777" w:rsidR="00A84197" w:rsidRPr="003677FA" w:rsidRDefault="00A84197" w:rsidP="00A84197">
            <w:pPr>
              <w:pStyle w:val="FRCNumberedparagraphs"/>
              <w:numPr>
                <w:ilvl w:val="0"/>
                <w:numId w:val="26"/>
              </w:numPr>
              <w:spacing w:before="40" w:after="120"/>
              <w:ind w:left="567" w:hanging="567"/>
              <w:rPr>
                <w:rFonts w:ascii="Roboto UKEB" w:hAnsi="Roboto UKEB"/>
                <w:bCs/>
                <w:sz w:val="18"/>
                <w:szCs w:val="18"/>
              </w:rPr>
            </w:pPr>
            <w:r w:rsidRPr="003677FA">
              <w:rPr>
                <w:rFonts w:ascii="Roboto UKEB" w:hAnsi="Roboto UKEB"/>
                <w:bCs/>
                <w:sz w:val="18"/>
                <w:szCs w:val="18"/>
              </w:rPr>
              <w:t>Do you agree with the proposed measurement basis? Why or why not? If not, what basis do you suggest and why?</w:t>
            </w:r>
          </w:p>
          <w:p w14:paraId="3B472C5F" w14:textId="77777777" w:rsidR="00A84197" w:rsidRPr="003677FA" w:rsidRDefault="00A84197" w:rsidP="00A84197">
            <w:pPr>
              <w:pStyle w:val="FRCNumberedparagraphs"/>
              <w:numPr>
                <w:ilvl w:val="0"/>
                <w:numId w:val="26"/>
              </w:numPr>
              <w:spacing w:before="40" w:after="120"/>
              <w:ind w:left="567" w:hanging="567"/>
              <w:rPr>
                <w:rFonts w:ascii="Roboto UKEB" w:hAnsi="Roboto UKEB"/>
                <w:bCs/>
                <w:sz w:val="18"/>
                <w:szCs w:val="18"/>
              </w:rPr>
            </w:pPr>
            <w:r w:rsidRPr="003677FA">
              <w:rPr>
                <w:rFonts w:ascii="Roboto UKEB" w:hAnsi="Roboto UKEB"/>
                <w:bCs/>
                <w:sz w:val="18"/>
                <w:szCs w:val="18"/>
              </w:rPr>
              <w:t>Do you agree with the proposed cash-flow-based measurement technique? Why or why not? If not, what technique do you suggest and why?</w:t>
            </w:r>
          </w:p>
          <w:p w14:paraId="347E1B58" w14:textId="77777777" w:rsidR="00A84197" w:rsidRPr="003677FA" w:rsidRDefault="00A84197" w:rsidP="004B7A53">
            <w:pPr>
              <w:pStyle w:val="FRCNumberedparagraphs"/>
              <w:numPr>
                <w:ilvl w:val="0"/>
                <w:numId w:val="0"/>
              </w:numPr>
              <w:spacing w:before="40" w:after="120"/>
              <w:rPr>
                <w:rFonts w:ascii="Roboto UKEB" w:hAnsi="Roboto UKEB"/>
                <w:bCs/>
                <w:sz w:val="18"/>
                <w:szCs w:val="18"/>
              </w:rPr>
            </w:pPr>
            <w:r w:rsidRPr="003677FA">
              <w:rPr>
                <w:rFonts w:ascii="Roboto UKEB" w:hAnsi="Roboto UKEB"/>
                <w:bCs/>
                <w:sz w:val="18"/>
                <w:szCs w:val="18"/>
              </w:rPr>
              <w:t>If cash flows arising from a regulatory asset or regulatory liability are uncertain, the Exposure Draft proposes that an entity estimate those cash flows applying whichever of two methods—the ‘most likely amount’ method or ‘expected value’ method—better predicts the cash flows. The entity should apply the chosen method consistently from initial recognition to recovery or fulfilment. Paragraphs BC136–BC139 of the Basis for Conclusions describe the reasoning behind the Board’s proposal.</w:t>
            </w:r>
          </w:p>
          <w:p w14:paraId="64EBC8D9" w14:textId="77777777" w:rsidR="00A84197" w:rsidRPr="003677FA" w:rsidRDefault="00A84197" w:rsidP="00A84197">
            <w:pPr>
              <w:pStyle w:val="FRCNumberedparagraphs"/>
              <w:numPr>
                <w:ilvl w:val="0"/>
                <w:numId w:val="26"/>
              </w:numPr>
              <w:spacing w:before="40" w:after="120"/>
              <w:ind w:left="567" w:hanging="567"/>
              <w:rPr>
                <w:rFonts w:ascii="Roboto UKEB" w:hAnsi="Roboto UKEB" w:cs="Arial"/>
                <w:szCs w:val="22"/>
              </w:rPr>
            </w:pPr>
            <w:r w:rsidRPr="003677FA">
              <w:rPr>
                <w:rFonts w:ascii="Roboto UKEB" w:hAnsi="Roboto UKEB"/>
                <w:bCs/>
                <w:sz w:val="18"/>
                <w:szCs w:val="18"/>
              </w:rPr>
              <w:t>Do you agree with this proposal? Why or why not? If not, what approach do you suggest and why?</w:t>
            </w:r>
          </w:p>
        </w:tc>
      </w:tr>
    </w:tbl>
    <w:p w14:paraId="3EED7FB1" w14:textId="77777777" w:rsidR="00A84197" w:rsidRPr="003677FA" w:rsidRDefault="00A84197" w:rsidP="00A84197">
      <w:pPr>
        <w:pStyle w:val="Appendixnumparas"/>
        <w:numPr>
          <w:ilvl w:val="0"/>
          <w:numId w:val="0"/>
        </w:numPr>
        <w:spacing w:after="0"/>
        <w:rPr>
          <w:rStyle w:val="normaltextrun"/>
          <w:rFonts w:ascii="Roboto UKEB" w:hAnsi="Roboto UKEB"/>
          <w:color w:val="auto"/>
          <w:lang w:val="en-GB"/>
        </w:rPr>
      </w:pPr>
    </w:p>
    <w:p w14:paraId="4319CC3B" w14:textId="77777777" w:rsidR="00A84197" w:rsidRPr="00BE0656" w:rsidRDefault="00A84197"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lastRenderedPageBreak/>
        <w:t>Response:</w:t>
      </w:r>
    </w:p>
    <w:tbl>
      <w:tblPr>
        <w:tblStyle w:val="TableGrid"/>
        <w:tblW w:w="9498" w:type="dxa"/>
        <w:tblInd w:w="-5" w:type="dxa"/>
        <w:tblLook w:val="04A0" w:firstRow="1" w:lastRow="0" w:firstColumn="1" w:lastColumn="0" w:noHBand="0" w:noVBand="1"/>
      </w:tblPr>
      <w:tblGrid>
        <w:gridCol w:w="9498"/>
      </w:tblGrid>
      <w:tr w:rsidR="00A84197" w14:paraId="1680E61C" w14:textId="77777777" w:rsidTr="004B7A53">
        <w:tc>
          <w:tcPr>
            <w:tcW w:w="9498" w:type="dxa"/>
          </w:tcPr>
          <w:p w14:paraId="4FBCBBE3" w14:textId="77777777" w:rsidR="00A84197" w:rsidRDefault="00A84197" w:rsidP="004B7A53">
            <w:pPr>
              <w:pStyle w:val="FRCNumberedparagraphs"/>
              <w:numPr>
                <w:ilvl w:val="0"/>
                <w:numId w:val="0"/>
              </w:numPr>
              <w:rPr>
                <w:rStyle w:val="normaltextrun"/>
                <w:rFonts w:ascii="Roboto UKEB" w:hAnsi="Roboto UKEB" w:cs="Arial"/>
                <w:szCs w:val="22"/>
              </w:rPr>
            </w:pPr>
          </w:p>
        </w:tc>
      </w:tr>
    </w:tbl>
    <w:p w14:paraId="6A087033" w14:textId="77777777" w:rsidR="00A84197" w:rsidRDefault="00A84197" w:rsidP="00A84197">
      <w:pPr>
        <w:pStyle w:val="FRCNumberedparagraphs"/>
        <w:numPr>
          <w:ilvl w:val="0"/>
          <w:numId w:val="0"/>
        </w:numPr>
        <w:spacing w:after="0"/>
        <w:rPr>
          <w:rStyle w:val="normaltextrun"/>
          <w:rFonts w:ascii="Roboto UKEB" w:hAnsi="Roboto UKEB" w:cs="Arial"/>
          <w:szCs w:val="22"/>
        </w:rPr>
      </w:pPr>
    </w:p>
    <w:p w14:paraId="60C53EED" w14:textId="77777777" w:rsidR="00A84197" w:rsidRDefault="00A84197" w:rsidP="00A84197">
      <w:pPr>
        <w:pStyle w:val="FRCNumberedparagraphs"/>
        <w:numPr>
          <w:ilvl w:val="0"/>
          <w:numId w:val="0"/>
        </w:numPr>
        <w:spacing w:after="0"/>
        <w:rPr>
          <w:rStyle w:val="normaltextrun"/>
          <w:rFonts w:ascii="Roboto UKEB" w:hAnsi="Roboto UKEB" w:cs="Arial"/>
          <w:szCs w:val="22"/>
        </w:rPr>
      </w:pPr>
    </w:p>
    <w:tbl>
      <w:tblPr>
        <w:tblStyle w:val="TableGrid"/>
        <w:tblW w:w="9498" w:type="dxa"/>
        <w:tblInd w:w="-5" w:type="dxa"/>
        <w:tblLook w:val="04A0" w:firstRow="1" w:lastRow="0" w:firstColumn="1" w:lastColumn="0" w:noHBand="0" w:noVBand="1"/>
      </w:tblPr>
      <w:tblGrid>
        <w:gridCol w:w="9498"/>
      </w:tblGrid>
      <w:tr w:rsidR="0098560E" w:rsidRPr="003677FA" w14:paraId="2A5FF53B" w14:textId="77777777" w:rsidTr="008A0CDB">
        <w:trPr>
          <w:tblHeader/>
        </w:trPr>
        <w:tc>
          <w:tcPr>
            <w:tcW w:w="9498" w:type="dxa"/>
          </w:tcPr>
          <w:p w14:paraId="21D603E4" w14:textId="77777777" w:rsidR="0098560E" w:rsidRPr="003677FA" w:rsidRDefault="0098560E" w:rsidP="004B7A53">
            <w:pPr>
              <w:keepNext/>
              <w:spacing w:after="120"/>
              <w:rPr>
                <w:rFonts w:ascii="Addington CF Thin" w:hAnsi="Addington CF Thin"/>
                <w:b w:val="0"/>
                <w:bCs w:val="0"/>
              </w:rPr>
            </w:pPr>
            <w:r w:rsidRPr="00AD1FFD">
              <w:rPr>
                <w:rFonts w:ascii="Addington CF Thin" w:hAnsi="Addington CF Thin"/>
                <w:color w:val="auto"/>
              </w:rPr>
              <w:t>Question 6: Discount rate</w:t>
            </w:r>
          </w:p>
        </w:tc>
      </w:tr>
      <w:tr w:rsidR="0098560E" w:rsidRPr="003677FA" w14:paraId="21FDFEFB" w14:textId="77777777" w:rsidTr="004B7A53">
        <w:tc>
          <w:tcPr>
            <w:tcW w:w="9498" w:type="dxa"/>
          </w:tcPr>
          <w:p w14:paraId="3E4FA323" w14:textId="77777777" w:rsidR="0098560E" w:rsidRPr="003677FA" w:rsidRDefault="0098560E" w:rsidP="004B7A53">
            <w:pPr>
              <w:pStyle w:val="FRCNumberedparagraphs"/>
              <w:keepNext/>
              <w:numPr>
                <w:ilvl w:val="0"/>
                <w:numId w:val="0"/>
              </w:numPr>
              <w:tabs>
                <w:tab w:val="left" w:pos="738"/>
              </w:tabs>
              <w:spacing w:before="40" w:after="120"/>
              <w:rPr>
                <w:rFonts w:ascii="Roboto UKEB" w:hAnsi="Roboto UKEB" w:cs="Arial"/>
                <w:sz w:val="18"/>
                <w:szCs w:val="18"/>
              </w:rPr>
            </w:pPr>
            <w:r w:rsidRPr="003677FA">
              <w:rPr>
                <w:rFonts w:ascii="Roboto UKEB" w:hAnsi="Roboto UKEB"/>
                <w:bCs/>
                <w:sz w:val="18"/>
                <w:szCs w:val="18"/>
              </w:rPr>
              <w:t>Paragraphs 46–49 of the Exposure Draft propose that an entity discount the estimated future cash flows used in measuring regulatory assets and regulatory liabilities. Except in specified circumstances, the discount rate would be the regulatory interest rate that the regulatory agreement provides. Paragraphs BC159–BC166 of the Basis for Conclusions describe the reasoning behind the Board’s proposals.</w:t>
            </w:r>
          </w:p>
          <w:p w14:paraId="1032533B" w14:textId="77777777" w:rsidR="0098560E" w:rsidRPr="003677FA" w:rsidRDefault="0098560E" w:rsidP="0098560E">
            <w:pPr>
              <w:pStyle w:val="FRCNumberedparagraphs"/>
              <w:keepNext/>
              <w:numPr>
                <w:ilvl w:val="0"/>
                <w:numId w:val="27"/>
              </w:numPr>
              <w:tabs>
                <w:tab w:val="left" w:pos="738"/>
              </w:tabs>
              <w:spacing w:before="40" w:after="120"/>
              <w:ind w:left="567" w:hanging="567"/>
              <w:rPr>
                <w:rFonts w:ascii="Roboto UKEB" w:hAnsi="Roboto UKEB"/>
                <w:bCs/>
                <w:sz w:val="18"/>
                <w:szCs w:val="18"/>
              </w:rPr>
            </w:pPr>
            <w:bookmarkStart w:id="4" w:name="_Hlk76025944"/>
            <w:r w:rsidRPr="003677FA">
              <w:rPr>
                <w:rFonts w:ascii="Roboto UKEB" w:hAnsi="Roboto UKEB"/>
                <w:bCs/>
                <w:sz w:val="18"/>
                <w:szCs w:val="18"/>
              </w:rPr>
              <w:t>Do you agree with these proposals? Why or why not? If not, what approach do you suggest and why?</w:t>
            </w:r>
            <w:bookmarkEnd w:id="4"/>
          </w:p>
          <w:p w14:paraId="75AFA5EB" w14:textId="77777777" w:rsidR="0098560E" w:rsidRPr="003677FA" w:rsidRDefault="0098560E" w:rsidP="004B7A53">
            <w:pPr>
              <w:pStyle w:val="FRCNumberedparagraphs"/>
              <w:keepNext/>
              <w:numPr>
                <w:ilvl w:val="0"/>
                <w:numId w:val="0"/>
              </w:numPr>
              <w:tabs>
                <w:tab w:val="left" w:pos="738"/>
              </w:tabs>
              <w:spacing w:before="40" w:after="120"/>
              <w:rPr>
                <w:rFonts w:ascii="Roboto UKEB" w:hAnsi="Roboto UKEB"/>
                <w:bCs/>
                <w:sz w:val="18"/>
                <w:szCs w:val="18"/>
              </w:rPr>
            </w:pPr>
            <w:r w:rsidRPr="003677FA">
              <w:rPr>
                <w:rFonts w:ascii="Roboto UKEB" w:hAnsi="Roboto UKEB"/>
                <w:bCs/>
                <w:sz w:val="18"/>
                <w:szCs w:val="18"/>
              </w:rPr>
              <w:t>Paragraphs 50–53 of the Exposure Draft set out proposed requirements for an entity to estimate the minimum interest rate and to use this rate to discount the estimated future cash flows if the regulatory interest rate provided for a regulatory asset is insufficient to compensate the entity. The Board is proposing no similar requirement for regulatory liabilities. For a regulatory liability, an entity would use the regulatory interest rate as the discount rate in all circumstances. Paragraphs BC167–BC170 of the Basis for Conclusions describe the reasoning behind the Board’s proposals.</w:t>
            </w:r>
          </w:p>
          <w:p w14:paraId="6E7D1E02" w14:textId="77777777" w:rsidR="0098560E" w:rsidRPr="003677FA" w:rsidRDefault="0098560E" w:rsidP="0098560E">
            <w:pPr>
              <w:pStyle w:val="FRCNumberedparagraphs"/>
              <w:keepNext/>
              <w:numPr>
                <w:ilvl w:val="0"/>
                <w:numId w:val="27"/>
              </w:numPr>
              <w:tabs>
                <w:tab w:val="left" w:pos="738"/>
              </w:tabs>
              <w:spacing w:before="40" w:after="120"/>
              <w:ind w:left="567" w:hanging="567"/>
              <w:rPr>
                <w:rFonts w:ascii="Roboto UKEB" w:hAnsi="Roboto UKEB"/>
                <w:bCs/>
                <w:sz w:val="18"/>
                <w:szCs w:val="18"/>
              </w:rPr>
            </w:pPr>
            <w:r w:rsidRPr="003677FA">
              <w:rPr>
                <w:rFonts w:ascii="Roboto UKEB" w:hAnsi="Roboto UKEB"/>
                <w:bCs/>
                <w:sz w:val="18"/>
                <w:szCs w:val="18"/>
              </w:rPr>
              <w:t>Do you agree with these proposed requirements for cases when the regulatory interest rate provided for a regulatory asset is insufficient? Why or why not?</w:t>
            </w:r>
          </w:p>
          <w:p w14:paraId="50F51375" w14:textId="77777777" w:rsidR="0098560E" w:rsidRPr="003677FA" w:rsidRDefault="0098560E" w:rsidP="0098560E">
            <w:pPr>
              <w:pStyle w:val="FRCNumberedparagraphs"/>
              <w:keepNext/>
              <w:numPr>
                <w:ilvl w:val="0"/>
                <w:numId w:val="27"/>
              </w:numPr>
              <w:tabs>
                <w:tab w:val="left" w:pos="738"/>
              </w:tabs>
              <w:spacing w:before="40" w:after="120"/>
              <w:ind w:left="567" w:hanging="567"/>
              <w:rPr>
                <w:rFonts w:ascii="Roboto UKEB" w:hAnsi="Roboto UKEB"/>
                <w:bCs/>
                <w:sz w:val="18"/>
                <w:szCs w:val="18"/>
              </w:rPr>
            </w:pPr>
            <w:r w:rsidRPr="003677FA">
              <w:rPr>
                <w:rFonts w:ascii="Roboto UKEB" w:hAnsi="Roboto UKEB"/>
                <w:bCs/>
                <w:sz w:val="18"/>
                <w:szCs w:val="18"/>
              </w:rPr>
              <w:t>Have you identified any other situations in which it would be appropriate to use a discount rate that is not the regulatory interest rate? If so, please describe the situations, state what discount rate you recommend and explain why it would be a more appropriate discount rate than the regulatory interest rate.</w:t>
            </w:r>
          </w:p>
          <w:p w14:paraId="64F85C86" w14:textId="77777777" w:rsidR="0098560E" w:rsidRPr="003677FA" w:rsidRDefault="0098560E" w:rsidP="004B7A53">
            <w:pPr>
              <w:pStyle w:val="FRCNumberedparagraphs"/>
              <w:keepNext/>
              <w:numPr>
                <w:ilvl w:val="0"/>
                <w:numId w:val="0"/>
              </w:numPr>
              <w:tabs>
                <w:tab w:val="left" w:pos="738"/>
              </w:tabs>
              <w:spacing w:before="40" w:after="120"/>
              <w:rPr>
                <w:rFonts w:ascii="Roboto UKEB" w:hAnsi="Roboto UKEB"/>
                <w:bCs/>
                <w:sz w:val="18"/>
                <w:szCs w:val="18"/>
              </w:rPr>
            </w:pPr>
            <w:r w:rsidRPr="003677FA">
              <w:rPr>
                <w:rFonts w:ascii="Roboto UKEB" w:hAnsi="Roboto UKEB"/>
                <w:bCs/>
                <w:sz w:val="18"/>
                <w:szCs w:val="18"/>
              </w:rPr>
              <w:t>Paragraph 54 of the Exposure Draft addresses cases when a regulatory agreement provides regulatory interest unevenly by applying a series of different regulatory interest rates in successive periods. It proposes that an entity should translate those rates into a single discount rate for use throughout the life of the regulatory asset or regulatory liability.</w:t>
            </w:r>
          </w:p>
          <w:p w14:paraId="27026589" w14:textId="77777777" w:rsidR="0098560E" w:rsidRPr="003677FA" w:rsidRDefault="0098560E" w:rsidP="0098560E">
            <w:pPr>
              <w:pStyle w:val="FRCNumberedparagraphs"/>
              <w:keepNext/>
              <w:numPr>
                <w:ilvl w:val="0"/>
                <w:numId w:val="27"/>
              </w:numPr>
              <w:tabs>
                <w:tab w:val="left" w:pos="738"/>
              </w:tabs>
              <w:spacing w:before="40" w:after="120"/>
              <w:ind w:left="567" w:hanging="567"/>
              <w:rPr>
                <w:rFonts w:ascii="Roboto UKEB" w:hAnsi="Roboto UKEB" w:cs="Arial"/>
                <w:sz w:val="18"/>
                <w:szCs w:val="18"/>
              </w:rPr>
            </w:pPr>
            <w:r w:rsidRPr="003677FA">
              <w:rPr>
                <w:rFonts w:ascii="Roboto UKEB" w:hAnsi="Roboto UKEB"/>
                <w:bCs/>
                <w:sz w:val="18"/>
                <w:szCs w:val="18"/>
              </w:rPr>
              <w:t>Do you agree with the proposal? Why or why not? If not, what do you recommend and why?</w:t>
            </w:r>
          </w:p>
        </w:tc>
      </w:tr>
    </w:tbl>
    <w:p w14:paraId="51274AA9" w14:textId="29F7F6D9" w:rsidR="0078590C" w:rsidRDefault="0078590C" w:rsidP="006447F3">
      <w:pPr>
        <w:pStyle w:val="FRCNumberedparagraphs"/>
        <w:numPr>
          <w:ilvl w:val="0"/>
          <w:numId w:val="0"/>
        </w:numPr>
        <w:spacing w:after="0"/>
        <w:rPr>
          <w:rFonts w:ascii="Roboto UKEB" w:hAnsi="Roboto UKEB"/>
          <w:szCs w:val="22"/>
        </w:rPr>
      </w:pPr>
    </w:p>
    <w:p w14:paraId="44AA66BE" w14:textId="77777777" w:rsidR="0098560E" w:rsidRPr="00BE0656" w:rsidRDefault="0098560E"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98560E" w14:paraId="6D3E06E7" w14:textId="77777777" w:rsidTr="004B7A53">
        <w:tc>
          <w:tcPr>
            <w:tcW w:w="9498" w:type="dxa"/>
          </w:tcPr>
          <w:p w14:paraId="5834661B" w14:textId="77777777" w:rsidR="0098560E" w:rsidRDefault="0098560E" w:rsidP="004B7A53">
            <w:pPr>
              <w:pStyle w:val="FRCNumberedparagraphs"/>
              <w:numPr>
                <w:ilvl w:val="0"/>
                <w:numId w:val="0"/>
              </w:numPr>
              <w:rPr>
                <w:rStyle w:val="normaltextrun"/>
                <w:rFonts w:ascii="Roboto UKEB" w:hAnsi="Roboto UKEB" w:cs="Arial"/>
                <w:szCs w:val="22"/>
              </w:rPr>
            </w:pPr>
          </w:p>
        </w:tc>
      </w:tr>
    </w:tbl>
    <w:p w14:paraId="7F9BB7BC" w14:textId="77777777" w:rsidR="0098560E" w:rsidRDefault="0098560E" w:rsidP="0098560E">
      <w:pPr>
        <w:pStyle w:val="FRCNumberedparagraphs"/>
        <w:numPr>
          <w:ilvl w:val="0"/>
          <w:numId w:val="0"/>
        </w:numPr>
        <w:spacing w:after="0"/>
        <w:rPr>
          <w:rStyle w:val="normaltextrun"/>
          <w:rFonts w:ascii="Roboto UKEB" w:hAnsi="Roboto UKEB" w:cs="Arial"/>
          <w:szCs w:val="22"/>
        </w:rPr>
      </w:pPr>
    </w:p>
    <w:p w14:paraId="28C5BB2D" w14:textId="13E4B630" w:rsidR="0098560E" w:rsidRPr="00AD1FFD" w:rsidRDefault="0098560E" w:rsidP="006447F3">
      <w:pPr>
        <w:pStyle w:val="FRCNumberedparagraphs"/>
        <w:numPr>
          <w:ilvl w:val="0"/>
          <w:numId w:val="0"/>
        </w:numPr>
        <w:spacing w:after="0"/>
        <w:rPr>
          <w:rFonts w:ascii="Roboto UKEB" w:hAnsi="Roboto UKEB"/>
          <w:szCs w:val="22"/>
        </w:rPr>
      </w:pPr>
    </w:p>
    <w:tbl>
      <w:tblPr>
        <w:tblStyle w:val="TableGrid"/>
        <w:tblW w:w="9498" w:type="dxa"/>
        <w:tblInd w:w="-5" w:type="dxa"/>
        <w:tblLook w:val="04A0" w:firstRow="1" w:lastRow="0" w:firstColumn="1" w:lastColumn="0" w:noHBand="0" w:noVBand="1"/>
      </w:tblPr>
      <w:tblGrid>
        <w:gridCol w:w="9498"/>
      </w:tblGrid>
      <w:tr w:rsidR="00AD1FFD" w:rsidRPr="00AD1FFD" w14:paraId="3DA66ADD" w14:textId="77777777" w:rsidTr="008A0CDB">
        <w:trPr>
          <w:tblHeader/>
        </w:trPr>
        <w:tc>
          <w:tcPr>
            <w:tcW w:w="9498" w:type="dxa"/>
          </w:tcPr>
          <w:p w14:paraId="11BDE928" w14:textId="77777777" w:rsidR="00BE5DC3" w:rsidRPr="00AD1FFD" w:rsidRDefault="00BE5DC3" w:rsidP="004B7A53">
            <w:pPr>
              <w:keepNext/>
              <w:spacing w:after="120"/>
              <w:rPr>
                <w:rFonts w:ascii="Addington CF Thin" w:hAnsi="Addington CF Thin"/>
                <w:b w:val="0"/>
                <w:bCs w:val="0"/>
                <w:color w:val="auto"/>
              </w:rPr>
            </w:pPr>
            <w:r w:rsidRPr="00AD1FFD">
              <w:rPr>
                <w:rFonts w:ascii="Addington CF Thin" w:hAnsi="Addington CF Thin"/>
                <w:color w:val="auto"/>
              </w:rPr>
              <w:t>Question 7: Items affecting regulated rates only when related cash is paid or received</w:t>
            </w:r>
          </w:p>
        </w:tc>
      </w:tr>
      <w:tr w:rsidR="00BE5DC3" w:rsidRPr="003677FA" w14:paraId="2F773C10" w14:textId="77777777" w:rsidTr="004B7A53">
        <w:tc>
          <w:tcPr>
            <w:tcW w:w="9498" w:type="dxa"/>
          </w:tcPr>
          <w:p w14:paraId="345E7721" w14:textId="77777777" w:rsidR="00BE5DC3" w:rsidRPr="003677FA" w:rsidRDefault="00BE5DC3" w:rsidP="004B7A53">
            <w:pPr>
              <w:pStyle w:val="FRCNumberedparagraphs"/>
              <w:numPr>
                <w:ilvl w:val="0"/>
                <w:numId w:val="0"/>
              </w:numPr>
              <w:spacing w:before="40" w:after="120"/>
              <w:rPr>
                <w:rFonts w:ascii="Roboto UKEB" w:hAnsi="Roboto UKEB" w:cs="Arial"/>
                <w:sz w:val="18"/>
                <w:szCs w:val="18"/>
              </w:rPr>
            </w:pPr>
            <w:r w:rsidRPr="003677FA">
              <w:rPr>
                <w:rFonts w:ascii="Roboto UKEB" w:hAnsi="Roboto UKEB"/>
                <w:bCs/>
                <w:color w:val="000000"/>
                <w:sz w:val="18"/>
                <w:szCs w:val="18"/>
              </w:rPr>
              <w:t>In some cases, a regulatory agreement includes an item of expense or income in determining the regulated rates in the period only when an entity pays or receives the related cash, or soon after that, instead of when the entity recognises that item as expense or income in its financial statements. Paragraphs 59–66 of the Exposure Draft propose that in such cases, an entity would measure any resulting regulatory asset or regulatory liability using the measurement basis that the entity would use in measuring the related liability or related asset by applying IFRS Standards. An entity would adjust that measurement to reflect any uncertainty that is present in the regulatory asset or regulatory liability but not present in the related liability or related asset. Paragraphs BC174–BC177 of the Basis for Conclusions describe the reasoning behind the Board’s proposals.</w:t>
            </w:r>
          </w:p>
          <w:p w14:paraId="270CF479" w14:textId="77777777" w:rsidR="00BE5DC3" w:rsidRPr="003677FA" w:rsidRDefault="00BE5DC3" w:rsidP="00BE5DC3">
            <w:pPr>
              <w:pStyle w:val="FRCNumberedparagraphs"/>
              <w:numPr>
                <w:ilvl w:val="0"/>
                <w:numId w:val="28"/>
              </w:numPr>
              <w:spacing w:before="40" w:after="120"/>
              <w:ind w:left="567" w:hanging="567"/>
              <w:rPr>
                <w:rFonts w:ascii="Roboto UKEB" w:hAnsi="Roboto UKEB"/>
                <w:bCs/>
                <w:color w:val="000000"/>
                <w:sz w:val="18"/>
                <w:szCs w:val="18"/>
              </w:rPr>
            </w:pPr>
            <w:r w:rsidRPr="003677FA">
              <w:rPr>
                <w:rFonts w:ascii="Roboto UKEB" w:hAnsi="Roboto UKEB"/>
                <w:bCs/>
                <w:color w:val="000000"/>
                <w:sz w:val="18"/>
                <w:szCs w:val="18"/>
              </w:rPr>
              <w:lastRenderedPageBreak/>
              <w:t>Do you agree with the measurement proposals when items of expense or income affect regulated rates only when related cash is paid or received? Why or why not? If not, what approach do you suggest for such items and why?</w:t>
            </w:r>
          </w:p>
          <w:p w14:paraId="370B8460" w14:textId="77777777" w:rsidR="00BE5DC3" w:rsidRPr="003677FA" w:rsidRDefault="00BE5DC3" w:rsidP="004B7A53">
            <w:pPr>
              <w:pStyle w:val="FRCNumberedparagraphs"/>
              <w:numPr>
                <w:ilvl w:val="0"/>
                <w:numId w:val="0"/>
              </w:numPr>
              <w:spacing w:before="40" w:after="120"/>
              <w:rPr>
                <w:rFonts w:ascii="Roboto UKEB" w:hAnsi="Roboto UKEB"/>
                <w:bCs/>
                <w:color w:val="000000"/>
                <w:sz w:val="18"/>
                <w:szCs w:val="18"/>
              </w:rPr>
            </w:pPr>
            <w:r w:rsidRPr="003677FA">
              <w:rPr>
                <w:rFonts w:ascii="Roboto UKEB" w:hAnsi="Roboto UKEB"/>
                <w:bCs/>
                <w:color w:val="000000"/>
                <w:sz w:val="18"/>
                <w:szCs w:val="18"/>
              </w:rPr>
              <w:t>When these measurement proposals apply and result in regulatory income or regulatory expense arising from remeasuring the related liability or related asset through other comprehensive income, paragraph 69 of the Exposure Draft proposes that an entity would also present the resulting regulatory income or regulatory expense in other comprehensive income. Paragraphs BC183–BC186 of the Basis for Conclusions describe the reasoning behind the Board’s proposal.</w:t>
            </w:r>
          </w:p>
          <w:p w14:paraId="4FE2161D" w14:textId="77777777" w:rsidR="00BE5DC3" w:rsidRPr="003677FA" w:rsidRDefault="00BE5DC3" w:rsidP="00BE5DC3">
            <w:pPr>
              <w:pStyle w:val="FRCNumberedparagraphs"/>
              <w:numPr>
                <w:ilvl w:val="0"/>
                <w:numId w:val="28"/>
              </w:numPr>
              <w:spacing w:before="40" w:after="120"/>
              <w:ind w:left="567" w:hanging="567"/>
              <w:rPr>
                <w:rFonts w:ascii="Roboto UKEB" w:hAnsi="Roboto UKEB" w:cs="Arial"/>
                <w:szCs w:val="22"/>
              </w:rPr>
            </w:pPr>
            <w:r w:rsidRPr="003677FA">
              <w:rPr>
                <w:rFonts w:ascii="Roboto UKEB" w:hAnsi="Roboto UKEB"/>
                <w:bCs/>
                <w:color w:val="000000"/>
                <w:sz w:val="18"/>
                <w:szCs w:val="18"/>
              </w:rPr>
              <w:t>Do you agree with the proposal to present regulatory income or regulatory expense in other comprehensive income in this case? Why or why not? If not, what approach do you suggest and why?</w:t>
            </w:r>
          </w:p>
        </w:tc>
      </w:tr>
    </w:tbl>
    <w:p w14:paraId="36FDF725" w14:textId="77777777" w:rsidR="00BE5DC3" w:rsidRDefault="00BE5DC3" w:rsidP="00BE5DC3">
      <w:pPr>
        <w:pStyle w:val="FRCNumberedparagraphs"/>
        <w:numPr>
          <w:ilvl w:val="0"/>
          <w:numId w:val="0"/>
        </w:numPr>
        <w:spacing w:after="0"/>
        <w:rPr>
          <w:rFonts w:ascii="Roboto UKEB" w:hAnsi="Roboto UKEB"/>
          <w:szCs w:val="22"/>
        </w:rPr>
      </w:pPr>
    </w:p>
    <w:p w14:paraId="47FF0BE6" w14:textId="77777777" w:rsidR="00BE5DC3" w:rsidRPr="00BE0656" w:rsidRDefault="00BE5DC3"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BE5DC3" w14:paraId="0AE18B26" w14:textId="77777777" w:rsidTr="004B7A53">
        <w:tc>
          <w:tcPr>
            <w:tcW w:w="9498" w:type="dxa"/>
          </w:tcPr>
          <w:p w14:paraId="1E785F02" w14:textId="77777777" w:rsidR="00BE5DC3" w:rsidRDefault="00BE5DC3" w:rsidP="004B7A53">
            <w:pPr>
              <w:pStyle w:val="FRCNumberedparagraphs"/>
              <w:numPr>
                <w:ilvl w:val="0"/>
                <w:numId w:val="0"/>
              </w:numPr>
              <w:rPr>
                <w:rStyle w:val="normaltextrun"/>
                <w:rFonts w:ascii="Roboto UKEB" w:hAnsi="Roboto UKEB" w:cs="Arial"/>
                <w:szCs w:val="22"/>
              </w:rPr>
            </w:pPr>
          </w:p>
        </w:tc>
      </w:tr>
    </w:tbl>
    <w:p w14:paraId="09A3E5DC" w14:textId="77777777" w:rsidR="00BE5DC3" w:rsidRDefault="00BE5DC3" w:rsidP="00BE5DC3">
      <w:pPr>
        <w:pStyle w:val="FRCNumberedparagraphs"/>
        <w:numPr>
          <w:ilvl w:val="0"/>
          <w:numId w:val="0"/>
        </w:numPr>
        <w:spacing w:after="0"/>
        <w:rPr>
          <w:rStyle w:val="normaltextrun"/>
          <w:rFonts w:ascii="Roboto UKEB" w:hAnsi="Roboto UKEB" w:cs="Arial"/>
          <w:szCs w:val="22"/>
        </w:rPr>
      </w:pPr>
    </w:p>
    <w:p w14:paraId="68320FF8" w14:textId="639B7C7A" w:rsidR="00BE5DC3" w:rsidRDefault="00BE5DC3" w:rsidP="006447F3">
      <w:pPr>
        <w:pStyle w:val="FRCNumberedparagraphs"/>
        <w:numPr>
          <w:ilvl w:val="0"/>
          <w:numId w:val="0"/>
        </w:numPr>
        <w:spacing w:after="0"/>
        <w:rPr>
          <w:rFonts w:ascii="Roboto UKEB" w:hAnsi="Roboto UKEB"/>
          <w:szCs w:val="22"/>
        </w:rPr>
      </w:pPr>
    </w:p>
    <w:tbl>
      <w:tblPr>
        <w:tblStyle w:val="TableGrid"/>
        <w:tblW w:w="9498" w:type="dxa"/>
        <w:tblInd w:w="-5" w:type="dxa"/>
        <w:tblLook w:val="04A0" w:firstRow="1" w:lastRow="0" w:firstColumn="1" w:lastColumn="0" w:noHBand="0" w:noVBand="1"/>
      </w:tblPr>
      <w:tblGrid>
        <w:gridCol w:w="9498"/>
      </w:tblGrid>
      <w:tr w:rsidR="00A31726" w:rsidRPr="003677FA" w14:paraId="213A1793" w14:textId="77777777" w:rsidTr="008A0CDB">
        <w:trPr>
          <w:tblHeader/>
        </w:trPr>
        <w:tc>
          <w:tcPr>
            <w:tcW w:w="9498" w:type="dxa"/>
          </w:tcPr>
          <w:p w14:paraId="3C1C356B" w14:textId="77777777" w:rsidR="00A31726" w:rsidRPr="00AD1FFD" w:rsidRDefault="00A31726" w:rsidP="004B7A53">
            <w:pPr>
              <w:keepNext/>
              <w:spacing w:after="120"/>
              <w:rPr>
                <w:rFonts w:ascii="Addington CF Thin" w:hAnsi="Addington CF Thin"/>
                <w:b w:val="0"/>
                <w:bCs w:val="0"/>
                <w:color w:val="auto"/>
              </w:rPr>
            </w:pPr>
            <w:r w:rsidRPr="00AD1FFD">
              <w:rPr>
                <w:rFonts w:ascii="Addington CF Thin" w:hAnsi="Addington CF Thin"/>
                <w:color w:val="auto"/>
              </w:rPr>
              <w:t>Question 8: Presentation in the statement(s) of financial performance</w:t>
            </w:r>
          </w:p>
        </w:tc>
      </w:tr>
      <w:tr w:rsidR="00A31726" w:rsidRPr="003677FA" w14:paraId="55216681" w14:textId="77777777" w:rsidTr="004B7A53">
        <w:tc>
          <w:tcPr>
            <w:tcW w:w="9498" w:type="dxa"/>
          </w:tcPr>
          <w:p w14:paraId="4CA723BD" w14:textId="77777777" w:rsidR="00A31726" w:rsidRPr="00A31726" w:rsidRDefault="00A31726" w:rsidP="004B7A53">
            <w:pPr>
              <w:pStyle w:val="AG-NTBT"/>
              <w:spacing w:after="120"/>
              <w:jc w:val="both"/>
              <w:rPr>
                <w:rFonts w:ascii="Roboto UKEB" w:hAnsi="Roboto UKEB"/>
                <w:b w:val="0"/>
                <w:bCs w:val="0"/>
                <w:szCs w:val="18"/>
              </w:rPr>
            </w:pPr>
            <w:r w:rsidRPr="00A31726">
              <w:rPr>
                <w:rFonts w:ascii="Roboto UKEB" w:hAnsi="Roboto UKEB"/>
                <w:b w:val="0"/>
                <w:bCs w:val="0"/>
                <w:szCs w:val="18"/>
              </w:rPr>
              <w:t>Paragraph 67 of the Exposure Draft proposes that an entity present all regulatory income minus all regulatory expense as a separate line item immediately below revenue. Paragraph 68 proposes that regulatory income includes regulatory interest income and regulatory expense includes regulatory interest expense. ParagraphsBC178–BC182 of the Basis for Conclusions describe the reasoning behind the Board’s proposals.</w:t>
            </w:r>
          </w:p>
          <w:p w14:paraId="4312F27C" w14:textId="77777777" w:rsidR="00A31726" w:rsidRPr="00A31726" w:rsidRDefault="00A31726" w:rsidP="00A31726">
            <w:pPr>
              <w:pStyle w:val="AG-NTBT"/>
              <w:numPr>
                <w:ilvl w:val="0"/>
                <w:numId w:val="29"/>
              </w:numPr>
              <w:spacing w:after="120"/>
              <w:ind w:left="567" w:hanging="567"/>
              <w:jc w:val="both"/>
              <w:rPr>
                <w:rFonts w:ascii="Roboto UKEB" w:hAnsi="Roboto UKEB"/>
                <w:b w:val="0"/>
                <w:bCs w:val="0"/>
                <w:szCs w:val="18"/>
              </w:rPr>
            </w:pPr>
            <w:r w:rsidRPr="00A31726">
              <w:rPr>
                <w:rFonts w:ascii="Roboto UKEB" w:hAnsi="Roboto UKEB"/>
                <w:b w:val="0"/>
                <w:bCs w:val="0"/>
                <w:szCs w:val="18"/>
              </w:rPr>
              <w:t>Do you agree that an entity should present all regulatory income minus all regulatory expense as a separate line item immediately below revenue (except in the case described in Question 7(b))? Why or why not? If not, what approach do you suggest and why?</w:t>
            </w:r>
          </w:p>
          <w:p w14:paraId="48ED5D4E" w14:textId="77777777" w:rsidR="00A31726" w:rsidRPr="00A31726" w:rsidRDefault="00A31726" w:rsidP="00A31726">
            <w:pPr>
              <w:pStyle w:val="AG-NTBT"/>
              <w:numPr>
                <w:ilvl w:val="0"/>
                <w:numId w:val="29"/>
              </w:numPr>
              <w:spacing w:after="120"/>
              <w:ind w:left="567" w:hanging="567"/>
              <w:jc w:val="both"/>
              <w:rPr>
                <w:rFonts w:ascii="Roboto UKEB" w:hAnsi="Roboto UKEB"/>
                <w:b w:val="0"/>
                <w:bCs w:val="0"/>
                <w:szCs w:val="18"/>
              </w:rPr>
            </w:pPr>
            <w:r w:rsidRPr="00A31726">
              <w:rPr>
                <w:rFonts w:ascii="Roboto UKEB" w:hAnsi="Roboto UKEB"/>
                <w:b w:val="0"/>
                <w:bCs w:val="0"/>
                <w:szCs w:val="18"/>
              </w:rPr>
              <w:t>Do you agree with the proposed inclusion of regulatory interest income and regulatory interest expense within the line item immediately below revenue? Why or why not? If not, what approach do you suggest and why?</w:t>
            </w:r>
          </w:p>
        </w:tc>
      </w:tr>
    </w:tbl>
    <w:p w14:paraId="7D6655A6" w14:textId="77777777" w:rsidR="00A31726" w:rsidRPr="003677FA" w:rsidRDefault="00A31726" w:rsidP="00A31726">
      <w:pPr>
        <w:pStyle w:val="Appendixnumparas"/>
        <w:numPr>
          <w:ilvl w:val="0"/>
          <w:numId w:val="0"/>
        </w:numPr>
        <w:spacing w:after="0"/>
        <w:rPr>
          <w:rStyle w:val="normaltextrun"/>
          <w:rFonts w:ascii="Roboto UKEB" w:hAnsi="Roboto UKEB"/>
          <w:color w:val="auto"/>
          <w:lang w:val="en-GB"/>
        </w:rPr>
      </w:pPr>
    </w:p>
    <w:p w14:paraId="4FBA15FA" w14:textId="77777777" w:rsidR="00A31726" w:rsidRPr="00BE0656" w:rsidRDefault="00A31726"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A31726" w14:paraId="1A364E94" w14:textId="77777777" w:rsidTr="004B7A53">
        <w:tc>
          <w:tcPr>
            <w:tcW w:w="9498" w:type="dxa"/>
          </w:tcPr>
          <w:p w14:paraId="30E9F3AF" w14:textId="77777777" w:rsidR="00A31726" w:rsidRDefault="00A31726" w:rsidP="004B7A53">
            <w:pPr>
              <w:pStyle w:val="FRCNumberedparagraphs"/>
              <w:numPr>
                <w:ilvl w:val="0"/>
                <w:numId w:val="0"/>
              </w:numPr>
              <w:rPr>
                <w:rStyle w:val="normaltextrun"/>
                <w:rFonts w:ascii="Roboto UKEB" w:hAnsi="Roboto UKEB" w:cs="Arial"/>
                <w:szCs w:val="22"/>
              </w:rPr>
            </w:pPr>
          </w:p>
        </w:tc>
      </w:tr>
    </w:tbl>
    <w:p w14:paraId="30713A9D" w14:textId="77777777" w:rsidR="00A31726" w:rsidRDefault="00A31726" w:rsidP="00A31726">
      <w:pPr>
        <w:pStyle w:val="FRCNumberedparagraphs"/>
        <w:numPr>
          <w:ilvl w:val="0"/>
          <w:numId w:val="0"/>
        </w:numPr>
        <w:spacing w:after="0"/>
        <w:rPr>
          <w:rStyle w:val="normaltextrun"/>
          <w:rFonts w:ascii="Roboto UKEB" w:hAnsi="Roboto UKEB" w:cs="Arial"/>
          <w:szCs w:val="22"/>
        </w:rPr>
      </w:pPr>
    </w:p>
    <w:p w14:paraId="64C74676" w14:textId="4BE71C65" w:rsidR="00832B65" w:rsidRDefault="00832B65" w:rsidP="00A31726">
      <w:pPr>
        <w:pStyle w:val="FRCNumberedparagraphs"/>
        <w:numPr>
          <w:ilvl w:val="0"/>
          <w:numId w:val="0"/>
        </w:numPr>
        <w:spacing w:after="0"/>
        <w:rPr>
          <w:rFonts w:ascii="Roboto UKEB" w:hAnsi="Roboto UKEB"/>
          <w:szCs w:val="22"/>
        </w:rPr>
      </w:pPr>
    </w:p>
    <w:tbl>
      <w:tblPr>
        <w:tblStyle w:val="TableGrid"/>
        <w:tblW w:w="9498" w:type="dxa"/>
        <w:tblInd w:w="-5" w:type="dxa"/>
        <w:tblLook w:val="04A0" w:firstRow="1" w:lastRow="0" w:firstColumn="1" w:lastColumn="0" w:noHBand="0" w:noVBand="1"/>
      </w:tblPr>
      <w:tblGrid>
        <w:gridCol w:w="9498"/>
      </w:tblGrid>
      <w:tr w:rsidR="00832B65" w:rsidRPr="003677FA" w14:paraId="108E0B21" w14:textId="77777777" w:rsidTr="008A0CDB">
        <w:trPr>
          <w:tblHeader/>
        </w:trPr>
        <w:tc>
          <w:tcPr>
            <w:tcW w:w="9498" w:type="dxa"/>
          </w:tcPr>
          <w:p w14:paraId="38B4F0FE" w14:textId="77777777" w:rsidR="00832B65" w:rsidRPr="003677FA" w:rsidRDefault="00832B65" w:rsidP="004B7A53">
            <w:pPr>
              <w:keepNext/>
              <w:spacing w:after="120"/>
              <w:rPr>
                <w:rFonts w:ascii="Addington CF Thin" w:hAnsi="Addington CF Thin"/>
                <w:b w:val="0"/>
                <w:bCs w:val="0"/>
              </w:rPr>
            </w:pPr>
            <w:r w:rsidRPr="00AD1FFD">
              <w:rPr>
                <w:rFonts w:ascii="Addington CF Thin" w:hAnsi="Addington CF Thin"/>
                <w:color w:val="auto"/>
              </w:rPr>
              <w:t>Question 9: Disclosure</w:t>
            </w:r>
          </w:p>
        </w:tc>
      </w:tr>
      <w:tr w:rsidR="00832B65" w:rsidRPr="003677FA" w14:paraId="0D2E960F" w14:textId="77777777" w:rsidTr="004B7A53">
        <w:tc>
          <w:tcPr>
            <w:tcW w:w="9498" w:type="dxa"/>
          </w:tcPr>
          <w:p w14:paraId="344DB613" w14:textId="77777777" w:rsidR="00832B65" w:rsidRPr="003677FA" w:rsidRDefault="00832B65" w:rsidP="004B7A53">
            <w:pPr>
              <w:pStyle w:val="FRCNumberedparagraphs"/>
              <w:numPr>
                <w:ilvl w:val="0"/>
                <w:numId w:val="0"/>
              </w:numPr>
              <w:spacing w:before="40" w:after="120"/>
              <w:rPr>
                <w:rFonts w:ascii="Roboto UKEB" w:hAnsi="Roboto UKEB" w:cs="Arial"/>
                <w:sz w:val="18"/>
                <w:szCs w:val="18"/>
              </w:rPr>
            </w:pPr>
            <w:r w:rsidRPr="003677FA">
              <w:rPr>
                <w:rFonts w:ascii="Roboto UKEB" w:hAnsi="Roboto UKEB"/>
                <w:bCs/>
                <w:sz w:val="18"/>
                <w:szCs w:val="18"/>
              </w:rPr>
              <w:t xml:space="preserve">Paragraph 72 of the Exposure Draft describes the proposed overall objective of the disclosure requirements. That objective focuses on information about an entity’s regulatory income, regulatory expense, regulatory </w:t>
            </w:r>
            <w:proofErr w:type="gramStart"/>
            <w:r w:rsidRPr="003677FA">
              <w:rPr>
                <w:rFonts w:ascii="Roboto UKEB" w:hAnsi="Roboto UKEB"/>
                <w:bCs/>
                <w:sz w:val="18"/>
                <w:szCs w:val="18"/>
              </w:rPr>
              <w:t>assets</w:t>
            </w:r>
            <w:proofErr w:type="gramEnd"/>
            <w:r w:rsidRPr="003677FA">
              <w:rPr>
                <w:rFonts w:ascii="Roboto UKEB" w:hAnsi="Roboto UKEB"/>
                <w:bCs/>
                <w:sz w:val="18"/>
                <w:szCs w:val="18"/>
              </w:rPr>
              <w:t xml:space="preserve"> and regulatory liabilities, for reasons explained in paragraphs BC187–BC202 of the Basis for Conclusions. The Board does not propose a broader objective of providing users of financial statements with information about the nature of the regulatory agreement, the risks associated with it and </w:t>
            </w:r>
            <w:proofErr w:type="gramStart"/>
            <w:r w:rsidRPr="003677FA">
              <w:rPr>
                <w:rFonts w:ascii="Roboto UKEB" w:hAnsi="Roboto UKEB"/>
                <w:bCs/>
                <w:sz w:val="18"/>
                <w:szCs w:val="18"/>
              </w:rPr>
              <w:t>its</w:t>
            </w:r>
            <w:proofErr w:type="gramEnd"/>
            <w:r w:rsidRPr="003677FA">
              <w:rPr>
                <w:rFonts w:ascii="Roboto UKEB" w:hAnsi="Roboto UKEB"/>
                <w:bCs/>
                <w:sz w:val="18"/>
                <w:szCs w:val="18"/>
              </w:rPr>
              <w:t xml:space="preserve"> effects on the entity’s financial performance, financial position or cash flows.</w:t>
            </w:r>
          </w:p>
          <w:p w14:paraId="244EBC83" w14:textId="77777777" w:rsidR="00832B65" w:rsidRPr="003677FA" w:rsidRDefault="00832B65" w:rsidP="00832B65">
            <w:pPr>
              <w:pStyle w:val="FRCNumberedparagraphs"/>
              <w:numPr>
                <w:ilvl w:val="0"/>
                <w:numId w:val="30"/>
              </w:numPr>
              <w:spacing w:before="40" w:after="120"/>
              <w:ind w:left="567" w:hanging="567"/>
              <w:rPr>
                <w:rFonts w:ascii="Roboto UKEB" w:hAnsi="Roboto UKEB"/>
                <w:bCs/>
                <w:sz w:val="18"/>
                <w:szCs w:val="18"/>
              </w:rPr>
            </w:pPr>
            <w:r w:rsidRPr="003677FA">
              <w:rPr>
                <w:rFonts w:ascii="Roboto UKEB" w:hAnsi="Roboto UKEB"/>
                <w:bCs/>
                <w:sz w:val="18"/>
                <w:szCs w:val="18"/>
              </w:rPr>
              <w:lastRenderedPageBreak/>
              <w:t xml:space="preserve">Do you agree that the overall disclosure objective should focus on information about an entity’s regulatory income, regulatory expense, regulatory </w:t>
            </w:r>
            <w:proofErr w:type="gramStart"/>
            <w:r w:rsidRPr="003677FA">
              <w:rPr>
                <w:rFonts w:ascii="Roboto UKEB" w:hAnsi="Roboto UKEB"/>
                <w:bCs/>
                <w:sz w:val="18"/>
                <w:szCs w:val="18"/>
              </w:rPr>
              <w:t>assets</w:t>
            </w:r>
            <w:proofErr w:type="gramEnd"/>
            <w:r w:rsidRPr="003677FA">
              <w:rPr>
                <w:rFonts w:ascii="Roboto UKEB" w:hAnsi="Roboto UKEB"/>
                <w:bCs/>
                <w:sz w:val="18"/>
                <w:szCs w:val="18"/>
              </w:rPr>
              <w:t xml:space="preserve"> and regulatory liabilities? Why or why not? If not, what focus do you suggest and why?</w:t>
            </w:r>
          </w:p>
          <w:p w14:paraId="7BA2BD9C" w14:textId="77777777" w:rsidR="00832B65" w:rsidRPr="003677FA" w:rsidRDefault="00832B65" w:rsidP="00832B65">
            <w:pPr>
              <w:pStyle w:val="FRCNumberedparagraphs"/>
              <w:numPr>
                <w:ilvl w:val="0"/>
                <w:numId w:val="30"/>
              </w:numPr>
              <w:spacing w:before="40" w:after="120"/>
              <w:ind w:left="567" w:hanging="567"/>
              <w:rPr>
                <w:rFonts w:ascii="Roboto UKEB" w:hAnsi="Roboto UKEB"/>
                <w:bCs/>
                <w:sz w:val="18"/>
                <w:szCs w:val="18"/>
              </w:rPr>
            </w:pPr>
            <w:r w:rsidRPr="003677FA">
              <w:rPr>
                <w:rFonts w:ascii="Roboto UKEB" w:hAnsi="Roboto UKEB"/>
                <w:bCs/>
                <w:sz w:val="18"/>
                <w:szCs w:val="18"/>
              </w:rPr>
              <w:t>Do you have any other comments on the proposed overall disclosure objective?</w:t>
            </w:r>
          </w:p>
          <w:p w14:paraId="2D510993" w14:textId="77777777" w:rsidR="00832B65" w:rsidRPr="003677FA" w:rsidRDefault="00832B65" w:rsidP="004B7A53">
            <w:pPr>
              <w:pStyle w:val="FRCNumberedparagraphs"/>
              <w:numPr>
                <w:ilvl w:val="0"/>
                <w:numId w:val="0"/>
              </w:numPr>
              <w:spacing w:before="40" w:after="120"/>
              <w:rPr>
                <w:rFonts w:ascii="Roboto UKEB" w:hAnsi="Roboto UKEB"/>
                <w:bCs/>
                <w:sz w:val="18"/>
                <w:szCs w:val="18"/>
              </w:rPr>
            </w:pPr>
            <w:r w:rsidRPr="003677FA">
              <w:rPr>
                <w:rFonts w:ascii="Roboto UKEB" w:hAnsi="Roboto UKEB"/>
                <w:bCs/>
                <w:sz w:val="18"/>
                <w:szCs w:val="18"/>
              </w:rPr>
              <w:t>Paragraphs 77–83 of the Exposure Draft set out the Board’s proposals for specific disclosure objectives and disclosure requirements.</w:t>
            </w:r>
          </w:p>
          <w:p w14:paraId="18E928A4" w14:textId="77777777" w:rsidR="00832B65" w:rsidRPr="003677FA" w:rsidRDefault="00832B65" w:rsidP="00832B65">
            <w:pPr>
              <w:pStyle w:val="FRCNumberedparagraphs"/>
              <w:numPr>
                <w:ilvl w:val="0"/>
                <w:numId w:val="30"/>
              </w:numPr>
              <w:spacing w:before="40" w:after="120"/>
              <w:ind w:left="567" w:hanging="567"/>
              <w:rPr>
                <w:rFonts w:ascii="Roboto UKEB" w:hAnsi="Roboto UKEB"/>
                <w:bCs/>
                <w:sz w:val="18"/>
                <w:szCs w:val="18"/>
              </w:rPr>
            </w:pPr>
            <w:r w:rsidRPr="003677FA">
              <w:rPr>
                <w:rFonts w:ascii="Roboto UKEB" w:hAnsi="Roboto UKEB"/>
                <w:bCs/>
                <w:sz w:val="18"/>
                <w:szCs w:val="18"/>
              </w:rPr>
              <w:t>Do you have any comments on these proposals? Should any other disclosures be required? If so, how would requiring those other disclosures help an entity better meet the proposed disclosure objectives?</w:t>
            </w:r>
          </w:p>
          <w:p w14:paraId="43C8E60F" w14:textId="77777777" w:rsidR="00832B65" w:rsidRPr="003677FA" w:rsidRDefault="00832B65" w:rsidP="00832B65">
            <w:pPr>
              <w:pStyle w:val="FRCNumberedparagraphs"/>
              <w:numPr>
                <w:ilvl w:val="0"/>
                <w:numId w:val="30"/>
              </w:numPr>
              <w:spacing w:before="40" w:after="120"/>
              <w:ind w:left="567" w:hanging="567"/>
              <w:rPr>
                <w:rFonts w:ascii="Roboto UKEB" w:hAnsi="Roboto UKEB" w:cs="Arial"/>
                <w:szCs w:val="22"/>
              </w:rPr>
            </w:pPr>
            <w:r w:rsidRPr="003677FA">
              <w:rPr>
                <w:rFonts w:ascii="Roboto UKEB" w:hAnsi="Roboto UKEB"/>
                <w:bCs/>
                <w:sz w:val="18"/>
                <w:szCs w:val="18"/>
              </w:rPr>
              <w:t xml:space="preserve">Are the proposed overall and specific disclosure objectives and disclosure requirements worded in a way that would make it possible for preparers, auditors, </w:t>
            </w:r>
            <w:proofErr w:type="gramStart"/>
            <w:r w:rsidRPr="003677FA">
              <w:rPr>
                <w:rFonts w:ascii="Roboto UKEB" w:hAnsi="Roboto UKEB"/>
                <w:bCs/>
                <w:sz w:val="18"/>
                <w:szCs w:val="18"/>
              </w:rPr>
              <w:t>regulators</w:t>
            </w:r>
            <w:proofErr w:type="gramEnd"/>
            <w:r w:rsidRPr="003677FA">
              <w:rPr>
                <w:rFonts w:ascii="Roboto UKEB" w:hAnsi="Roboto UKEB"/>
                <w:bCs/>
                <w:sz w:val="18"/>
                <w:szCs w:val="18"/>
              </w:rPr>
              <w:t xml:space="preserve"> and enforcement bodies to assess whether information disclosed is sufficient to meet those objectives?</w:t>
            </w:r>
          </w:p>
        </w:tc>
      </w:tr>
    </w:tbl>
    <w:p w14:paraId="4F3F714D" w14:textId="77777777" w:rsidR="00832B65" w:rsidRPr="003677FA" w:rsidRDefault="00832B65" w:rsidP="00832B65">
      <w:pPr>
        <w:pStyle w:val="paragraph"/>
        <w:spacing w:before="0" w:beforeAutospacing="0" w:after="0" w:afterAutospacing="0"/>
        <w:textAlignment w:val="baseline"/>
        <w:rPr>
          <w:rStyle w:val="normaltextrun"/>
          <w:rFonts w:ascii="Roboto UKEB" w:hAnsi="Roboto UKEB" w:cs="Arial"/>
          <w:b w:val="0"/>
          <w:bCs w:val="0"/>
          <w:color w:val="auto"/>
          <w:sz w:val="22"/>
          <w:szCs w:val="22"/>
        </w:rPr>
      </w:pPr>
    </w:p>
    <w:p w14:paraId="2CB485D8" w14:textId="77777777" w:rsidR="00956B97" w:rsidRPr="00BE0656" w:rsidRDefault="00956B97"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956B97" w14:paraId="472EA223" w14:textId="77777777" w:rsidTr="004B7A53">
        <w:tc>
          <w:tcPr>
            <w:tcW w:w="9498" w:type="dxa"/>
          </w:tcPr>
          <w:p w14:paraId="247F6ABD" w14:textId="77777777" w:rsidR="00956B97" w:rsidRDefault="00956B97" w:rsidP="004B7A53">
            <w:pPr>
              <w:pStyle w:val="FRCNumberedparagraphs"/>
              <w:numPr>
                <w:ilvl w:val="0"/>
                <w:numId w:val="0"/>
              </w:numPr>
              <w:rPr>
                <w:rStyle w:val="normaltextrun"/>
                <w:rFonts w:ascii="Roboto UKEB" w:hAnsi="Roboto UKEB" w:cs="Arial"/>
                <w:szCs w:val="22"/>
              </w:rPr>
            </w:pPr>
          </w:p>
        </w:tc>
      </w:tr>
    </w:tbl>
    <w:p w14:paraId="630EEB82" w14:textId="77777777" w:rsidR="00956B97" w:rsidRDefault="00956B97" w:rsidP="00956B97">
      <w:pPr>
        <w:pStyle w:val="FRCNumberedparagraphs"/>
        <w:numPr>
          <w:ilvl w:val="0"/>
          <w:numId w:val="0"/>
        </w:numPr>
        <w:spacing w:after="0"/>
        <w:rPr>
          <w:rStyle w:val="normaltextrun"/>
          <w:rFonts w:ascii="Roboto UKEB" w:hAnsi="Roboto UKEB" w:cs="Arial"/>
          <w:szCs w:val="22"/>
        </w:rPr>
      </w:pPr>
    </w:p>
    <w:p w14:paraId="7CA0F245" w14:textId="457B4757" w:rsidR="009A25AC" w:rsidRDefault="009A25AC" w:rsidP="00A31726">
      <w:pPr>
        <w:pStyle w:val="FRCNumberedparagraphs"/>
        <w:numPr>
          <w:ilvl w:val="0"/>
          <w:numId w:val="0"/>
        </w:numPr>
        <w:spacing w:after="0"/>
        <w:rPr>
          <w:rFonts w:ascii="Roboto UKEB" w:hAnsi="Roboto UKEB"/>
          <w:szCs w:val="22"/>
        </w:rPr>
      </w:pPr>
    </w:p>
    <w:tbl>
      <w:tblPr>
        <w:tblStyle w:val="TableGrid"/>
        <w:tblW w:w="9498" w:type="dxa"/>
        <w:tblInd w:w="-5" w:type="dxa"/>
        <w:tblLook w:val="04A0" w:firstRow="1" w:lastRow="0" w:firstColumn="1" w:lastColumn="0" w:noHBand="0" w:noVBand="1"/>
      </w:tblPr>
      <w:tblGrid>
        <w:gridCol w:w="9498"/>
      </w:tblGrid>
      <w:tr w:rsidR="00AD49AA" w:rsidRPr="003677FA" w14:paraId="2267239D" w14:textId="77777777" w:rsidTr="008A0CDB">
        <w:trPr>
          <w:tblHeader/>
        </w:trPr>
        <w:tc>
          <w:tcPr>
            <w:tcW w:w="9498" w:type="dxa"/>
          </w:tcPr>
          <w:p w14:paraId="40DE120C" w14:textId="77777777" w:rsidR="00AD49AA" w:rsidRPr="003677FA" w:rsidRDefault="00AD49AA" w:rsidP="004B7A53">
            <w:pPr>
              <w:keepNext/>
              <w:spacing w:after="120"/>
              <w:rPr>
                <w:rFonts w:ascii="Addington CF Thin" w:hAnsi="Addington CF Thin"/>
                <w:b w:val="0"/>
                <w:bCs w:val="0"/>
              </w:rPr>
            </w:pPr>
            <w:r w:rsidRPr="00AD1FFD">
              <w:rPr>
                <w:rFonts w:ascii="Addington CF Thin" w:hAnsi="Addington CF Thin"/>
                <w:color w:val="auto"/>
              </w:rPr>
              <w:t>Question 10: Effective date and transition</w:t>
            </w:r>
          </w:p>
        </w:tc>
      </w:tr>
      <w:tr w:rsidR="00AD49AA" w:rsidRPr="003677FA" w14:paraId="4949D758" w14:textId="77777777" w:rsidTr="004B7A53">
        <w:tc>
          <w:tcPr>
            <w:tcW w:w="9498" w:type="dxa"/>
          </w:tcPr>
          <w:p w14:paraId="69CDFBEC" w14:textId="77777777" w:rsidR="00AD49AA" w:rsidRPr="003677FA" w:rsidRDefault="00AD49AA" w:rsidP="004B7A53">
            <w:pPr>
              <w:pStyle w:val="FRCNumberedparagraphs"/>
              <w:keepNext/>
              <w:numPr>
                <w:ilvl w:val="0"/>
                <w:numId w:val="0"/>
              </w:numPr>
              <w:spacing w:before="40" w:after="120"/>
              <w:rPr>
                <w:rFonts w:ascii="Roboto UKEB" w:hAnsi="Roboto UKEB" w:cs="Arial"/>
                <w:sz w:val="18"/>
                <w:szCs w:val="18"/>
              </w:rPr>
            </w:pPr>
            <w:r w:rsidRPr="003677FA">
              <w:rPr>
                <w:rFonts w:ascii="Roboto UKEB" w:hAnsi="Roboto UKEB"/>
                <w:bCs/>
                <w:sz w:val="18"/>
                <w:szCs w:val="18"/>
              </w:rPr>
              <w:t>Appendix C to the Exposure Draft describes the proposed transition requirements. Paragraphs BC203–BC213 of the Basis for Conclusions describe the reasoning behind the Board’s proposals.</w:t>
            </w:r>
          </w:p>
          <w:p w14:paraId="1E468E4A" w14:textId="77777777" w:rsidR="00AD49AA" w:rsidRPr="003677FA" w:rsidRDefault="00AD49AA" w:rsidP="00AD49AA">
            <w:pPr>
              <w:pStyle w:val="FRCNumberedparagraphs"/>
              <w:keepNext/>
              <w:numPr>
                <w:ilvl w:val="0"/>
                <w:numId w:val="31"/>
              </w:numPr>
              <w:spacing w:before="40" w:after="120"/>
              <w:ind w:left="567" w:hanging="567"/>
              <w:rPr>
                <w:rFonts w:ascii="Roboto UKEB" w:hAnsi="Roboto UKEB"/>
                <w:bCs/>
                <w:sz w:val="18"/>
                <w:szCs w:val="18"/>
              </w:rPr>
            </w:pPr>
            <w:r w:rsidRPr="003677FA">
              <w:rPr>
                <w:rFonts w:ascii="Roboto UKEB" w:hAnsi="Roboto UKEB"/>
                <w:bCs/>
                <w:sz w:val="18"/>
                <w:szCs w:val="18"/>
              </w:rPr>
              <w:t>Do you agree with these proposals?</w:t>
            </w:r>
          </w:p>
          <w:p w14:paraId="13CD6289" w14:textId="77777777" w:rsidR="00AD49AA" w:rsidRPr="003677FA" w:rsidRDefault="00AD49AA" w:rsidP="00AD49AA">
            <w:pPr>
              <w:pStyle w:val="FRCNumberedparagraphs"/>
              <w:keepNext/>
              <w:numPr>
                <w:ilvl w:val="0"/>
                <w:numId w:val="31"/>
              </w:numPr>
              <w:spacing w:before="40" w:after="120"/>
              <w:ind w:left="567" w:hanging="567"/>
              <w:rPr>
                <w:rFonts w:ascii="Roboto UKEB" w:hAnsi="Roboto UKEB" w:cs="Arial"/>
                <w:szCs w:val="22"/>
              </w:rPr>
            </w:pPr>
            <w:r w:rsidRPr="003677FA">
              <w:rPr>
                <w:rFonts w:ascii="Roboto UKEB" w:hAnsi="Roboto UKEB"/>
                <w:bCs/>
                <w:sz w:val="18"/>
                <w:szCs w:val="18"/>
              </w:rPr>
              <w:t>Do you have any comments you wish the Board to consider when it sets the effective date for the Standard?</w:t>
            </w:r>
          </w:p>
        </w:tc>
      </w:tr>
    </w:tbl>
    <w:p w14:paraId="256C9B44" w14:textId="77777777" w:rsidR="009A25AC" w:rsidRDefault="009A25AC" w:rsidP="00A31726">
      <w:pPr>
        <w:pStyle w:val="FRCNumberedparagraphs"/>
        <w:numPr>
          <w:ilvl w:val="0"/>
          <w:numId w:val="0"/>
        </w:numPr>
        <w:spacing w:after="0"/>
        <w:rPr>
          <w:rFonts w:ascii="Roboto UKEB" w:hAnsi="Roboto UKEB"/>
          <w:szCs w:val="22"/>
        </w:rPr>
      </w:pPr>
    </w:p>
    <w:p w14:paraId="4E6DCF6A" w14:textId="77777777" w:rsidR="00956B97" w:rsidRPr="00BE0656" w:rsidRDefault="00956B97"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956B97" w14:paraId="4FFB7550" w14:textId="77777777" w:rsidTr="004B7A53">
        <w:tc>
          <w:tcPr>
            <w:tcW w:w="9498" w:type="dxa"/>
          </w:tcPr>
          <w:p w14:paraId="65BAF2A4" w14:textId="77777777" w:rsidR="00956B97" w:rsidRDefault="00956B97" w:rsidP="004B7A53">
            <w:pPr>
              <w:pStyle w:val="FRCNumberedparagraphs"/>
              <w:numPr>
                <w:ilvl w:val="0"/>
                <w:numId w:val="0"/>
              </w:numPr>
              <w:rPr>
                <w:rStyle w:val="normaltextrun"/>
                <w:rFonts w:ascii="Roboto UKEB" w:hAnsi="Roboto UKEB" w:cs="Arial"/>
                <w:szCs w:val="22"/>
              </w:rPr>
            </w:pPr>
          </w:p>
        </w:tc>
      </w:tr>
    </w:tbl>
    <w:p w14:paraId="624DDC7D" w14:textId="601090AF" w:rsidR="00A31726" w:rsidRDefault="00A31726" w:rsidP="00A31726">
      <w:pPr>
        <w:pStyle w:val="FRCNumberedparagraphs"/>
        <w:numPr>
          <w:ilvl w:val="0"/>
          <w:numId w:val="0"/>
        </w:numPr>
        <w:spacing w:after="0"/>
        <w:rPr>
          <w:rFonts w:ascii="Roboto UKEB" w:hAnsi="Roboto UKEB"/>
          <w:szCs w:val="22"/>
        </w:rPr>
      </w:pPr>
    </w:p>
    <w:p w14:paraId="768B6B47" w14:textId="52FEBF76" w:rsidR="00A31726" w:rsidRDefault="00A31726" w:rsidP="00A31726">
      <w:pPr>
        <w:pStyle w:val="FRCNumberedparagraphs"/>
        <w:numPr>
          <w:ilvl w:val="0"/>
          <w:numId w:val="0"/>
        </w:numPr>
        <w:spacing w:after="0"/>
        <w:rPr>
          <w:rFonts w:ascii="Roboto UKEB" w:hAnsi="Roboto UKEB"/>
          <w:szCs w:val="22"/>
        </w:rPr>
      </w:pPr>
    </w:p>
    <w:tbl>
      <w:tblPr>
        <w:tblStyle w:val="TableGrid"/>
        <w:tblW w:w="9498" w:type="dxa"/>
        <w:tblInd w:w="-5" w:type="dxa"/>
        <w:tblLook w:val="04A0" w:firstRow="1" w:lastRow="0" w:firstColumn="1" w:lastColumn="0" w:noHBand="0" w:noVBand="1"/>
      </w:tblPr>
      <w:tblGrid>
        <w:gridCol w:w="9498"/>
      </w:tblGrid>
      <w:tr w:rsidR="00A3502B" w:rsidRPr="003677FA" w14:paraId="0D490710" w14:textId="77777777" w:rsidTr="008A0CDB">
        <w:trPr>
          <w:tblHeader/>
        </w:trPr>
        <w:tc>
          <w:tcPr>
            <w:tcW w:w="9498" w:type="dxa"/>
          </w:tcPr>
          <w:p w14:paraId="3EBDAAAA" w14:textId="77777777" w:rsidR="00A3502B" w:rsidRPr="003677FA" w:rsidRDefault="00A3502B" w:rsidP="004B7A53">
            <w:pPr>
              <w:keepNext/>
              <w:spacing w:after="120"/>
              <w:rPr>
                <w:rFonts w:ascii="Addington CF Thin" w:hAnsi="Addington CF Thin"/>
                <w:b w:val="0"/>
                <w:bCs w:val="0"/>
              </w:rPr>
            </w:pPr>
            <w:r w:rsidRPr="00AD1FFD">
              <w:rPr>
                <w:rFonts w:ascii="Addington CF Thin" w:hAnsi="Addington CF Thin"/>
                <w:color w:val="auto"/>
              </w:rPr>
              <w:t>Question 11: Other IFRS Standards</w:t>
            </w:r>
          </w:p>
        </w:tc>
      </w:tr>
      <w:tr w:rsidR="00A3502B" w:rsidRPr="003677FA" w14:paraId="326C4A06" w14:textId="77777777" w:rsidTr="004B7A53">
        <w:tc>
          <w:tcPr>
            <w:tcW w:w="9498" w:type="dxa"/>
          </w:tcPr>
          <w:p w14:paraId="45A0B958" w14:textId="77777777" w:rsidR="00A3502B" w:rsidRPr="003677FA" w:rsidRDefault="00A3502B" w:rsidP="004B7A53">
            <w:pPr>
              <w:pStyle w:val="FRCNumberedparagraphs"/>
              <w:numPr>
                <w:ilvl w:val="0"/>
                <w:numId w:val="0"/>
              </w:numPr>
              <w:spacing w:before="40" w:after="120"/>
              <w:rPr>
                <w:rFonts w:ascii="Roboto UKEB" w:hAnsi="Roboto UKEB" w:cs="Arial"/>
                <w:sz w:val="18"/>
                <w:szCs w:val="18"/>
              </w:rPr>
            </w:pPr>
            <w:r w:rsidRPr="003677FA">
              <w:rPr>
                <w:rFonts w:ascii="Roboto UKEB" w:hAnsi="Roboto UKEB"/>
                <w:bCs/>
                <w:color w:val="000000"/>
                <w:sz w:val="18"/>
                <w:szCs w:val="18"/>
              </w:rPr>
              <w:t>Paragraphs B41–B47 of the Exposure Draft propose guidance on how the proposed requirements would interact with the requirements of other IFRS Standards. Appendix D to the Exposure Draft proposes amendments to other IFRS Standards. Paragraphs BC252–BC266 of the Basis for Conclusions describe the reasoning behind the Board’s proposals.</w:t>
            </w:r>
          </w:p>
          <w:p w14:paraId="41F33837" w14:textId="77777777" w:rsidR="00A3502B" w:rsidRPr="003677FA" w:rsidRDefault="00A3502B" w:rsidP="00A3502B">
            <w:pPr>
              <w:pStyle w:val="FRCNumberedparagraphs"/>
              <w:numPr>
                <w:ilvl w:val="0"/>
                <w:numId w:val="32"/>
              </w:numPr>
              <w:spacing w:before="40" w:after="120"/>
              <w:ind w:left="567" w:hanging="567"/>
              <w:rPr>
                <w:rFonts w:ascii="Roboto UKEB" w:hAnsi="Roboto UKEB"/>
                <w:bCs/>
                <w:color w:val="000000"/>
                <w:sz w:val="18"/>
                <w:szCs w:val="18"/>
              </w:rPr>
            </w:pPr>
            <w:r w:rsidRPr="003677FA">
              <w:rPr>
                <w:rFonts w:ascii="Roboto UKEB" w:hAnsi="Roboto UKEB"/>
                <w:bCs/>
                <w:color w:val="000000"/>
                <w:sz w:val="18"/>
                <w:szCs w:val="18"/>
              </w:rPr>
              <w:t>Do you have any comments on these proposals? Should the Board provide any further guidance on how the requirements proposed in the Exposure Draft would interact with any other IFRS Standards? If yes, what is needed and why</w:t>
            </w:r>
            <w:r>
              <w:rPr>
                <w:rFonts w:ascii="Roboto UKEB" w:hAnsi="Roboto UKEB"/>
                <w:bCs/>
                <w:color w:val="000000"/>
                <w:sz w:val="18"/>
                <w:szCs w:val="18"/>
              </w:rPr>
              <w:t>?</w:t>
            </w:r>
            <w:r w:rsidRPr="003677FA">
              <w:rPr>
                <w:rFonts w:ascii="Roboto UKEB" w:hAnsi="Roboto UKEB"/>
                <w:bCs/>
                <w:color w:val="000000"/>
                <w:sz w:val="18"/>
                <w:szCs w:val="18"/>
              </w:rPr>
              <w:t xml:space="preserve"> </w:t>
            </w:r>
          </w:p>
          <w:p w14:paraId="2AC06841" w14:textId="77777777" w:rsidR="00A3502B" w:rsidRPr="003677FA" w:rsidRDefault="00A3502B" w:rsidP="00A3502B">
            <w:pPr>
              <w:pStyle w:val="FRCNumberedparagraphs"/>
              <w:numPr>
                <w:ilvl w:val="0"/>
                <w:numId w:val="32"/>
              </w:numPr>
              <w:spacing w:before="40" w:after="120"/>
              <w:ind w:left="567" w:hanging="567"/>
              <w:rPr>
                <w:rFonts w:ascii="Roboto UKEB" w:hAnsi="Roboto UKEB" w:cs="Arial"/>
                <w:szCs w:val="22"/>
              </w:rPr>
            </w:pPr>
            <w:r w:rsidRPr="003677FA">
              <w:rPr>
                <w:rFonts w:ascii="Roboto UKEB" w:hAnsi="Roboto UKEB"/>
                <w:bCs/>
                <w:color w:val="000000"/>
                <w:sz w:val="18"/>
                <w:szCs w:val="18"/>
              </w:rPr>
              <w:t>Do you have any comments on the proposed amendments to other IFRS Standards</w:t>
            </w:r>
            <w:r w:rsidRPr="003677FA">
              <w:rPr>
                <w:rFonts w:ascii="Roboto UKEB" w:hAnsi="Roboto UKEB"/>
                <w:bCs/>
                <w:color w:val="000000"/>
                <w:szCs w:val="22"/>
              </w:rPr>
              <w:t>?</w:t>
            </w:r>
          </w:p>
        </w:tc>
      </w:tr>
    </w:tbl>
    <w:p w14:paraId="12040197" w14:textId="11A7A7E6" w:rsidR="00A3502B" w:rsidRDefault="00A3502B" w:rsidP="00A31726">
      <w:pPr>
        <w:pStyle w:val="FRCNumberedparagraphs"/>
        <w:numPr>
          <w:ilvl w:val="0"/>
          <w:numId w:val="0"/>
        </w:numPr>
        <w:spacing w:after="0"/>
        <w:rPr>
          <w:rFonts w:ascii="Roboto UKEB" w:hAnsi="Roboto UKEB"/>
          <w:szCs w:val="22"/>
        </w:rPr>
      </w:pPr>
    </w:p>
    <w:p w14:paraId="31BD4B21" w14:textId="77777777" w:rsidR="008507B6" w:rsidRPr="00BE0656" w:rsidRDefault="008507B6"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lastRenderedPageBreak/>
        <w:t>Response:</w:t>
      </w:r>
    </w:p>
    <w:tbl>
      <w:tblPr>
        <w:tblStyle w:val="TableGrid"/>
        <w:tblW w:w="9498" w:type="dxa"/>
        <w:tblInd w:w="-5" w:type="dxa"/>
        <w:tblLook w:val="04A0" w:firstRow="1" w:lastRow="0" w:firstColumn="1" w:lastColumn="0" w:noHBand="0" w:noVBand="1"/>
      </w:tblPr>
      <w:tblGrid>
        <w:gridCol w:w="9498"/>
      </w:tblGrid>
      <w:tr w:rsidR="008507B6" w14:paraId="56402A25" w14:textId="77777777" w:rsidTr="004B7A53">
        <w:tc>
          <w:tcPr>
            <w:tcW w:w="9498" w:type="dxa"/>
          </w:tcPr>
          <w:p w14:paraId="45F800B6" w14:textId="77777777" w:rsidR="008507B6" w:rsidRDefault="008507B6" w:rsidP="004B7A53">
            <w:pPr>
              <w:pStyle w:val="FRCNumberedparagraphs"/>
              <w:numPr>
                <w:ilvl w:val="0"/>
                <w:numId w:val="0"/>
              </w:numPr>
              <w:rPr>
                <w:rStyle w:val="normaltextrun"/>
                <w:rFonts w:ascii="Roboto UKEB" w:hAnsi="Roboto UKEB" w:cs="Arial"/>
                <w:szCs w:val="22"/>
              </w:rPr>
            </w:pPr>
          </w:p>
        </w:tc>
      </w:tr>
    </w:tbl>
    <w:p w14:paraId="769DBA16" w14:textId="4E1F42C5" w:rsidR="008507B6" w:rsidRDefault="008507B6" w:rsidP="008507B6">
      <w:pPr>
        <w:pStyle w:val="FRCNumberedparagraphs"/>
        <w:numPr>
          <w:ilvl w:val="0"/>
          <w:numId w:val="0"/>
        </w:numPr>
        <w:spacing w:after="0"/>
        <w:rPr>
          <w:rStyle w:val="normaltextrun"/>
          <w:rFonts w:ascii="Roboto UKEB" w:hAnsi="Roboto UKEB" w:cs="Arial"/>
          <w:szCs w:val="22"/>
        </w:rPr>
      </w:pPr>
    </w:p>
    <w:p w14:paraId="20516BFD" w14:textId="77777777" w:rsidR="008507B6" w:rsidRDefault="008507B6" w:rsidP="008507B6">
      <w:pPr>
        <w:pStyle w:val="FRCNumberedparagraphs"/>
        <w:numPr>
          <w:ilvl w:val="0"/>
          <w:numId w:val="0"/>
        </w:numPr>
        <w:spacing w:after="0"/>
        <w:rPr>
          <w:rStyle w:val="normaltextrun"/>
          <w:rFonts w:ascii="Roboto UKEB" w:hAnsi="Roboto UKEB" w:cs="Arial"/>
          <w:szCs w:val="22"/>
        </w:rPr>
      </w:pPr>
    </w:p>
    <w:tbl>
      <w:tblPr>
        <w:tblStyle w:val="TableGrid"/>
        <w:tblW w:w="9498" w:type="dxa"/>
        <w:tblInd w:w="-5" w:type="dxa"/>
        <w:tblLook w:val="04A0" w:firstRow="1" w:lastRow="0" w:firstColumn="1" w:lastColumn="0" w:noHBand="0" w:noVBand="1"/>
      </w:tblPr>
      <w:tblGrid>
        <w:gridCol w:w="9498"/>
      </w:tblGrid>
      <w:tr w:rsidR="00071B3C" w:rsidRPr="003677FA" w14:paraId="08198771" w14:textId="77777777" w:rsidTr="008A0CDB">
        <w:trPr>
          <w:tblHeader/>
        </w:trPr>
        <w:tc>
          <w:tcPr>
            <w:tcW w:w="9498" w:type="dxa"/>
          </w:tcPr>
          <w:p w14:paraId="7BD727A9" w14:textId="77777777" w:rsidR="00071B3C" w:rsidRPr="003677FA" w:rsidRDefault="00071B3C" w:rsidP="004B7A53">
            <w:pPr>
              <w:keepNext/>
              <w:spacing w:after="120"/>
              <w:rPr>
                <w:rFonts w:ascii="Addington CF Thin" w:hAnsi="Addington CF Thin"/>
                <w:b w:val="0"/>
                <w:bCs w:val="0"/>
              </w:rPr>
            </w:pPr>
            <w:r w:rsidRPr="00AD1FFD">
              <w:rPr>
                <w:rFonts w:ascii="Addington CF Thin" w:hAnsi="Addington CF Thin"/>
                <w:color w:val="auto"/>
              </w:rPr>
              <w:t>Question 12: Likely effects of the proposals</w:t>
            </w:r>
          </w:p>
        </w:tc>
      </w:tr>
      <w:tr w:rsidR="00071B3C" w:rsidRPr="003677FA" w14:paraId="60B032FA" w14:textId="77777777" w:rsidTr="004B7A53">
        <w:tc>
          <w:tcPr>
            <w:tcW w:w="9498" w:type="dxa"/>
          </w:tcPr>
          <w:p w14:paraId="566DB611" w14:textId="77777777" w:rsidR="00071B3C" w:rsidRPr="00071B3C" w:rsidRDefault="00071B3C" w:rsidP="004B7A53">
            <w:pPr>
              <w:pStyle w:val="AG-NTBT"/>
              <w:spacing w:after="120"/>
              <w:jc w:val="both"/>
              <w:rPr>
                <w:rFonts w:ascii="Roboto UKEB" w:hAnsi="Roboto UKEB"/>
                <w:b w:val="0"/>
                <w:bCs w:val="0"/>
                <w:szCs w:val="18"/>
              </w:rPr>
            </w:pPr>
            <w:r w:rsidRPr="00071B3C">
              <w:rPr>
                <w:rFonts w:ascii="Roboto UKEB" w:hAnsi="Roboto UKEB"/>
                <w:b w:val="0"/>
                <w:bCs w:val="0"/>
                <w:szCs w:val="18"/>
              </w:rPr>
              <w:t>Paragraphs BC214–BC251 of the Basis for Conclusions set out the Board’s analysis of the likely effects of implementing the Board’s proposals.</w:t>
            </w:r>
          </w:p>
          <w:p w14:paraId="49EE96F9" w14:textId="77777777" w:rsidR="00071B3C" w:rsidRPr="00071B3C" w:rsidRDefault="00071B3C" w:rsidP="00071B3C">
            <w:pPr>
              <w:pStyle w:val="AG-NTBT"/>
              <w:numPr>
                <w:ilvl w:val="0"/>
                <w:numId w:val="33"/>
              </w:numPr>
              <w:spacing w:after="120"/>
              <w:ind w:left="567" w:hanging="567"/>
              <w:jc w:val="both"/>
              <w:rPr>
                <w:rFonts w:ascii="Roboto UKEB" w:hAnsi="Roboto UKEB"/>
                <w:b w:val="0"/>
                <w:bCs w:val="0"/>
                <w:szCs w:val="18"/>
              </w:rPr>
            </w:pPr>
            <w:r w:rsidRPr="00071B3C">
              <w:rPr>
                <w:rFonts w:ascii="Roboto UKEB" w:hAnsi="Roboto UKEB"/>
                <w:b w:val="0"/>
                <w:bCs w:val="0"/>
                <w:szCs w:val="18"/>
              </w:rPr>
              <w:t>Paragraphs BC222–BC244 provide the Board’s analysis of the likely effects of implementing the proposals on information reported in the financial statements and on the quality of financial reporting. Do you agree with this analysis? Why or why not? If not, with which aspects of the analysis do you disagree and why?</w:t>
            </w:r>
          </w:p>
          <w:p w14:paraId="61229E67" w14:textId="77777777" w:rsidR="00071B3C" w:rsidRPr="00071B3C" w:rsidRDefault="00071B3C" w:rsidP="00071B3C">
            <w:pPr>
              <w:pStyle w:val="AG-NTBT"/>
              <w:numPr>
                <w:ilvl w:val="0"/>
                <w:numId w:val="33"/>
              </w:numPr>
              <w:spacing w:after="120"/>
              <w:ind w:left="567" w:hanging="567"/>
              <w:jc w:val="both"/>
              <w:rPr>
                <w:rFonts w:ascii="Roboto UKEB" w:hAnsi="Roboto UKEB"/>
                <w:b w:val="0"/>
                <w:bCs w:val="0"/>
                <w:szCs w:val="18"/>
              </w:rPr>
            </w:pPr>
            <w:r w:rsidRPr="00071B3C">
              <w:rPr>
                <w:rFonts w:ascii="Roboto UKEB" w:hAnsi="Roboto UKEB"/>
                <w:b w:val="0"/>
                <w:bCs w:val="0"/>
                <w:szCs w:val="18"/>
              </w:rPr>
              <w:t>Paragraphs BC245–BC250 provide the Board’s analysis of the likely costs of implementing the proposals. Do you agree with this analysis? Why or why not? If not, with which aspects of the analysis do you disagree and why?</w:t>
            </w:r>
          </w:p>
          <w:p w14:paraId="0823CE5B" w14:textId="77777777" w:rsidR="00071B3C" w:rsidRPr="00071B3C" w:rsidRDefault="00071B3C" w:rsidP="00071B3C">
            <w:pPr>
              <w:pStyle w:val="AG-NTBT"/>
              <w:numPr>
                <w:ilvl w:val="0"/>
                <w:numId w:val="33"/>
              </w:numPr>
              <w:spacing w:after="120"/>
              <w:ind w:left="567" w:hanging="567"/>
              <w:jc w:val="both"/>
              <w:rPr>
                <w:rFonts w:ascii="Roboto UKEB" w:hAnsi="Roboto UKEB"/>
                <w:b w:val="0"/>
                <w:bCs w:val="0"/>
                <w:sz w:val="22"/>
              </w:rPr>
            </w:pPr>
            <w:r w:rsidRPr="00071B3C">
              <w:rPr>
                <w:rFonts w:ascii="Roboto UKEB" w:hAnsi="Roboto UKEB"/>
                <w:b w:val="0"/>
                <w:bCs w:val="0"/>
                <w:szCs w:val="18"/>
              </w:rPr>
              <w:t xml:space="preserve">Do you have any other comments on how the Board should assess whether the likely benefits of implementing the proposals outweigh the likely costs of implementing them or on any other factors the Board should consider in </w:t>
            </w:r>
            <w:proofErr w:type="spellStart"/>
            <w:r w:rsidRPr="00071B3C">
              <w:rPr>
                <w:rFonts w:ascii="Roboto UKEB" w:hAnsi="Roboto UKEB"/>
                <w:b w:val="0"/>
                <w:bCs w:val="0"/>
                <w:szCs w:val="18"/>
              </w:rPr>
              <w:t>analysing</w:t>
            </w:r>
            <w:proofErr w:type="spellEnd"/>
            <w:r w:rsidRPr="00071B3C">
              <w:rPr>
                <w:rFonts w:ascii="Roboto UKEB" w:hAnsi="Roboto UKEB"/>
                <w:b w:val="0"/>
                <w:bCs w:val="0"/>
                <w:szCs w:val="18"/>
              </w:rPr>
              <w:t xml:space="preserve"> the likely effects?</w:t>
            </w:r>
          </w:p>
        </w:tc>
      </w:tr>
    </w:tbl>
    <w:p w14:paraId="747228B7" w14:textId="25828E23" w:rsidR="00A3502B" w:rsidRDefault="00A3502B" w:rsidP="00A31726">
      <w:pPr>
        <w:pStyle w:val="FRCNumberedparagraphs"/>
        <w:numPr>
          <w:ilvl w:val="0"/>
          <w:numId w:val="0"/>
        </w:numPr>
        <w:spacing w:after="0"/>
        <w:rPr>
          <w:rFonts w:ascii="Roboto UKEB" w:hAnsi="Roboto UKEB"/>
          <w:szCs w:val="22"/>
        </w:rPr>
      </w:pPr>
    </w:p>
    <w:p w14:paraId="4842ECFE" w14:textId="77777777" w:rsidR="008507B6" w:rsidRPr="00BE0656" w:rsidRDefault="008507B6"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8507B6" w14:paraId="445B54F9" w14:textId="77777777" w:rsidTr="004B7A53">
        <w:tc>
          <w:tcPr>
            <w:tcW w:w="9498" w:type="dxa"/>
          </w:tcPr>
          <w:p w14:paraId="4A8AA7FC" w14:textId="77777777" w:rsidR="008507B6" w:rsidRDefault="008507B6" w:rsidP="004B7A53">
            <w:pPr>
              <w:pStyle w:val="FRCNumberedparagraphs"/>
              <w:numPr>
                <w:ilvl w:val="0"/>
                <w:numId w:val="0"/>
              </w:numPr>
              <w:rPr>
                <w:rStyle w:val="normaltextrun"/>
                <w:rFonts w:ascii="Roboto UKEB" w:hAnsi="Roboto UKEB" w:cs="Arial"/>
                <w:szCs w:val="22"/>
              </w:rPr>
            </w:pPr>
          </w:p>
        </w:tc>
      </w:tr>
    </w:tbl>
    <w:p w14:paraId="7ED7B9E8" w14:textId="77777777" w:rsidR="008507B6" w:rsidRDefault="008507B6" w:rsidP="008507B6">
      <w:pPr>
        <w:pStyle w:val="FRCNumberedparagraphs"/>
        <w:numPr>
          <w:ilvl w:val="0"/>
          <w:numId w:val="0"/>
        </w:numPr>
        <w:spacing w:after="0"/>
        <w:rPr>
          <w:rStyle w:val="normaltextrun"/>
          <w:rFonts w:ascii="Roboto UKEB" w:hAnsi="Roboto UKEB" w:cs="Arial"/>
          <w:szCs w:val="22"/>
        </w:rPr>
      </w:pPr>
    </w:p>
    <w:p w14:paraId="1ED607B4" w14:textId="13F241AF" w:rsidR="00071B3C" w:rsidRDefault="00071B3C" w:rsidP="00A31726">
      <w:pPr>
        <w:pStyle w:val="FRCNumberedparagraphs"/>
        <w:numPr>
          <w:ilvl w:val="0"/>
          <w:numId w:val="0"/>
        </w:numPr>
        <w:spacing w:after="0"/>
        <w:rPr>
          <w:rFonts w:ascii="Roboto UKEB" w:hAnsi="Roboto UKEB"/>
          <w:szCs w:val="22"/>
        </w:rPr>
      </w:pPr>
    </w:p>
    <w:tbl>
      <w:tblPr>
        <w:tblStyle w:val="TableGrid"/>
        <w:tblW w:w="9498" w:type="dxa"/>
        <w:tblInd w:w="-5" w:type="dxa"/>
        <w:tblLook w:val="04A0" w:firstRow="1" w:lastRow="0" w:firstColumn="1" w:lastColumn="0" w:noHBand="0" w:noVBand="1"/>
      </w:tblPr>
      <w:tblGrid>
        <w:gridCol w:w="9498"/>
      </w:tblGrid>
      <w:tr w:rsidR="00956B97" w:rsidRPr="003677FA" w14:paraId="761581D9" w14:textId="77777777" w:rsidTr="17701BB9">
        <w:trPr>
          <w:tblHeader/>
        </w:trPr>
        <w:tc>
          <w:tcPr>
            <w:tcW w:w="9498" w:type="dxa"/>
          </w:tcPr>
          <w:p w14:paraId="50EED95C" w14:textId="77777777" w:rsidR="00956B97" w:rsidRPr="003677FA" w:rsidRDefault="00956B97" w:rsidP="004B7A53">
            <w:pPr>
              <w:keepNext/>
              <w:spacing w:after="120"/>
              <w:rPr>
                <w:rFonts w:ascii="Addington CF Thin" w:hAnsi="Addington CF Thin"/>
                <w:b w:val="0"/>
                <w:bCs w:val="0"/>
              </w:rPr>
            </w:pPr>
            <w:r w:rsidRPr="00AD1FFD">
              <w:rPr>
                <w:rFonts w:ascii="Addington CF Thin" w:hAnsi="Addington CF Thin"/>
                <w:color w:val="auto"/>
              </w:rPr>
              <w:t>Question 13: Other comments</w:t>
            </w:r>
          </w:p>
        </w:tc>
      </w:tr>
      <w:tr w:rsidR="00956B97" w:rsidRPr="00956B97" w14:paraId="12AB62A3" w14:textId="77777777" w:rsidTr="17701BB9">
        <w:tc>
          <w:tcPr>
            <w:tcW w:w="9498" w:type="dxa"/>
          </w:tcPr>
          <w:p w14:paraId="32236376" w14:textId="02261948" w:rsidR="00956B97" w:rsidRPr="00956B97" w:rsidRDefault="00956B97" w:rsidP="004B7A53">
            <w:pPr>
              <w:rPr>
                <w:rFonts w:ascii="Roboto UKEB" w:hAnsi="Roboto UKEB"/>
                <w:b w:val="0"/>
                <w:bCs w:val="0"/>
                <w:color w:val="000000" w:themeColor="text1"/>
                <w:sz w:val="18"/>
                <w:szCs w:val="18"/>
              </w:rPr>
            </w:pPr>
            <w:r w:rsidRPr="17701BB9">
              <w:rPr>
                <w:rFonts w:ascii="Roboto UKEB" w:hAnsi="Roboto UKEB"/>
                <w:b w:val="0"/>
                <w:bCs w:val="0"/>
                <w:color w:val="000000" w:themeColor="text1"/>
                <w:sz w:val="18"/>
                <w:szCs w:val="18"/>
              </w:rPr>
              <w:t xml:space="preserve">Do you have any other comments on the proposals in the Exposure Draft or </w:t>
            </w:r>
            <w:r w:rsidR="63B8D7EC" w:rsidRPr="17701BB9">
              <w:rPr>
                <w:rFonts w:ascii="Roboto UKEB" w:hAnsi="Roboto UKEB"/>
                <w:b w:val="0"/>
                <w:bCs w:val="0"/>
                <w:color w:val="000000" w:themeColor="text1"/>
                <w:sz w:val="18"/>
                <w:szCs w:val="18"/>
              </w:rPr>
              <w:t>the UKEB’s Draft Comment on the proposals in that Exposure Draft</w:t>
            </w:r>
            <w:r w:rsidRPr="17701BB9">
              <w:rPr>
                <w:rFonts w:ascii="Roboto UKEB" w:hAnsi="Roboto UKEB"/>
                <w:b w:val="0"/>
                <w:bCs w:val="0"/>
                <w:color w:val="000000" w:themeColor="text1"/>
                <w:sz w:val="18"/>
                <w:szCs w:val="18"/>
              </w:rPr>
              <w:t>?</w:t>
            </w:r>
          </w:p>
        </w:tc>
      </w:tr>
    </w:tbl>
    <w:p w14:paraId="53F3C69A" w14:textId="77777777" w:rsidR="00956B97" w:rsidRPr="003677FA" w:rsidRDefault="00956B97" w:rsidP="00956B97">
      <w:pPr>
        <w:pStyle w:val="Appendixnumparas"/>
        <w:numPr>
          <w:ilvl w:val="0"/>
          <w:numId w:val="0"/>
        </w:numPr>
        <w:spacing w:after="0"/>
        <w:rPr>
          <w:rFonts w:ascii="Roboto UKEB" w:hAnsi="Roboto UKEB"/>
          <w:color w:val="000000" w:themeColor="text1"/>
          <w:lang w:val="en-GB"/>
        </w:rPr>
      </w:pPr>
    </w:p>
    <w:p w14:paraId="086A7263" w14:textId="77777777" w:rsidR="008507B6" w:rsidRPr="00BE0656" w:rsidRDefault="008507B6" w:rsidP="00CC053E">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8507B6" w14:paraId="4BE6F411" w14:textId="77777777" w:rsidTr="004B7A53">
        <w:tc>
          <w:tcPr>
            <w:tcW w:w="9498" w:type="dxa"/>
          </w:tcPr>
          <w:p w14:paraId="76B2FED4" w14:textId="77777777" w:rsidR="008507B6" w:rsidRDefault="008507B6" w:rsidP="004B7A53">
            <w:pPr>
              <w:pStyle w:val="FRCNumberedparagraphs"/>
              <w:numPr>
                <w:ilvl w:val="0"/>
                <w:numId w:val="0"/>
              </w:numPr>
              <w:rPr>
                <w:rStyle w:val="normaltextrun"/>
                <w:rFonts w:ascii="Roboto UKEB" w:hAnsi="Roboto UKEB" w:cs="Arial"/>
                <w:szCs w:val="22"/>
              </w:rPr>
            </w:pPr>
          </w:p>
        </w:tc>
      </w:tr>
    </w:tbl>
    <w:p w14:paraId="762DFD20" w14:textId="77777777" w:rsidR="008507B6" w:rsidRDefault="008507B6" w:rsidP="008507B6">
      <w:pPr>
        <w:pStyle w:val="FRCNumberedparagraphs"/>
        <w:numPr>
          <w:ilvl w:val="0"/>
          <w:numId w:val="0"/>
        </w:numPr>
        <w:spacing w:after="0"/>
        <w:rPr>
          <w:rStyle w:val="normaltextrun"/>
          <w:rFonts w:ascii="Roboto UKEB" w:hAnsi="Roboto UKEB" w:cs="Arial"/>
          <w:szCs w:val="22"/>
        </w:rPr>
      </w:pPr>
    </w:p>
    <w:p w14:paraId="4FCEA061" w14:textId="77777777" w:rsidR="00071B3C" w:rsidRDefault="00071B3C" w:rsidP="00A31726">
      <w:pPr>
        <w:pStyle w:val="FRCNumberedparagraphs"/>
        <w:numPr>
          <w:ilvl w:val="0"/>
          <w:numId w:val="0"/>
        </w:numPr>
        <w:spacing w:after="0"/>
        <w:rPr>
          <w:rFonts w:ascii="Roboto UKEB" w:hAnsi="Roboto UKEB"/>
          <w:szCs w:val="22"/>
        </w:rPr>
      </w:pPr>
    </w:p>
    <w:p w14:paraId="3AB1E1E7" w14:textId="0E69CCE7" w:rsidR="00BA5458" w:rsidRPr="00C10223" w:rsidRDefault="000E2CD6" w:rsidP="00C10223">
      <w:pPr>
        <w:pStyle w:val="ListNumber2"/>
        <w:keepNext/>
        <w:numPr>
          <w:ilvl w:val="0"/>
          <w:numId w:val="0"/>
        </w:numPr>
        <w:spacing w:before="360" w:after="120"/>
        <w:jc w:val="center"/>
        <w:rPr>
          <w:rFonts w:ascii="Addington CF Thin" w:hAnsi="Addington CF Thin"/>
          <w:b/>
          <w:bCs/>
          <w:sz w:val="36"/>
          <w:szCs w:val="36"/>
        </w:rPr>
      </w:pPr>
      <w:r w:rsidRPr="00A8633B">
        <w:rPr>
          <w:rFonts w:ascii="Addington CF Thin" w:hAnsi="Addington CF Thin"/>
          <w:b/>
          <w:bCs/>
          <w:sz w:val="36"/>
          <w:szCs w:val="36"/>
        </w:rPr>
        <w:t>Thank you for completing this Invitation to Comment</w:t>
      </w:r>
    </w:p>
    <w:sectPr w:rsidR="00BA5458" w:rsidRPr="00C10223" w:rsidSect="00F51E60">
      <w:headerReference w:type="default" r:id="rId11"/>
      <w:footerReference w:type="default" r:id="rId12"/>
      <w:headerReference w:type="first" r:id="rId13"/>
      <w:footerReference w:type="first" r:id="rId14"/>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3B4D" w14:textId="77777777" w:rsidR="006B7ED7" w:rsidRDefault="006B7ED7" w:rsidP="00D45945">
      <w:pPr>
        <w:spacing w:before="0" w:after="0" w:line="240" w:lineRule="auto"/>
      </w:pPr>
      <w:r>
        <w:separator/>
      </w:r>
    </w:p>
  </w:endnote>
  <w:endnote w:type="continuationSeparator" w:id="0">
    <w:p w14:paraId="0B1A39AD" w14:textId="77777777" w:rsidR="006B7ED7" w:rsidRDefault="006B7ED7" w:rsidP="00D45945">
      <w:pPr>
        <w:spacing w:before="0" w:after="0" w:line="240" w:lineRule="auto"/>
      </w:pPr>
      <w:r>
        <w:continuationSeparator/>
      </w:r>
    </w:p>
  </w:endnote>
  <w:endnote w:type="continuationNotice" w:id="1">
    <w:p w14:paraId="4DE0AA95" w14:textId="77777777" w:rsidR="006B7ED7" w:rsidRDefault="006B7E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UKEB">
    <w:panose1 w:val="00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CAA7FF"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475E67" w:rsidP="00F51E60">
    <w:pPr>
      <w:pStyle w:val="Footer"/>
      <w:jc w:val="right"/>
      <w:rPr>
        <w:b w:val="0"/>
        <w:bCs w:val="0"/>
        <w:sz w:val="18"/>
        <w:szCs w:val="18"/>
      </w:rPr>
    </w:pPr>
    <w:sdt>
      <w:sdtPr>
        <w:rPr>
          <w:b w:val="0"/>
          <w:bCs w:val="0"/>
          <w:sz w:val="18"/>
          <w:szCs w:val="18"/>
        </w:rPr>
        <w:id w:val="-1496174655"/>
        <w:docPartObj>
          <w:docPartGallery w:val="Page Numbers (Top of Page)"/>
          <w:docPartUnique/>
        </w:docPartObj>
      </w:sdtPr>
      <w:sdtEndPr>
        <w:rPr>
          <w:color w:val="auto"/>
        </w:rPr>
      </w:sdtEndPr>
      <w:sdtContent>
        <w:r w:rsidR="00F51E60" w:rsidRPr="00C10223">
          <w:rPr>
            <w:b w:val="0"/>
            <w:bCs w:val="0"/>
            <w:color w:val="auto"/>
            <w:sz w:val="18"/>
            <w:szCs w:val="18"/>
          </w:rPr>
          <w:t xml:space="preserve">Page </w:t>
        </w:r>
        <w:r w:rsidR="00F51E60" w:rsidRPr="00C10223">
          <w:rPr>
            <w:b w:val="0"/>
            <w:bCs w:val="0"/>
            <w:color w:val="auto"/>
            <w:sz w:val="18"/>
            <w:szCs w:val="18"/>
          </w:rPr>
          <w:fldChar w:fldCharType="begin"/>
        </w:r>
        <w:r w:rsidR="00F51E60" w:rsidRPr="00C10223">
          <w:rPr>
            <w:b w:val="0"/>
            <w:bCs w:val="0"/>
            <w:color w:val="auto"/>
            <w:sz w:val="18"/>
            <w:szCs w:val="18"/>
          </w:rPr>
          <w:instrText xml:space="preserve"> PAGE </w:instrText>
        </w:r>
        <w:r w:rsidR="00F51E60" w:rsidRPr="00C10223">
          <w:rPr>
            <w:b w:val="0"/>
            <w:bCs w:val="0"/>
            <w:color w:val="auto"/>
            <w:sz w:val="18"/>
            <w:szCs w:val="18"/>
          </w:rPr>
          <w:fldChar w:fldCharType="separate"/>
        </w:r>
        <w:r w:rsidR="00F51E60" w:rsidRPr="00C10223">
          <w:rPr>
            <w:b w:val="0"/>
            <w:bCs w:val="0"/>
            <w:sz w:val="18"/>
            <w:szCs w:val="18"/>
          </w:rPr>
          <w:t>1</w:t>
        </w:r>
        <w:r w:rsidR="00F51E60" w:rsidRPr="00C10223">
          <w:rPr>
            <w:b w:val="0"/>
            <w:bCs w:val="0"/>
            <w:color w:val="auto"/>
            <w:sz w:val="18"/>
            <w:szCs w:val="18"/>
          </w:rPr>
          <w:fldChar w:fldCharType="end"/>
        </w:r>
        <w:r w:rsidR="00F51E60" w:rsidRPr="00C10223">
          <w:rPr>
            <w:b w:val="0"/>
            <w:bCs w:val="0"/>
            <w:color w:val="auto"/>
            <w:sz w:val="18"/>
            <w:szCs w:val="18"/>
          </w:rPr>
          <w:t xml:space="preserve"> of </w:t>
        </w:r>
        <w:r w:rsidR="00F51E60" w:rsidRPr="00C10223">
          <w:rPr>
            <w:b w:val="0"/>
            <w:bCs w:val="0"/>
            <w:color w:val="auto"/>
            <w:sz w:val="18"/>
            <w:szCs w:val="18"/>
          </w:rPr>
          <w:fldChar w:fldCharType="begin"/>
        </w:r>
        <w:r w:rsidR="00F51E60" w:rsidRPr="00C10223">
          <w:rPr>
            <w:b w:val="0"/>
            <w:bCs w:val="0"/>
            <w:color w:val="auto"/>
            <w:sz w:val="18"/>
            <w:szCs w:val="18"/>
          </w:rPr>
          <w:instrText xml:space="preserve"> NUMPAGES  </w:instrText>
        </w:r>
        <w:r w:rsidR="00F51E60" w:rsidRPr="00C10223">
          <w:rPr>
            <w:b w:val="0"/>
            <w:bCs w:val="0"/>
            <w:color w:val="auto"/>
            <w:sz w:val="18"/>
            <w:szCs w:val="18"/>
          </w:rPr>
          <w:fldChar w:fldCharType="separate"/>
        </w:r>
        <w:r w:rsidR="00F51E60" w:rsidRPr="00C10223">
          <w:rPr>
            <w:b w:val="0"/>
            <w:bCs w:val="0"/>
            <w:sz w:val="18"/>
            <w:szCs w:val="18"/>
          </w:rPr>
          <w:t>6</w:t>
        </w:r>
        <w:r w:rsidR="00F51E60" w:rsidRPr="00C10223">
          <w:rPr>
            <w:b w:val="0"/>
            <w:bCs w:val="0"/>
            <w:color w:val="auto"/>
            <w:sz w:val="18"/>
            <w:szCs w:val="18"/>
          </w:rPr>
          <w:fldChar w:fldCharType="end"/>
        </w:r>
      </w:sdtContent>
    </w:sdt>
    <w:r w:rsidR="00F51E60" w:rsidRPr="00C10223">
      <w:rPr>
        <w:b w:val="0"/>
        <w:bCs w:val="0"/>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7A2F0"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475E67"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F03855">
          <w:rPr>
            <w:b w:val="0"/>
            <w:bCs w:val="0"/>
            <w:color w:val="auto"/>
            <w:sz w:val="18"/>
            <w:szCs w:val="18"/>
          </w:rPr>
          <w:t xml:space="preserve">Page </w:t>
        </w:r>
        <w:r w:rsidR="00574B44" w:rsidRPr="00F03855">
          <w:rPr>
            <w:b w:val="0"/>
            <w:bCs w:val="0"/>
            <w:color w:val="auto"/>
            <w:sz w:val="18"/>
            <w:szCs w:val="18"/>
          </w:rPr>
          <w:fldChar w:fldCharType="begin"/>
        </w:r>
        <w:r w:rsidR="00574B44" w:rsidRPr="00F03855">
          <w:rPr>
            <w:b w:val="0"/>
            <w:bCs w:val="0"/>
            <w:color w:val="auto"/>
            <w:sz w:val="18"/>
            <w:szCs w:val="18"/>
          </w:rPr>
          <w:instrText xml:space="preserve"> PAGE </w:instrText>
        </w:r>
        <w:r w:rsidR="00574B44" w:rsidRPr="00F03855">
          <w:rPr>
            <w:b w:val="0"/>
            <w:bCs w:val="0"/>
            <w:color w:val="auto"/>
            <w:sz w:val="18"/>
            <w:szCs w:val="18"/>
          </w:rPr>
          <w:fldChar w:fldCharType="separate"/>
        </w:r>
        <w:r w:rsidR="00574B44" w:rsidRPr="00F03855">
          <w:rPr>
            <w:b w:val="0"/>
            <w:bCs w:val="0"/>
            <w:color w:val="auto"/>
            <w:sz w:val="18"/>
            <w:szCs w:val="18"/>
          </w:rPr>
          <w:t>2</w:t>
        </w:r>
        <w:r w:rsidR="00574B44" w:rsidRPr="00F03855">
          <w:rPr>
            <w:b w:val="0"/>
            <w:bCs w:val="0"/>
            <w:color w:val="auto"/>
            <w:sz w:val="18"/>
            <w:szCs w:val="18"/>
          </w:rPr>
          <w:fldChar w:fldCharType="end"/>
        </w:r>
        <w:r w:rsidR="00574B44" w:rsidRPr="00F03855">
          <w:rPr>
            <w:b w:val="0"/>
            <w:bCs w:val="0"/>
            <w:color w:val="auto"/>
            <w:sz w:val="18"/>
            <w:szCs w:val="18"/>
          </w:rPr>
          <w:t xml:space="preserve"> of </w:t>
        </w:r>
        <w:r w:rsidR="00574B44" w:rsidRPr="00F03855">
          <w:rPr>
            <w:b w:val="0"/>
            <w:bCs w:val="0"/>
            <w:color w:val="auto"/>
            <w:sz w:val="18"/>
            <w:szCs w:val="18"/>
          </w:rPr>
          <w:fldChar w:fldCharType="begin"/>
        </w:r>
        <w:r w:rsidR="00574B44" w:rsidRPr="00F03855">
          <w:rPr>
            <w:b w:val="0"/>
            <w:bCs w:val="0"/>
            <w:color w:val="auto"/>
            <w:sz w:val="18"/>
            <w:szCs w:val="18"/>
          </w:rPr>
          <w:instrText xml:space="preserve"> NUMPAGES  </w:instrText>
        </w:r>
        <w:r w:rsidR="00574B44" w:rsidRPr="00F03855">
          <w:rPr>
            <w:b w:val="0"/>
            <w:bCs w:val="0"/>
            <w:color w:val="auto"/>
            <w:sz w:val="18"/>
            <w:szCs w:val="18"/>
          </w:rPr>
          <w:fldChar w:fldCharType="separate"/>
        </w:r>
        <w:r w:rsidR="00574B44" w:rsidRPr="00F03855">
          <w:rPr>
            <w:b w:val="0"/>
            <w:bCs w:val="0"/>
            <w:color w:val="auto"/>
            <w:sz w:val="18"/>
            <w:szCs w:val="18"/>
          </w:rPr>
          <w:t>5</w:t>
        </w:r>
        <w:r w:rsidR="00574B44" w:rsidRPr="00F03855">
          <w:rPr>
            <w:b w:val="0"/>
            <w:bCs w:val="0"/>
            <w:color w:val="auto"/>
            <w:sz w:val="18"/>
            <w:szCs w:val="18"/>
          </w:rPr>
          <w:fldChar w:fldCharType="end"/>
        </w:r>
      </w:sdtContent>
    </w:sdt>
    <w:r w:rsidR="00574B44" w:rsidRPr="00F03855">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AFEA" w14:textId="77777777" w:rsidR="006B7ED7" w:rsidRDefault="006B7ED7" w:rsidP="00D45945">
      <w:pPr>
        <w:spacing w:before="0" w:after="0" w:line="240" w:lineRule="auto"/>
      </w:pPr>
      <w:r>
        <w:separator/>
      </w:r>
    </w:p>
  </w:footnote>
  <w:footnote w:type="continuationSeparator" w:id="0">
    <w:p w14:paraId="384F2F78" w14:textId="77777777" w:rsidR="006B7ED7" w:rsidRDefault="006B7ED7" w:rsidP="00D45945">
      <w:pPr>
        <w:spacing w:before="0" w:after="0" w:line="240" w:lineRule="auto"/>
      </w:pPr>
      <w:r>
        <w:continuationSeparator/>
      </w:r>
    </w:p>
  </w:footnote>
  <w:footnote w:type="continuationNotice" w:id="1">
    <w:p w14:paraId="43E511FB" w14:textId="77777777" w:rsidR="006B7ED7" w:rsidRDefault="006B7ED7">
      <w:pPr>
        <w:spacing w:before="0" w:after="0" w:line="240" w:lineRule="auto"/>
      </w:pPr>
    </w:p>
  </w:footnote>
  <w:footnote w:id="2">
    <w:p w14:paraId="71C1DF8D" w14:textId="77777777" w:rsidR="006D253D" w:rsidRPr="00AC304F" w:rsidRDefault="006D253D" w:rsidP="006D253D">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Pr="00050D7B">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DFFA" w14:textId="77777777" w:rsidR="006B705D" w:rsidRDefault="3CFF9EB4" w:rsidP="006B705D">
    <w:pPr>
      <w:pStyle w:val="Header"/>
      <w:ind w:left="-142"/>
      <w:jc w:val="left"/>
      <w:rPr>
        <w:noProof/>
      </w:rPr>
    </w:pPr>
    <w:r>
      <w:rPr>
        <w:noProof/>
      </w:rPr>
      <w:drawing>
        <wp:inline distT="0" distB="0" distL="0" distR="0" wp14:anchorId="63D99279" wp14:editId="0CD942D0">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E920D4" w14:textId="126FD604" w:rsidR="00DD71BE" w:rsidRPr="006B705D" w:rsidRDefault="006B705D" w:rsidP="006B705D">
    <w:pPr>
      <w:pStyle w:val="Header"/>
    </w:pPr>
    <w:r>
      <w:rPr>
        <w:noProof/>
      </w:rPr>
      <mc:AlternateContent>
        <mc:Choice Requires="wps">
          <w:drawing>
            <wp:anchor distT="0" distB="0" distL="114300" distR="114300" simplePos="0" relativeHeight="251681792" behindDoc="0" locked="0" layoutInCell="1" allowOverlap="1" wp14:anchorId="0870B98E" wp14:editId="678B27F8">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2FFE2" id="Straight Connector 4"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3CFF9EB4" w:rsidP="00F51E60">
    <w:pPr>
      <w:pStyle w:val="Header"/>
      <w:ind w:left="-142"/>
      <w:jc w:val="left"/>
      <w:rPr>
        <w:noProof/>
      </w:rPr>
    </w:pPr>
    <w:r>
      <w:rPr>
        <w:noProof/>
      </w:rPr>
      <w:drawing>
        <wp:inline distT="0" distB="0" distL="0" distR="0" wp14:anchorId="27400466" wp14:editId="58011EE5">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0AB9498D" w:rsidR="000467E8" w:rsidRDefault="00662118" w:rsidP="00173043">
    <w:pPr>
      <w:pStyle w:val="Header"/>
    </w:pPr>
    <w:r>
      <w:rPr>
        <w:noProof/>
      </w:rPr>
      <mc:AlternateContent>
        <mc:Choice Requires="wps">
          <w:drawing>
            <wp:anchor distT="0" distB="0" distL="114300" distR="114300" simplePos="0" relativeHeight="251665408"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AB9CF" id="Straight Connector 1"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1B408F3"/>
    <w:multiLevelType w:val="hybridMultilevel"/>
    <w:tmpl w:val="EA3A46F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A67408F"/>
    <w:multiLevelType w:val="hybridMultilevel"/>
    <w:tmpl w:val="DC9E26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02171"/>
    <w:multiLevelType w:val="hybridMultilevel"/>
    <w:tmpl w:val="0F0ED640"/>
    <w:lvl w:ilvl="0" w:tplc="08090017">
      <w:start w:val="1"/>
      <w:numFmt w:val="lowerLetter"/>
      <w:lvlText w:val="%1)"/>
      <w:lvlJc w:val="left"/>
      <w:pPr>
        <w:ind w:left="720" w:hanging="360"/>
      </w:pPr>
    </w:lvl>
    <w:lvl w:ilvl="1" w:tplc="176A7BBE">
      <w:start w:val="1"/>
      <w:numFmt w:val="lowerLetter"/>
      <w:lvlText w:val="%2)"/>
      <w:lvlJc w:val="left"/>
      <w:pPr>
        <w:ind w:left="1440" w:hanging="360"/>
      </w:pPr>
      <w:rPr>
        <w:sz w:val="18"/>
        <w:szCs w:val="1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C482E"/>
    <w:multiLevelType w:val="hybridMultilevel"/>
    <w:tmpl w:val="AACE47A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9"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84601"/>
    <w:multiLevelType w:val="hybridMultilevel"/>
    <w:tmpl w:val="755CB262"/>
    <w:lvl w:ilvl="0" w:tplc="F54ADFC6">
      <w:start w:val="1"/>
      <w:numFmt w:val="lowerLetter"/>
      <w:lvlText w:val="%1)"/>
      <w:lvlJc w:val="left"/>
      <w:pPr>
        <w:ind w:left="1287" w:hanging="360"/>
      </w:pPr>
      <w:rPr>
        <w:sz w:val="18"/>
        <w:szCs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F57552F"/>
    <w:multiLevelType w:val="hybridMultilevel"/>
    <w:tmpl w:val="56BE215E"/>
    <w:lvl w:ilvl="0" w:tplc="68C02778">
      <w:start w:val="1"/>
      <w:numFmt w:val="lowerLetter"/>
      <w:lvlText w:val="%1)"/>
      <w:lvlJc w:val="left"/>
      <w:pPr>
        <w:ind w:left="1287" w:hanging="360"/>
      </w:pPr>
      <w:rPr>
        <w:sz w:val="18"/>
        <w:szCs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36D0E67"/>
    <w:multiLevelType w:val="hybridMultilevel"/>
    <w:tmpl w:val="548838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4" w15:restartNumberingAfterBreak="0">
    <w:nsid w:val="3A3D018D"/>
    <w:multiLevelType w:val="hybridMultilevel"/>
    <w:tmpl w:val="6FEA060E"/>
    <w:lvl w:ilvl="0" w:tplc="C3EE2FF0">
      <w:start w:val="1"/>
      <w:numFmt w:val="lowerLetter"/>
      <w:lvlText w:val="%1)"/>
      <w:lvlJc w:val="left"/>
      <w:pPr>
        <w:ind w:left="1287" w:hanging="360"/>
      </w:pPr>
      <w:rPr>
        <w:sz w:val="18"/>
        <w:szCs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3067D2F"/>
    <w:multiLevelType w:val="hybridMultilevel"/>
    <w:tmpl w:val="E188A6D8"/>
    <w:lvl w:ilvl="0" w:tplc="41F499A8">
      <w:start w:val="1"/>
      <w:numFmt w:val="lowerLetter"/>
      <w:lvlText w:val="%1)"/>
      <w:lvlJc w:val="left"/>
      <w:pPr>
        <w:ind w:left="720" w:hanging="360"/>
      </w:pPr>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30257"/>
    <w:multiLevelType w:val="hybridMultilevel"/>
    <w:tmpl w:val="715C5E80"/>
    <w:lvl w:ilvl="0" w:tplc="EF622068">
      <w:start w:val="1"/>
      <w:numFmt w:val="lowerLetter"/>
      <w:lvlText w:val="%1)"/>
      <w:lvlJc w:val="left"/>
      <w:pPr>
        <w:ind w:left="1287" w:hanging="360"/>
      </w:pPr>
      <w:rPr>
        <w:sz w:val="18"/>
        <w:szCs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E914462"/>
    <w:multiLevelType w:val="hybridMultilevel"/>
    <w:tmpl w:val="25046990"/>
    <w:lvl w:ilvl="0" w:tplc="31BA363A">
      <w:start w:val="1"/>
      <w:numFmt w:val="decimal"/>
      <w:lvlText w:val="A%1"/>
      <w:lvlJc w:val="left"/>
      <w:pPr>
        <w:ind w:left="1778" w:hanging="360"/>
      </w:pPr>
      <w:rPr>
        <w:rFonts w:ascii="Roboto UKEB" w:hAnsi="Roboto UKEB" w:hint="default"/>
        <w:color w:val="auto"/>
        <w:sz w:val="22"/>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56D57282"/>
    <w:multiLevelType w:val="hybridMultilevel"/>
    <w:tmpl w:val="F6A0DBFE"/>
    <w:lvl w:ilvl="0" w:tplc="2556B13C">
      <w:start w:val="1"/>
      <w:numFmt w:val="lowerLetter"/>
      <w:lvlText w:val="%1)"/>
      <w:lvlJc w:val="left"/>
      <w:pPr>
        <w:ind w:left="1287" w:hanging="360"/>
      </w:pPr>
      <w:rPr>
        <w:sz w:val="18"/>
        <w:szCs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643500A8"/>
    <w:multiLevelType w:val="hybridMultilevel"/>
    <w:tmpl w:val="DA08DE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F7844438">
      <w:start w:val="1"/>
      <w:numFmt w:val="lowerRoman"/>
      <w:lvlText w:val="(%3)"/>
      <w:lvlJc w:val="left"/>
      <w:pPr>
        <w:ind w:left="2160" w:hanging="180"/>
      </w:pPr>
      <w:rPr>
        <w:rFonts w:cs="Times New Roman" w:hint="default"/>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DD300A"/>
    <w:multiLevelType w:val="hybridMultilevel"/>
    <w:tmpl w:val="2AB02046"/>
    <w:lvl w:ilvl="0" w:tplc="6C78C3EE">
      <w:start w:val="1"/>
      <w:numFmt w:val="lowerLetter"/>
      <w:lvlText w:val="%1)"/>
      <w:lvlJc w:val="left"/>
      <w:pPr>
        <w:ind w:left="1287" w:hanging="360"/>
      </w:pPr>
      <w:rPr>
        <w:sz w:val="18"/>
        <w:szCs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71414ED"/>
    <w:multiLevelType w:val="hybridMultilevel"/>
    <w:tmpl w:val="0CB012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7B477AF"/>
    <w:multiLevelType w:val="hybridMultilevel"/>
    <w:tmpl w:val="8C16C49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86C0E7C"/>
    <w:multiLevelType w:val="hybridMultilevel"/>
    <w:tmpl w:val="85324E42"/>
    <w:lvl w:ilvl="0" w:tplc="A462E9DA">
      <w:start w:val="1"/>
      <w:numFmt w:val="lowerLetter"/>
      <w:lvlText w:val="%1)"/>
      <w:lvlJc w:val="left"/>
      <w:pPr>
        <w:ind w:left="1287" w:hanging="360"/>
      </w:pPr>
      <w:rPr>
        <w:sz w:val="18"/>
        <w:szCs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9335B2B"/>
    <w:multiLevelType w:val="hybridMultilevel"/>
    <w:tmpl w:val="CA00F526"/>
    <w:lvl w:ilvl="0" w:tplc="63983758">
      <w:start w:val="1"/>
      <w:numFmt w:val="lowerLetter"/>
      <w:lvlText w:val="%1)"/>
      <w:lvlJc w:val="left"/>
      <w:pPr>
        <w:ind w:left="720" w:hanging="360"/>
      </w:pPr>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6"/>
  </w:num>
  <w:num w:numId="9">
    <w:abstractNumId w:val="9"/>
  </w:num>
  <w:num w:numId="10">
    <w:abstractNumId w:val="5"/>
  </w:num>
  <w:num w:numId="11">
    <w:abstractNumId w:val="3"/>
  </w:num>
  <w:num w:numId="12">
    <w:abstractNumId w:val="3"/>
  </w:num>
  <w:num w:numId="13">
    <w:abstractNumId w:val="3"/>
  </w:num>
  <w:num w:numId="14">
    <w:abstractNumId w:val="3"/>
  </w:num>
  <w:num w:numId="15">
    <w:abstractNumId w:val="3"/>
  </w:num>
  <w:num w:numId="16">
    <w:abstractNumId w:val="0"/>
  </w:num>
  <w:num w:numId="17">
    <w:abstractNumId w:val="13"/>
  </w:num>
  <w:num w:numId="18">
    <w:abstractNumId w:val="8"/>
  </w:num>
  <w:num w:numId="19">
    <w:abstractNumId w:val="2"/>
  </w:num>
  <w:num w:numId="20">
    <w:abstractNumId w:val="12"/>
  </w:num>
  <w:num w:numId="21">
    <w:abstractNumId w:val="7"/>
  </w:num>
  <w:num w:numId="22">
    <w:abstractNumId w:val="4"/>
  </w:num>
  <w:num w:numId="23">
    <w:abstractNumId w:val="19"/>
  </w:num>
  <w:num w:numId="24">
    <w:abstractNumId w:val="21"/>
  </w:num>
  <w:num w:numId="25">
    <w:abstractNumId w:val="23"/>
  </w:num>
  <w:num w:numId="26">
    <w:abstractNumId w:val="10"/>
  </w:num>
  <w:num w:numId="27">
    <w:abstractNumId w:val="1"/>
  </w:num>
  <w:num w:numId="28">
    <w:abstractNumId w:val="18"/>
  </w:num>
  <w:num w:numId="29">
    <w:abstractNumId w:val="22"/>
  </w:num>
  <w:num w:numId="30">
    <w:abstractNumId w:val="20"/>
  </w:num>
  <w:num w:numId="31">
    <w:abstractNumId w:val="16"/>
  </w:num>
  <w:num w:numId="32">
    <w:abstractNumId w:val="11"/>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4"/>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0EB2"/>
    <w:rsid w:val="00007F1C"/>
    <w:rsid w:val="00011DF8"/>
    <w:rsid w:val="000130C7"/>
    <w:rsid w:val="00014733"/>
    <w:rsid w:val="00017C38"/>
    <w:rsid w:val="000339DD"/>
    <w:rsid w:val="000350B8"/>
    <w:rsid w:val="00042445"/>
    <w:rsid w:val="00042CC4"/>
    <w:rsid w:val="000467E8"/>
    <w:rsid w:val="000537C5"/>
    <w:rsid w:val="00054277"/>
    <w:rsid w:val="00062509"/>
    <w:rsid w:val="000637A2"/>
    <w:rsid w:val="00065807"/>
    <w:rsid w:val="00070A18"/>
    <w:rsid w:val="00071B3C"/>
    <w:rsid w:val="00073C45"/>
    <w:rsid w:val="00077F36"/>
    <w:rsid w:val="00083BAA"/>
    <w:rsid w:val="00091651"/>
    <w:rsid w:val="00096131"/>
    <w:rsid w:val="000A5A39"/>
    <w:rsid w:val="000B2566"/>
    <w:rsid w:val="000C3128"/>
    <w:rsid w:val="000C5623"/>
    <w:rsid w:val="000D2595"/>
    <w:rsid w:val="000D4790"/>
    <w:rsid w:val="000D7B45"/>
    <w:rsid w:val="000E1D4B"/>
    <w:rsid w:val="000E2CD6"/>
    <w:rsid w:val="000E5896"/>
    <w:rsid w:val="000F6F7B"/>
    <w:rsid w:val="00106E76"/>
    <w:rsid w:val="00122CF2"/>
    <w:rsid w:val="001376FF"/>
    <w:rsid w:val="00141BDB"/>
    <w:rsid w:val="001545DD"/>
    <w:rsid w:val="00160ADC"/>
    <w:rsid w:val="00165602"/>
    <w:rsid w:val="00170DF0"/>
    <w:rsid w:val="00173043"/>
    <w:rsid w:val="0017409E"/>
    <w:rsid w:val="0017413F"/>
    <w:rsid w:val="001766D6"/>
    <w:rsid w:val="00184210"/>
    <w:rsid w:val="001A62F9"/>
    <w:rsid w:val="001B6D1C"/>
    <w:rsid w:val="001C0E57"/>
    <w:rsid w:val="001C717B"/>
    <w:rsid w:val="001C7E4B"/>
    <w:rsid w:val="001E1316"/>
    <w:rsid w:val="001E2503"/>
    <w:rsid w:val="001F0953"/>
    <w:rsid w:val="00201DCE"/>
    <w:rsid w:val="00204F5C"/>
    <w:rsid w:val="00205BAA"/>
    <w:rsid w:val="00222C0F"/>
    <w:rsid w:val="00224485"/>
    <w:rsid w:val="00225527"/>
    <w:rsid w:val="002321FD"/>
    <w:rsid w:val="002470BF"/>
    <w:rsid w:val="002565FA"/>
    <w:rsid w:val="00256EBF"/>
    <w:rsid w:val="0026098A"/>
    <w:rsid w:val="002610B8"/>
    <w:rsid w:val="0026243D"/>
    <w:rsid w:val="002816F2"/>
    <w:rsid w:val="00294070"/>
    <w:rsid w:val="0029683C"/>
    <w:rsid w:val="002B4564"/>
    <w:rsid w:val="002C003A"/>
    <w:rsid w:val="002C2074"/>
    <w:rsid w:val="002E296E"/>
    <w:rsid w:val="002E2AB9"/>
    <w:rsid w:val="002F09FC"/>
    <w:rsid w:val="002F2777"/>
    <w:rsid w:val="002F73E0"/>
    <w:rsid w:val="00300DCC"/>
    <w:rsid w:val="003022D8"/>
    <w:rsid w:val="003036B1"/>
    <w:rsid w:val="00305120"/>
    <w:rsid w:val="00317F5C"/>
    <w:rsid w:val="00326BFE"/>
    <w:rsid w:val="00330806"/>
    <w:rsid w:val="00332C68"/>
    <w:rsid w:val="0033581C"/>
    <w:rsid w:val="003373CD"/>
    <w:rsid w:val="00340425"/>
    <w:rsid w:val="00342D05"/>
    <w:rsid w:val="00346582"/>
    <w:rsid w:val="00352AEA"/>
    <w:rsid w:val="0035525F"/>
    <w:rsid w:val="00356532"/>
    <w:rsid w:val="00356F50"/>
    <w:rsid w:val="0037066C"/>
    <w:rsid w:val="00374677"/>
    <w:rsid w:val="00377E24"/>
    <w:rsid w:val="00386DC6"/>
    <w:rsid w:val="00393ACD"/>
    <w:rsid w:val="003A0A63"/>
    <w:rsid w:val="003A13ED"/>
    <w:rsid w:val="003A4FAA"/>
    <w:rsid w:val="003B1BE7"/>
    <w:rsid w:val="003B1E26"/>
    <w:rsid w:val="003C4F19"/>
    <w:rsid w:val="003D3DB7"/>
    <w:rsid w:val="003D5EAF"/>
    <w:rsid w:val="003D6D20"/>
    <w:rsid w:val="003E24DF"/>
    <w:rsid w:val="003E5AFD"/>
    <w:rsid w:val="003E6823"/>
    <w:rsid w:val="003F107E"/>
    <w:rsid w:val="003F14BF"/>
    <w:rsid w:val="003F17B1"/>
    <w:rsid w:val="003F36EA"/>
    <w:rsid w:val="003F7426"/>
    <w:rsid w:val="00416A43"/>
    <w:rsid w:val="0042279B"/>
    <w:rsid w:val="004259ED"/>
    <w:rsid w:val="00454CEC"/>
    <w:rsid w:val="00463B30"/>
    <w:rsid w:val="004664C2"/>
    <w:rsid w:val="004A2B0D"/>
    <w:rsid w:val="004A53BB"/>
    <w:rsid w:val="004B438F"/>
    <w:rsid w:val="004C350B"/>
    <w:rsid w:val="004C63E9"/>
    <w:rsid w:val="004D6B99"/>
    <w:rsid w:val="004E4BA6"/>
    <w:rsid w:val="004E4DC3"/>
    <w:rsid w:val="004F068F"/>
    <w:rsid w:val="004F1980"/>
    <w:rsid w:val="004F4DE0"/>
    <w:rsid w:val="00503809"/>
    <w:rsid w:val="00515FD6"/>
    <w:rsid w:val="00522184"/>
    <w:rsid w:val="00541587"/>
    <w:rsid w:val="0054678B"/>
    <w:rsid w:val="00564809"/>
    <w:rsid w:val="0056754C"/>
    <w:rsid w:val="00572693"/>
    <w:rsid w:val="00574B44"/>
    <w:rsid w:val="00587F95"/>
    <w:rsid w:val="00595592"/>
    <w:rsid w:val="005A4CC6"/>
    <w:rsid w:val="005B3E79"/>
    <w:rsid w:val="005C2210"/>
    <w:rsid w:val="005C30A1"/>
    <w:rsid w:val="005C6E3B"/>
    <w:rsid w:val="005D03E7"/>
    <w:rsid w:val="005E7AC8"/>
    <w:rsid w:val="005F3B8E"/>
    <w:rsid w:val="005F699A"/>
    <w:rsid w:val="005F7682"/>
    <w:rsid w:val="006036AF"/>
    <w:rsid w:val="00615018"/>
    <w:rsid w:val="006151F6"/>
    <w:rsid w:val="0062123A"/>
    <w:rsid w:val="0062488F"/>
    <w:rsid w:val="00624982"/>
    <w:rsid w:val="006372AF"/>
    <w:rsid w:val="00637C04"/>
    <w:rsid w:val="00642052"/>
    <w:rsid w:val="006447F3"/>
    <w:rsid w:val="00644F59"/>
    <w:rsid w:val="00646E75"/>
    <w:rsid w:val="006523C6"/>
    <w:rsid w:val="00662118"/>
    <w:rsid w:val="00667611"/>
    <w:rsid w:val="006731AB"/>
    <w:rsid w:val="0068083C"/>
    <w:rsid w:val="00681E75"/>
    <w:rsid w:val="006834E6"/>
    <w:rsid w:val="006838C2"/>
    <w:rsid w:val="006846A0"/>
    <w:rsid w:val="006870C9"/>
    <w:rsid w:val="006960C5"/>
    <w:rsid w:val="00696C8E"/>
    <w:rsid w:val="006A075F"/>
    <w:rsid w:val="006A1CCD"/>
    <w:rsid w:val="006A35B3"/>
    <w:rsid w:val="006A383D"/>
    <w:rsid w:val="006B16A8"/>
    <w:rsid w:val="006B705D"/>
    <w:rsid w:val="006B7ED7"/>
    <w:rsid w:val="006B7FF0"/>
    <w:rsid w:val="006C0CC2"/>
    <w:rsid w:val="006C5AFC"/>
    <w:rsid w:val="006D0442"/>
    <w:rsid w:val="006D253D"/>
    <w:rsid w:val="006F0A16"/>
    <w:rsid w:val="006F0EE6"/>
    <w:rsid w:val="006F2325"/>
    <w:rsid w:val="006F6F10"/>
    <w:rsid w:val="00702C2B"/>
    <w:rsid w:val="007051CB"/>
    <w:rsid w:val="00713EFC"/>
    <w:rsid w:val="007217A0"/>
    <w:rsid w:val="00723BA6"/>
    <w:rsid w:val="00737F23"/>
    <w:rsid w:val="00743683"/>
    <w:rsid w:val="007547CC"/>
    <w:rsid w:val="00765BD2"/>
    <w:rsid w:val="00770153"/>
    <w:rsid w:val="00772F90"/>
    <w:rsid w:val="007754FD"/>
    <w:rsid w:val="00775F3B"/>
    <w:rsid w:val="007819A5"/>
    <w:rsid w:val="00783E79"/>
    <w:rsid w:val="00785099"/>
    <w:rsid w:val="0078590C"/>
    <w:rsid w:val="007859F9"/>
    <w:rsid w:val="0079073D"/>
    <w:rsid w:val="00792B5B"/>
    <w:rsid w:val="007A014D"/>
    <w:rsid w:val="007A0216"/>
    <w:rsid w:val="007A7DD1"/>
    <w:rsid w:val="007B069E"/>
    <w:rsid w:val="007B2926"/>
    <w:rsid w:val="007B5AE8"/>
    <w:rsid w:val="007B5E67"/>
    <w:rsid w:val="007C0B4C"/>
    <w:rsid w:val="007D3CD1"/>
    <w:rsid w:val="007E59F0"/>
    <w:rsid w:val="007E7E22"/>
    <w:rsid w:val="007F5192"/>
    <w:rsid w:val="00803C97"/>
    <w:rsid w:val="00804C75"/>
    <w:rsid w:val="008058B2"/>
    <w:rsid w:val="00807B15"/>
    <w:rsid w:val="0081163C"/>
    <w:rsid w:val="00817FB2"/>
    <w:rsid w:val="00820CEF"/>
    <w:rsid w:val="00820EB6"/>
    <w:rsid w:val="00821042"/>
    <w:rsid w:val="00832B65"/>
    <w:rsid w:val="0084408D"/>
    <w:rsid w:val="008507B6"/>
    <w:rsid w:val="0085357E"/>
    <w:rsid w:val="008549E7"/>
    <w:rsid w:val="008550C5"/>
    <w:rsid w:val="00857B16"/>
    <w:rsid w:val="00863029"/>
    <w:rsid w:val="008733B0"/>
    <w:rsid w:val="00874F57"/>
    <w:rsid w:val="0088592F"/>
    <w:rsid w:val="00890429"/>
    <w:rsid w:val="008932FD"/>
    <w:rsid w:val="00896797"/>
    <w:rsid w:val="00897F4A"/>
    <w:rsid w:val="008A0CDB"/>
    <w:rsid w:val="008B0858"/>
    <w:rsid w:val="008B7FD5"/>
    <w:rsid w:val="008C16ED"/>
    <w:rsid w:val="008C1FDA"/>
    <w:rsid w:val="008C4384"/>
    <w:rsid w:val="008D3D2C"/>
    <w:rsid w:val="008E0089"/>
    <w:rsid w:val="008E6185"/>
    <w:rsid w:val="00903D5D"/>
    <w:rsid w:val="00904955"/>
    <w:rsid w:val="00910042"/>
    <w:rsid w:val="00916B3F"/>
    <w:rsid w:val="00921DDF"/>
    <w:rsid w:val="0092549F"/>
    <w:rsid w:val="0093131A"/>
    <w:rsid w:val="00932380"/>
    <w:rsid w:val="00936565"/>
    <w:rsid w:val="00945334"/>
    <w:rsid w:val="00956B97"/>
    <w:rsid w:val="00966046"/>
    <w:rsid w:val="00966EB9"/>
    <w:rsid w:val="00967447"/>
    <w:rsid w:val="00967567"/>
    <w:rsid w:val="009731A8"/>
    <w:rsid w:val="009757A4"/>
    <w:rsid w:val="0098058B"/>
    <w:rsid w:val="0098560E"/>
    <w:rsid w:val="009926D6"/>
    <w:rsid w:val="009A25AC"/>
    <w:rsid w:val="009B132D"/>
    <w:rsid w:val="009B1755"/>
    <w:rsid w:val="009C51E5"/>
    <w:rsid w:val="009D0A43"/>
    <w:rsid w:val="009D148C"/>
    <w:rsid w:val="009E462F"/>
    <w:rsid w:val="009F0320"/>
    <w:rsid w:val="00A00729"/>
    <w:rsid w:val="00A01DAC"/>
    <w:rsid w:val="00A25AD2"/>
    <w:rsid w:val="00A31726"/>
    <w:rsid w:val="00A3502B"/>
    <w:rsid w:val="00A40B7B"/>
    <w:rsid w:val="00A55967"/>
    <w:rsid w:val="00A630C3"/>
    <w:rsid w:val="00A65AD5"/>
    <w:rsid w:val="00A6732A"/>
    <w:rsid w:val="00A70002"/>
    <w:rsid w:val="00A73715"/>
    <w:rsid w:val="00A742A3"/>
    <w:rsid w:val="00A80357"/>
    <w:rsid w:val="00A84197"/>
    <w:rsid w:val="00A85073"/>
    <w:rsid w:val="00A8633B"/>
    <w:rsid w:val="00A8726D"/>
    <w:rsid w:val="00A876ED"/>
    <w:rsid w:val="00A95536"/>
    <w:rsid w:val="00A96CF8"/>
    <w:rsid w:val="00AA3F63"/>
    <w:rsid w:val="00AA6A50"/>
    <w:rsid w:val="00AB3827"/>
    <w:rsid w:val="00AC304F"/>
    <w:rsid w:val="00AD1FFD"/>
    <w:rsid w:val="00AD330B"/>
    <w:rsid w:val="00AD49AA"/>
    <w:rsid w:val="00AE01CE"/>
    <w:rsid w:val="00AE51B7"/>
    <w:rsid w:val="00AF0571"/>
    <w:rsid w:val="00AF36C7"/>
    <w:rsid w:val="00B00049"/>
    <w:rsid w:val="00B03BC8"/>
    <w:rsid w:val="00B17F05"/>
    <w:rsid w:val="00B321AC"/>
    <w:rsid w:val="00B41AA4"/>
    <w:rsid w:val="00B50294"/>
    <w:rsid w:val="00B50583"/>
    <w:rsid w:val="00B53BF8"/>
    <w:rsid w:val="00B71CFD"/>
    <w:rsid w:val="00B73900"/>
    <w:rsid w:val="00B77AD9"/>
    <w:rsid w:val="00B86A4A"/>
    <w:rsid w:val="00BA05F3"/>
    <w:rsid w:val="00BA5458"/>
    <w:rsid w:val="00BB579D"/>
    <w:rsid w:val="00BC01BE"/>
    <w:rsid w:val="00BC20EE"/>
    <w:rsid w:val="00BC3E28"/>
    <w:rsid w:val="00BE0656"/>
    <w:rsid w:val="00BE4917"/>
    <w:rsid w:val="00BE5DC3"/>
    <w:rsid w:val="00BF0BE9"/>
    <w:rsid w:val="00C0638D"/>
    <w:rsid w:val="00C10223"/>
    <w:rsid w:val="00C175B3"/>
    <w:rsid w:val="00C22187"/>
    <w:rsid w:val="00C4722D"/>
    <w:rsid w:val="00C47267"/>
    <w:rsid w:val="00C539B0"/>
    <w:rsid w:val="00C60D2A"/>
    <w:rsid w:val="00C62816"/>
    <w:rsid w:val="00C65F51"/>
    <w:rsid w:val="00C664CF"/>
    <w:rsid w:val="00C665CF"/>
    <w:rsid w:val="00C70786"/>
    <w:rsid w:val="00C70B15"/>
    <w:rsid w:val="00C8222A"/>
    <w:rsid w:val="00C84D63"/>
    <w:rsid w:val="00C858B4"/>
    <w:rsid w:val="00C85BEE"/>
    <w:rsid w:val="00C919F5"/>
    <w:rsid w:val="00C91EF1"/>
    <w:rsid w:val="00CA3970"/>
    <w:rsid w:val="00CA4120"/>
    <w:rsid w:val="00CB6471"/>
    <w:rsid w:val="00CC053E"/>
    <w:rsid w:val="00CC550A"/>
    <w:rsid w:val="00CD62B4"/>
    <w:rsid w:val="00CD6E68"/>
    <w:rsid w:val="00CE039A"/>
    <w:rsid w:val="00CE1274"/>
    <w:rsid w:val="00CE12A5"/>
    <w:rsid w:val="00CF4E89"/>
    <w:rsid w:val="00D04658"/>
    <w:rsid w:val="00D05A46"/>
    <w:rsid w:val="00D064C7"/>
    <w:rsid w:val="00D11589"/>
    <w:rsid w:val="00D12B8C"/>
    <w:rsid w:val="00D17D08"/>
    <w:rsid w:val="00D217A2"/>
    <w:rsid w:val="00D21907"/>
    <w:rsid w:val="00D24E69"/>
    <w:rsid w:val="00D301FB"/>
    <w:rsid w:val="00D45945"/>
    <w:rsid w:val="00D50198"/>
    <w:rsid w:val="00D50AE8"/>
    <w:rsid w:val="00D52EE6"/>
    <w:rsid w:val="00D66593"/>
    <w:rsid w:val="00D7204B"/>
    <w:rsid w:val="00D80033"/>
    <w:rsid w:val="00DA4BFB"/>
    <w:rsid w:val="00DA60C2"/>
    <w:rsid w:val="00DA79AD"/>
    <w:rsid w:val="00DA7A8F"/>
    <w:rsid w:val="00DB15C6"/>
    <w:rsid w:val="00DD3F77"/>
    <w:rsid w:val="00DD71BE"/>
    <w:rsid w:val="00DD7AB6"/>
    <w:rsid w:val="00DE691C"/>
    <w:rsid w:val="00DF0640"/>
    <w:rsid w:val="00E021BC"/>
    <w:rsid w:val="00E0575B"/>
    <w:rsid w:val="00E14A80"/>
    <w:rsid w:val="00E15AFC"/>
    <w:rsid w:val="00E16285"/>
    <w:rsid w:val="00E24FD6"/>
    <w:rsid w:val="00E2552E"/>
    <w:rsid w:val="00E33492"/>
    <w:rsid w:val="00E3412A"/>
    <w:rsid w:val="00E35766"/>
    <w:rsid w:val="00E45431"/>
    <w:rsid w:val="00E45784"/>
    <w:rsid w:val="00E473A3"/>
    <w:rsid w:val="00E50131"/>
    <w:rsid w:val="00E54410"/>
    <w:rsid w:val="00E55D74"/>
    <w:rsid w:val="00E6540C"/>
    <w:rsid w:val="00E76275"/>
    <w:rsid w:val="00E81E2A"/>
    <w:rsid w:val="00E82C1B"/>
    <w:rsid w:val="00EA3751"/>
    <w:rsid w:val="00EC4467"/>
    <w:rsid w:val="00EE0952"/>
    <w:rsid w:val="00EF37C5"/>
    <w:rsid w:val="00EF455F"/>
    <w:rsid w:val="00F01E5B"/>
    <w:rsid w:val="00F03855"/>
    <w:rsid w:val="00F147C4"/>
    <w:rsid w:val="00F2754C"/>
    <w:rsid w:val="00F45C5B"/>
    <w:rsid w:val="00F51E60"/>
    <w:rsid w:val="00F53050"/>
    <w:rsid w:val="00F53B34"/>
    <w:rsid w:val="00F64CE6"/>
    <w:rsid w:val="00F65C7E"/>
    <w:rsid w:val="00F75778"/>
    <w:rsid w:val="00FA4057"/>
    <w:rsid w:val="00FB081C"/>
    <w:rsid w:val="00FC3FE9"/>
    <w:rsid w:val="00FC7ACE"/>
    <w:rsid w:val="00FD3754"/>
    <w:rsid w:val="00FE010E"/>
    <w:rsid w:val="00FE0F43"/>
    <w:rsid w:val="00FF605E"/>
    <w:rsid w:val="06135CD9"/>
    <w:rsid w:val="07FB5B35"/>
    <w:rsid w:val="0F2141D5"/>
    <w:rsid w:val="147EED96"/>
    <w:rsid w:val="17701BB9"/>
    <w:rsid w:val="18AEFBBE"/>
    <w:rsid w:val="2B99828D"/>
    <w:rsid w:val="3C4678EE"/>
    <w:rsid w:val="3CFF9EB4"/>
    <w:rsid w:val="4645B244"/>
    <w:rsid w:val="4A5E29D6"/>
    <w:rsid w:val="5964ED6E"/>
    <w:rsid w:val="63B8D7EC"/>
    <w:rsid w:val="64219F28"/>
    <w:rsid w:val="6C1506F4"/>
    <w:rsid w:val="772EE9F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uiPriority w:val="59"/>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dorsement-board.uk/regulatory-assets-and-regulatory-liabilitie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6259068F-E8F2-41B5-803A-64B07F08841D}"/>
</file>

<file path=customXml/itemProps3.xml><?xml version="1.0" encoding="utf-8"?>
<ds:datastoreItem xmlns:ds="http://schemas.openxmlformats.org/officeDocument/2006/customXml" ds:itemID="{00FB074C-8248-4BB6-B568-30EEB679B3FE}"/>
</file>

<file path=customXml/itemProps4.xml><?xml version="1.0" encoding="utf-8"?>
<ds:datastoreItem xmlns:ds="http://schemas.openxmlformats.org/officeDocument/2006/customXml" ds:itemID="{9A6375C0-ACF7-4AFB-89D0-92376F47A19B}"/>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2021-07-13T16:02:00Z</dcterms:created>
  <dcterms:modified xsi:type="dcterms:W3CDTF">2021-07-13T16:02:00Z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