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D85C3" w14:textId="77777777" w:rsidR="0085042C" w:rsidRDefault="00D73F88">
      <w:pPr>
        <w:pStyle w:val="Default"/>
      </w:pPr>
      <w:r>
        <w:rPr>
          <w:noProof/>
        </w:rPr>
        <w:drawing>
          <wp:inline distT="0" distB="0" distL="0" distR="0" wp14:anchorId="20406005" wp14:editId="60B069B2">
            <wp:extent cx="97155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160D4" w14:textId="77777777" w:rsidR="0085042C" w:rsidRPr="00AA7101" w:rsidRDefault="002A05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POLÍTICA ANTICORRUPCIÓN GLOBAL DE PPG</w:t>
      </w:r>
    </w:p>
    <w:p w14:paraId="7E3CA0CB" w14:textId="77777777" w:rsidR="0085042C" w:rsidRDefault="0085042C">
      <w:pPr>
        <w:pStyle w:val="Default"/>
        <w:rPr>
          <w:sz w:val="23"/>
          <w:szCs w:val="23"/>
        </w:rPr>
      </w:pPr>
    </w:p>
    <w:p w14:paraId="76F18EA5" w14:textId="77777777" w:rsidR="0085042C" w:rsidRDefault="002A0565" w:rsidP="00AA7101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Introducción</w:t>
      </w:r>
    </w:p>
    <w:p w14:paraId="2BFA365F" w14:textId="77777777" w:rsidR="001B70A7" w:rsidRPr="003F5BF6" w:rsidRDefault="001B70A7" w:rsidP="00AA7101">
      <w:pPr>
        <w:pStyle w:val="Default"/>
        <w:jc w:val="center"/>
        <w:rPr>
          <w:b/>
          <w:sz w:val="22"/>
          <w:szCs w:val="22"/>
          <w:u w:val="single"/>
        </w:rPr>
      </w:pPr>
    </w:p>
    <w:p w14:paraId="390499AD" w14:textId="27E590B6" w:rsidR="0085042C" w:rsidRDefault="002A056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PPG es una empresa internacional que opera en más de 70 países y debe cumplir con una serie de leyes y regulaciones. Entre las leyes y regulaciones más importantes se encuentran las que rigen el soborno y la corrupción.</w:t>
      </w:r>
    </w:p>
    <w:p w14:paraId="00886069" w14:textId="77777777" w:rsidR="0085042C" w:rsidRDefault="002A056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</w:p>
    <w:p w14:paraId="0AE75877" w14:textId="0219685D" w:rsidR="0085042C" w:rsidRDefault="00D6632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Teniendo en cuenta</w:t>
      </w:r>
      <w:r w:rsidR="002A0565">
        <w:rPr>
          <w:rFonts w:asciiTheme="minorHAnsi" w:hAnsiTheme="minorHAnsi"/>
          <w:sz w:val="22"/>
          <w:szCs w:val="22"/>
        </w:rPr>
        <w:t xml:space="preserve"> estos requisitos, y </w:t>
      </w:r>
      <w:r>
        <w:rPr>
          <w:rFonts w:asciiTheme="minorHAnsi" w:hAnsiTheme="minorHAnsi"/>
          <w:sz w:val="22"/>
          <w:szCs w:val="22"/>
        </w:rPr>
        <w:t>para</w:t>
      </w:r>
      <w:r w:rsidR="002A0565">
        <w:rPr>
          <w:rFonts w:asciiTheme="minorHAnsi" w:hAnsiTheme="minorHAnsi"/>
          <w:sz w:val="22"/>
          <w:szCs w:val="22"/>
        </w:rPr>
        <w:t xml:space="preserve"> hacer énfasis en su compromiso de actuar con integridad y en contra de la corrupción tal como se describe en su </w:t>
      </w:r>
      <w:hyperlink r:id="rId11" w:history="1">
        <w:r w:rsidR="002A0565">
          <w:rPr>
            <w:rStyle w:val="Hipervnculo"/>
            <w:rFonts w:asciiTheme="minorHAnsi" w:hAnsiTheme="minorHAnsi"/>
            <w:sz w:val="22"/>
            <w:szCs w:val="22"/>
          </w:rPr>
          <w:t>Código de Ética Global</w:t>
        </w:r>
      </w:hyperlink>
      <w:r w:rsidR="002A0565">
        <w:rPr>
          <w:rFonts w:asciiTheme="minorHAnsi" w:hAnsiTheme="minorHAnsi"/>
          <w:sz w:val="22"/>
          <w:szCs w:val="22"/>
        </w:rPr>
        <w:t xml:space="preserve"> (“Código”)</w:t>
      </w:r>
      <w:r w:rsidR="002A0565">
        <w:t xml:space="preserve"> </w:t>
      </w:r>
      <w:r w:rsidR="002A0565">
        <w:rPr>
          <w:rFonts w:asciiTheme="minorHAnsi" w:hAnsiTheme="minorHAnsi"/>
          <w:sz w:val="22"/>
          <w:szCs w:val="22"/>
        </w:rPr>
        <w:t xml:space="preserve">, PPG tiene una Política Anticorrupción Global (“Política”). La Política se aplica a PPG Industries, Inc. (“PPG”) y a las subsidiarias de todo el mundo controladas por </w:t>
      </w:r>
      <w:r>
        <w:rPr>
          <w:rFonts w:asciiTheme="minorHAnsi" w:hAnsiTheme="minorHAnsi"/>
          <w:sz w:val="22"/>
          <w:szCs w:val="22"/>
        </w:rPr>
        <w:t>ella</w:t>
      </w:r>
      <w:r w:rsidR="002A0565">
        <w:rPr>
          <w:rFonts w:asciiTheme="minorHAnsi" w:hAnsiTheme="minorHAnsi"/>
          <w:sz w:val="22"/>
          <w:szCs w:val="22"/>
        </w:rPr>
        <w:t xml:space="preserve"> o de propiedad absoluta de la misma. Esta Política se creó sobre la base de nuestro Código a fin de reforzar el número cada vez mayor de estándares y principios que rigen nuestra conducta para adaptarnos a las rigurosas leyes </w:t>
      </w:r>
      <w:proofErr w:type="spellStart"/>
      <w:r w:rsidR="002A0565">
        <w:rPr>
          <w:rFonts w:asciiTheme="minorHAnsi" w:hAnsiTheme="minorHAnsi"/>
          <w:sz w:val="22"/>
          <w:szCs w:val="22"/>
        </w:rPr>
        <w:t>antisoborno</w:t>
      </w:r>
      <w:proofErr w:type="spellEnd"/>
      <w:r w:rsidR="002A0565">
        <w:rPr>
          <w:rFonts w:asciiTheme="minorHAnsi" w:hAnsiTheme="minorHAnsi"/>
          <w:sz w:val="22"/>
          <w:szCs w:val="22"/>
        </w:rPr>
        <w:t xml:space="preserve"> y anticorrupción </w:t>
      </w:r>
      <w:r>
        <w:rPr>
          <w:rFonts w:asciiTheme="minorHAnsi" w:hAnsiTheme="minorHAnsi"/>
          <w:sz w:val="22"/>
          <w:szCs w:val="22"/>
        </w:rPr>
        <w:t>vigentes</w:t>
      </w:r>
      <w:r w:rsidR="002A0565">
        <w:rPr>
          <w:rFonts w:asciiTheme="minorHAnsi" w:hAnsiTheme="minorHAnsi"/>
          <w:sz w:val="22"/>
          <w:szCs w:val="22"/>
        </w:rPr>
        <w:t xml:space="preserve"> en todo el mundo. </w:t>
      </w:r>
    </w:p>
    <w:p w14:paraId="6839892C" w14:textId="77777777" w:rsidR="0085042C" w:rsidRDefault="0085042C">
      <w:pPr>
        <w:pStyle w:val="Default"/>
        <w:rPr>
          <w:rFonts w:asciiTheme="minorHAnsi" w:hAnsiTheme="minorHAnsi"/>
          <w:sz w:val="22"/>
          <w:szCs w:val="22"/>
        </w:rPr>
      </w:pPr>
    </w:p>
    <w:p w14:paraId="70F27C33" w14:textId="7A3A7350" w:rsidR="004E1F0A" w:rsidRPr="004E1F0A" w:rsidRDefault="00D07999" w:rsidP="004E1F0A">
      <w:pPr>
        <w:pStyle w:val="Default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Cada uno de los países en los que opera PPG está sujeto a una o más de estas leyes. </w:t>
      </w:r>
      <w:r w:rsidR="00D66323">
        <w:rPr>
          <w:rFonts w:asciiTheme="minorHAnsi" w:hAnsiTheme="minorHAnsi"/>
          <w:sz w:val="22"/>
          <w:szCs w:val="22"/>
        </w:rPr>
        <w:t>Podemos incluir como ejemplos</w:t>
      </w:r>
      <w:r>
        <w:rPr>
          <w:rFonts w:asciiTheme="minorHAnsi" w:hAnsiTheme="minorHAnsi"/>
          <w:sz w:val="22"/>
          <w:szCs w:val="22"/>
        </w:rPr>
        <w:t xml:space="preserve">: la Ley de Prácticas Corruptas en el Extranjero (FCPA) de los EE. UU., </w:t>
      </w:r>
      <w:proofErr w:type="spellStart"/>
      <w:r>
        <w:rPr>
          <w:rFonts w:asciiTheme="minorHAnsi" w:hAnsiTheme="minorHAnsi"/>
          <w:sz w:val="22"/>
          <w:szCs w:val="22"/>
        </w:rPr>
        <w:t>Loi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Sapin</w:t>
      </w:r>
      <w:proofErr w:type="spellEnd"/>
      <w:r>
        <w:rPr>
          <w:rFonts w:asciiTheme="minorHAnsi" w:hAnsiTheme="minorHAnsi"/>
          <w:sz w:val="22"/>
          <w:szCs w:val="22"/>
        </w:rPr>
        <w:t xml:space="preserve"> 2 de Francia, el Sistema Nacional Anticorrupción de México, la Ley </w:t>
      </w:r>
      <w:proofErr w:type="spellStart"/>
      <w:r>
        <w:rPr>
          <w:rFonts w:asciiTheme="minorHAnsi" w:hAnsiTheme="minorHAnsi"/>
          <w:sz w:val="22"/>
          <w:szCs w:val="22"/>
        </w:rPr>
        <w:t>Antisoborno</w:t>
      </w:r>
      <w:proofErr w:type="spellEnd"/>
      <w:r>
        <w:rPr>
          <w:rFonts w:asciiTheme="minorHAnsi" w:hAnsiTheme="minorHAnsi"/>
          <w:sz w:val="22"/>
          <w:szCs w:val="22"/>
        </w:rPr>
        <w:t xml:space="preserve"> del Reino Unido, el Código Penal de China y la Ley de Empresas Limpias de Brasil. Si bien existen algunas diferencias entre estas leyes, todas se adoptaron con el objetivo de eliminar la corrupción y recuperar la confianza del público en la integridad del mercado internacional. Además, se implementaron con el propósito de promover un entorno comercial justo y competitivo en el que pudieran desarrollarse los negocios adecuadamente.  </w:t>
      </w:r>
    </w:p>
    <w:p w14:paraId="2193A93D" w14:textId="77777777" w:rsidR="0085042C" w:rsidRPr="00D07999" w:rsidRDefault="00F30C7E" w:rsidP="00411E2B">
      <w:pPr>
        <w:spacing w:after="240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Política </w:t>
      </w:r>
    </w:p>
    <w:p w14:paraId="38D0549D" w14:textId="77777777" w:rsidR="0085042C" w:rsidRDefault="00915FB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Nuestra Política comprende lo siguiente:</w:t>
      </w:r>
    </w:p>
    <w:p w14:paraId="2B4AE181" w14:textId="77777777" w:rsidR="00915FB0" w:rsidRPr="00AA7101" w:rsidRDefault="002C4D14" w:rsidP="00AA7101">
      <w:pPr>
        <w:pStyle w:val="Prrafodelista"/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prohíbe el soborno y la corrupción en todas las relaciones comerciales que se establezcan en cualquier país.   </w:t>
      </w:r>
    </w:p>
    <w:p w14:paraId="72B9DCDD" w14:textId="38D24C3F" w:rsidR="00915FB0" w:rsidRPr="00AA7101" w:rsidRDefault="00915FB0" w:rsidP="00AA7101">
      <w:pPr>
        <w:pStyle w:val="Prrafodelista"/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Ningún empleado de PPG y ninguna persona que actúe en nombre de PPG puede prometer, ofrecer, dar </w:t>
      </w:r>
      <w:r w:rsidR="00D66323">
        <w:rPr>
          <w:rFonts w:asciiTheme="minorHAnsi" w:hAnsiTheme="minorHAnsi"/>
          <w:bCs/>
          <w:sz w:val="22"/>
          <w:szCs w:val="22"/>
        </w:rPr>
        <w:t>o</w:t>
      </w:r>
      <w:r>
        <w:rPr>
          <w:rFonts w:asciiTheme="minorHAnsi" w:hAnsiTheme="minorHAnsi"/>
          <w:bCs/>
          <w:sz w:val="22"/>
          <w:szCs w:val="22"/>
        </w:rPr>
        <w:t xml:space="preserve"> aceptar sobornos o comisiones cuando realice </w:t>
      </w:r>
      <w:r w:rsidR="00D66323">
        <w:rPr>
          <w:rFonts w:asciiTheme="minorHAnsi" w:hAnsiTheme="minorHAnsi"/>
          <w:bCs/>
          <w:sz w:val="22"/>
          <w:szCs w:val="22"/>
        </w:rPr>
        <w:t>actividades empresariales en</w:t>
      </w:r>
      <w:r>
        <w:rPr>
          <w:rFonts w:asciiTheme="minorHAnsi" w:hAnsiTheme="minorHAnsi"/>
          <w:bCs/>
          <w:sz w:val="22"/>
          <w:szCs w:val="22"/>
        </w:rPr>
        <w:t xml:space="preserve"> PPG. </w:t>
      </w:r>
    </w:p>
    <w:p w14:paraId="5F5B03AB" w14:textId="77777777" w:rsidR="00D07999" w:rsidRDefault="00D07999" w:rsidP="00AA7101">
      <w:pPr>
        <w:pStyle w:val="Prrafodelista"/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prohíben las transacciones no contabilizadas que involucren a nuestros intermediarios externos, empresas privadas, gobiernos o sus respectivos agentes.</w:t>
      </w:r>
    </w:p>
    <w:p w14:paraId="41A89ADA" w14:textId="77777777" w:rsidR="00915FB0" w:rsidRPr="00AA7101" w:rsidRDefault="002A0565" w:rsidP="00AA7101">
      <w:pPr>
        <w:pStyle w:val="Prrafodelista"/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Estas prohibiciones se aplican a todas las transacciones entre PPG y cualquier otra parte, ya sea una persona o entidad privada o un funcionario o una entidad pública, estatal o gubernamental.</w:t>
      </w:r>
    </w:p>
    <w:p w14:paraId="7C496DF7" w14:textId="77777777" w:rsidR="00A47E7A" w:rsidRPr="00AA7101" w:rsidRDefault="002C4D14" w:rsidP="00AA7101">
      <w:pPr>
        <w:pStyle w:val="Prrafodelista"/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desarrollarán y mantendrán libros y registros completos con los detalles suficientes a fin de reflejar de manera justa y precisa las transacciones de la empresa.</w:t>
      </w:r>
    </w:p>
    <w:p w14:paraId="280C9597" w14:textId="77777777" w:rsidR="00A47E7A" w:rsidRPr="00D07999" w:rsidRDefault="00A47E7A" w:rsidP="00D07999">
      <w:pPr>
        <w:pStyle w:val="Prrafodelista"/>
        <w:numPr>
          <w:ilvl w:val="0"/>
          <w:numId w:val="15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mantendrá un sistema de controles contables internos adecuados tal como se describe en el </w:t>
      </w:r>
      <w:hyperlink r:id="rId12" w:anchor="search=controller%27s%20manual" w:history="1">
        <w:r>
          <w:rPr>
            <w:rStyle w:val="Hipervnculo"/>
            <w:rFonts w:asciiTheme="minorHAnsi" w:hAnsiTheme="minorHAnsi"/>
            <w:sz w:val="22"/>
            <w:szCs w:val="22"/>
          </w:rPr>
          <w:t xml:space="preserve">Manual del </w:t>
        </w:r>
        <w:proofErr w:type="spellStart"/>
        <w:r>
          <w:rPr>
            <w:rStyle w:val="Hipervnculo"/>
            <w:rFonts w:asciiTheme="minorHAnsi" w:hAnsiTheme="minorHAnsi"/>
            <w:sz w:val="22"/>
            <w:szCs w:val="22"/>
          </w:rPr>
          <w:t>Controller</w:t>
        </w:r>
        <w:proofErr w:type="spellEnd"/>
        <w:r>
          <w:rPr>
            <w:rStyle w:val="Hipervnculo"/>
            <w:rFonts w:asciiTheme="minorHAnsi" w:hAnsiTheme="minorHAnsi"/>
            <w:sz w:val="22"/>
            <w:szCs w:val="22"/>
          </w:rPr>
          <w:t xml:space="preserve"> de PPG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05D39B40" w14:textId="77777777" w:rsidR="007802EF" w:rsidRDefault="007802EF" w:rsidP="00AA7101">
      <w:pPr>
        <w:ind w:left="90"/>
        <w:rPr>
          <w:rFonts w:asciiTheme="minorHAnsi" w:hAnsiTheme="minorHAnsi"/>
          <w:b/>
          <w:sz w:val="22"/>
          <w:szCs w:val="22"/>
        </w:rPr>
      </w:pPr>
    </w:p>
    <w:p w14:paraId="21F78E1D" w14:textId="33AE93E9" w:rsidR="0085042C" w:rsidRPr="00AA7101" w:rsidRDefault="007802EF" w:rsidP="00AA7101">
      <w:pPr>
        <w:ind w:left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Esta Política complementa las secciones </w:t>
      </w:r>
      <w:hyperlink r:id="rId13" w:history="1">
        <w:r>
          <w:rPr>
            <w:rStyle w:val="Hipervnculo"/>
            <w:rFonts w:asciiTheme="minorHAnsi" w:hAnsiTheme="minorHAnsi"/>
            <w:i/>
            <w:sz w:val="22"/>
            <w:szCs w:val="22"/>
          </w:rPr>
          <w:t>Soborno y corrupción</w:t>
        </w:r>
      </w:hyperlink>
      <w:r>
        <w:rPr>
          <w:rFonts w:asciiTheme="minorHAnsi" w:hAnsiTheme="minorHAnsi"/>
          <w:sz w:val="22"/>
          <w:szCs w:val="22"/>
        </w:rPr>
        <w:t xml:space="preserve"> y </w:t>
      </w:r>
      <w:hyperlink r:id="rId14" w:history="1">
        <w:r>
          <w:rPr>
            <w:rStyle w:val="Hipervnculo"/>
            <w:rFonts w:asciiTheme="minorHAnsi" w:hAnsiTheme="minorHAnsi"/>
            <w:i/>
            <w:sz w:val="22"/>
            <w:szCs w:val="22"/>
          </w:rPr>
          <w:t>Registros comerciales y financieros</w:t>
        </w:r>
      </w:hyperlink>
      <w:r>
        <w:rPr>
          <w:rFonts w:asciiTheme="minorHAnsi" w:hAnsiTheme="minorHAnsi"/>
          <w:sz w:val="22"/>
          <w:szCs w:val="22"/>
        </w:rPr>
        <w:t xml:space="preserve"> del Código de Ética Global.  Esta Política también respalda la </w:t>
      </w:r>
      <w:hyperlink r:id="rId15" w:history="1">
        <w:r>
          <w:rPr>
            <w:rStyle w:val="Hipervnculo"/>
            <w:rFonts w:asciiTheme="minorHAnsi" w:hAnsiTheme="minorHAnsi"/>
            <w:sz w:val="22"/>
            <w:szCs w:val="22"/>
          </w:rPr>
          <w:t>Política de Diligencia Debida de Terceros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3113BA4A" w14:textId="77777777" w:rsidR="00D73F88" w:rsidRDefault="00D73F88">
      <w:pPr>
        <w:autoSpaceDE/>
        <w:autoSpaceDN/>
        <w:adjustRightInd/>
        <w:spacing w:before="0" w:after="200" w:line="276" w:lineRule="auto"/>
        <w:rPr>
          <w:rFonts w:asciiTheme="minorHAnsi" w:hAnsiTheme="minorHAnsi"/>
          <w:sz w:val="22"/>
          <w:szCs w:val="22"/>
        </w:rPr>
      </w:pPr>
    </w:p>
    <w:p w14:paraId="5CDE74DC" w14:textId="77777777" w:rsidR="0085042C" w:rsidRPr="0010137D" w:rsidRDefault="002A0565" w:rsidP="00411E2B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Indicaciones</w:t>
      </w:r>
    </w:p>
    <w:p w14:paraId="5D35FCCD" w14:textId="41718006" w:rsidR="0085042C" w:rsidRDefault="002A05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Como empleado de PPG, </w:t>
      </w:r>
      <w:r w:rsidR="00D66323">
        <w:rPr>
          <w:rFonts w:asciiTheme="minorHAnsi" w:hAnsiTheme="minorHAnsi"/>
          <w:sz w:val="22"/>
          <w:szCs w:val="22"/>
        </w:rPr>
        <w:t xml:space="preserve">usted </w:t>
      </w:r>
      <w:r>
        <w:rPr>
          <w:rFonts w:asciiTheme="minorHAnsi" w:hAnsiTheme="minorHAnsi"/>
          <w:sz w:val="22"/>
          <w:szCs w:val="22"/>
        </w:rPr>
        <w:t>tiene la responsabilidad de comprender los siguientes puntos:</w:t>
      </w:r>
    </w:p>
    <w:p w14:paraId="7B303F5A" w14:textId="77777777" w:rsidR="00D07999" w:rsidRDefault="00D07999">
      <w:pPr>
        <w:rPr>
          <w:rFonts w:asciiTheme="minorHAnsi" w:hAnsiTheme="minorHAnsi"/>
          <w:sz w:val="22"/>
          <w:szCs w:val="22"/>
        </w:rPr>
      </w:pPr>
    </w:p>
    <w:p w14:paraId="04FB5BB5" w14:textId="141EDFF6" w:rsidR="00C613B2" w:rsidRDefault="00411E2B" w:rsidP="00B21148">
      <w:pPr>
        <w:pStyle w:val="Prrafodelista"/>
        <w:numPr>
          <w:ilvl w:val="0"/>
          <w:numId w:val="16"/>
        </w:numPr>
        <w:spacing w:before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Los sobornos no se limitan a dinero en efectivo. </w:t>
      </w:r>
      <w:r>
        <w:rPr>
          <w:rFonts w:asciiTheme="minorHAnsi" w:hAnsiTheme="minorHAnsi"/>
          <w:sz w:val="22"/>
          <w:szCs w:val="22"/>
        </w:rPr>
        <w:t xml:space="preserve"> Los sobornos representan el ofrecimiento de “cualquier elemento de valor” con el objetivo de influenciar indebidamente una decisión comercial o gubernamental. “Cualquier elemento de valor” incluye dinero en efectivo, equivalentes </w:t>
      </w:r>
      <w:r w:rsidR="00D66323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efectivo, obsequios, comidas, entretenimiento, viajes, propiedades personales, asunción o condonación de una deuda, donaciones benéficas, patrocinios, servicios, ofertas de empleo u otro beneficio injustificado. El ofrecimiento de artículos de escaso valor o recuerdos/obsequios pequeños en señal de aprecio por lo general no se considera un soborno. </w:t>
      </w:r>
    </w:p>
    <w:p w14:paraId="39F9D38B" w14:textId="77777777" w:rsidR="00C613B2" w:rsidRDefault="00C613B2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40355C74" w14:textId="445FD1C9" w:rsidR="0085042C" w:rsidRPr="00AA7101" w:rsidRDefault="00B21148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Todo tipo de hospitalidad, viaje, obsequio, entretenimiento y comida que ofrezca la empresa debe ser proporcional a la ocasión y cumplir con las políticas de PPG y las leyes y reglamentos locales del país donde resida el beneficiario.</w:t>
      </w:r>
      <w:r>
        <w:t xml:space="preserve"> </w:t>
      </w:r>
      <w:r>
        <w:rPr>
          <w:rFonts w:asciiTheme="minorHAnsi" w:hAnsiTheme="minorHAnsi"/>
          <w:sz w:val="22"/>
          <w:szCs w:val="22"/>
        </w:rPr>
        <w:t>Por ejemplo, si bien es apropiado y aceptable cubrir el cost</w:t>
      </w:r>
      <w:r w:rsidR="00D66323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de viaje de un cliente para que visite una </w:t>
      </w:r>
      <w:r w:rsidR="00D66323">
        <w:rPr>
          <w:rFonts w:asciiTheme="minorHAnsi" w:hAnsiTheme="minorHAnsi"/>
          <w:sz w:val="22"/>
          <w:szCs w:val="22"/>
        </w:rPr>
        <w:t>fábrica</w:t>
      </w:r>
      <w:r>
        <w:rPr>
          <w:rFonts w:asciiTheme="minorHAnsi" w:hAnsiTheme="minorHAnsi"/>
          <w:sz w:val="22"/>
          <w:szCs w:val="22"/>
        </w:rPr>
        <w:t xml:space="preserve">, un centro de investigación u otra instalación de PPG para un propósito comercial legítimo, se requiere supervisión. La duración de la visita debe corresponderse con el tiempo necesario para satisfacer el propósito comercial y el coste del viaje debe ser razonable y cubrir únicamente lo estrictamente relacionado con el mismo. Los costes que no estén relacionados con el propósito comercial, por ejemplo una ampliación del viaje, compras y servicios entre otros, deben ser cubiertos por el cliente. Consulte la </w:t>
      </w:r>
      <w:hyperlink r:id="rId16" w:history="1">
        <w:r>
          <w:rPr>
            <w:rStyle w:val="Hipervnculo"/>
            <w:rFonts w:asciiTheme="minorHAnsi" w:hAnsiTheme="minorHAnsi"/>
            <w:sz w:val="22"/>
            <w:szCs w:val="22"/>
          </w:rPr>
          <w:t>Política de Viajes Global de PPG</w:t>
        </w:r>
      </w:hyperlink>
      <w:r>
        <w:rPr>
          <w:rFonts w:asciiTheme="minorHAnsi" w:hAnsiTheme="minorHAnsi"/>
          <w:sz w:val="22"/>
          <w:szCs w:val="22"/>
        </w:rPr>
        <w:t xml:space="preserve"> y el </w:t>
      </w:r>
      <w:hyperlink r:id="rId17" w:anchor="search=controller%27s%20manual" w:history="1">
        <w:r>
          <w:rPr>
            <w:rStyle w:val="Hipervnculo"/>
            <w:rFonts w:asciiTheme="minorHAnsi" w:hAnsiTheme="minorHAnsi"/>
            <w:sz w:val="22"/>
            <w:szCs w:val="22"/>
          </w:rPr>
          <w:t xml:space="preserve">Manual del </w:t>
        </w:r>
        <w:proofErr w:type="spellStart"/>
        <w:r>
          <w:rPr>
            <w:rStyle w:val="Hipervnculo"/>
            <w:rFonts w:asciiTheme="minorHAnsi" w:hAnsiTheme="minorHAnsi"/>
            <w:sz w:val="22"/>
            <w:szCs w:val="22"/>
          </w:rPr>
          <w:t>Controller</w:t>
        </w:r>
        <w:proofErr w:type="spellEnd"/>
      </w:hyperlink>
      <w:r>
        <w:rPr>
          <w:rFonts w:asciiTheme="minorHAnsi" w:hAnsiTheme="minorHAnsi"/>
          <w:sz w:val="22"/>
          <w:szCs w:val="22"/>
        </w:rPr>
        <w:t xml:space="preserve"> para obtener más información al respecto.</w:t>
      </w:r>
    </w:p>
    <w:p w14:paraId="5A28A9A0" w14:textId="77777777" w:rsidR="0085042C" w:rsidRDefault="0085042C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65005702" w14:textId="47B0C6AF" w:rsidR="0085042C" w:rsidRDefault="00D93250" w:rsidP="00B21148">
      <w:pPr>
        <w:pStyle w:val="Prrafodelista"/>
        <w:numPr>
          <w:ilvl w:val="0"/>
          <w:numId w:val="2"/>
        </w:numPr>
        <w:spacing w:before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El soborno no debe ser </w:t>
      </w:r>
      <w:r w:rsidR="00D66323">
        <w:rPr>
          <w:rFonts w:asciiTheme="minorHAnsi" w:hAnsiTheme="minorHAnsi"/>
          <w:b/>
          <w:i/>
          <w:sz w:val="22"/>
          <w:szCs w:val="22"/>
        </w:rPr>
        <w:t xml:space="preserve">necesariamente </w:t>
      </w:r>
      <w:r>
        <w:rPr>
          <w:rFonts w:asciiTheme="minorHAnsi" w:hAnsiTheme="minorHAnsi"/>
          <w:b/>
          <w:i/>
          <w:sz w:val="22"/>
          <w:szCs w:val="22"/>
        </w:rPr>
        <w:t>aceptado o llegar a término para que se infrinja la ley.</w:t>
      </w:r>
      <w:r>
        <w:rPr>
          <w:rFonts w:asciiTheme="minorHAnsi" w:hAnsiTheme="minorHAnsi"/>
          <w:sz w:val="22"/>
          <w:szCs w:val="22"/>
        </w:rPr>
        <w:t xml:space="preserve">  Según dictan las leyes de muchos países, PPG comete una infracción incluso si la oferta de pago o el soborno se rechaza</w:t>
      </w:r>
      <w:r w:rsidR="00D66323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Tampoco es relevante si el pago se efectúa </w:t>
      </w:r>
      <w:r w:rsidR="00D66323">
        <w:rPr>
          <w:rFonts w:asciiTheme="minorHAnsi" w:hAnsiTheme="minorHAnsi"/>
          <w:sz w:val="22"/>
          <w:szCs w:val="22"/>
        </w:rPr>
        <w:t xml:space="preserve">realmente </w:t>
      </w:r>
      <w:r>
        <w:rPr>
          <w:rFonts w:asciiTheme="minorHAnsi" w:hAnsiTheme="minorHAnsi"/>
          <w:sz w:val="22"/>
          <w:szCs w:val="22"/>
        </w:rPr>
        <w:t xml:space="preserve">o si el beneficiario proporciona algo a cambio. La infracción se comete </w:t>
      </w:r>
      <w:r>
        <w:rPr>
          <w:rFonts w:asciiTheme="minorHAnsi" w:hAnsiTheme="minorHAnsi"/>
          <w:bCs/>
          <w:sz w:val="22"/>
          <w:szCs w:val="22"/>
        </w:rPr>
        <w:t>en el momento</w:t>
      </w:r>
      <w:r>
        <w:rPr>
          <w:rFonts w:asciiTheme="minorHAnsi" w:hAnsiTheme="minorHAnsi"/>
          <w:sz w:val="22"/>
          <w:szCs w:val="22"/>
        </w:rPr>
        <w:t xml:space="preserve"> en que se realiza una oferta o un pago indebido.</w:t>
      </w:r>
    </w:p>
    <w:p w14:paraId="5916D98B" w14:textId="77777777" w:rsidR="0085042C" w:rsidRDefault="0085042C" w:rsidP="00B21148">
      <w:pPr>
        <w:pStyle w:val="Prrafodelista"/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5CA47FF6" w14:textId="5B90AEF1" w:rsidR="00670AE0" w:rsidRPr="00670AE0" w:rsidRDefault="00670AE0" w:rsidP="00B21148">
      <w:pPr>
        <w:pStyle w:val="Prrafodelista"/>
        <w:numPr>
          <w:ilvl w:val="0"/>
          <w:numId w:val="2"/>
        </w:numPr>
        <w:spacing w:before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Los sobornos que permiten obtener permisos, licencias, productos y otras aprobaciones, entre otros beneficios, también son ilegales. </w:t>
      </w:r>
      <w:r>
        <w:rPr>
          <w:rFonts w:asciiTheme="minorHAnsi" w:hAnsiTheme="minorHAnsi"/>
          <w:sz w:val="22"/>
          <w:szCs w:val="22"/>
        </w:rPr>
        <w:t xml:space="preserve">La mayoría de las personas asocia los sobornos a conseguir negocios </w:t>
      </w:r>
      <w:r w:rsidR="00D66323">
        <w:rPr>
          <w:rFonts w:asciiTheme="minorHAnsi" w:hAnsiTheme="minorHAnsi"/>
          <w:sz w:val="22"/>
          <w:szCs w:val="22"/>
        </w:rPr>
        <w:t>por</w:t>
      </w:r>
      <w:r>
        <w:rPr>
          <w:rFonts w:asciiTheme="minorHAnsi" w:hAnsiTheme="minorHAnsi"/>
          <w:sz w:val="22"/>
          <w:szCs w:val="22"/>
        </w:rPr>
        <w:t xml:space="preserve"> parte de un cliente.  Sin embargo, es igual</w:t>
      </w:r>
      <w:r w:rsidR="00D66323">
        <w:rPr>
          <w:rFonts w:asciiTheme="minorHAnsi" w:hAnsiTheme="minorHAnsi"/>
          <w:sz w:val="22"/>
          <w:szCs w:val="22"/>
        </w:rPr>
        <w:t>mente</w:t>
      </w:r>
      <w:r>
        <w:rPr>
          <w:rFonts w:asciiTheme="minorHAnsi" w:hAnsiTheme="minorHAnsi"/>
          <w:sz w:val="22"/>
          <w:szCs w:val="22"/>
        </w:rPr>
        <w:t xml:space="preserve"> ilegal pagar un soborno a un gobierno o funcionario para obtener otros beneficios, como un permiso para operar o una autorización EHS (de medio ambiente, salud y seguridad), una desgravación fiscal, una aprobación o certificación de un producto o una licencia para desarrollar un negocio, entre otros. Recuerde que no puede pagar un soborno para obtener </w:t>
      </w:r>
      <w:r w:rsidR="00D66323">
        <w:rPr>
          <w:rFonts w:asciiTheme="minorHAnsi" w:hAnsiTheme="minorHAnsi"/>
          <w:sz w:val="22"/>
          <w:szCs w:val="22"/>
          <w:u w:val="single"/>
        </w:rPr>
        <w:t>cualquier</w:t>
      </w:r>
      <w:r>
        <w:rPr>
          <w:rFonts w:asciiTheme="minorHAnsi" w:hAnsiTheme="minorHAnsi"/>
          <w:sz w:val="22"/>
          <w:szCs w:val="22"/>
        </w:rPr>
        <w:t xml:space="preserve"> ventaja comercial indebida. </w:t>
      </w:r>
    </w:p>
    <w:p w14:paraId="2DCDF1BC" w14:textId="77777777" w:rsidR="00670AE0" w:rsidRPr="00670AE0" w:rsidRDefault="00670AE0" w:rsidP="00B21148">
      <w:pPr>
        <w:pStyle w:val="Prrafodelista"/>
        <w:ind w:left="540" w:hanging="360"/>
        <w:rPr>
          <w:rFonts w:asciiTheme="minorHAnsi" w:hAnsiTheme="minorHAnsi"/>
          <w:b/>
          <w:i/>
          <w:sz w:val="22"/>
          <w:szCs w:val="22"/>
        </w:rPr>
      </w:pPr>
    </w:p>
    <w:p w14:paraId="50BF8C51" w14:textId="2FB4CD47" w:rsidR="00844DDF" w:rsidRDefault="00301743" w:rsidP="00B21148">
      <w:pPr>
        <w:pStyle w:val="Prrafodelista"/>
        <w:numPr>
          <w:ilvl w:val="0"/>
          <w:numId w:val="2"/>
        </w:numPr>
        <w:spacing w:before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Se aplican prohibiciones particularmente estrictas a todo esfuerzo por influenciar indebidamente a funcionarios de gobierno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Nuestra Política prohíbe el soborno y la corrupción entre PPG y sus socios comerciales y entre PPG y entidades o funcionarios de gobierno.  Sin embargo, algunas leyes, como la FCPA de EE. UU., imponen multas y sanciones </w:t>
      </w:r>
      <w:r>
        <w:rPr>
          <w:rFonts w:asciiTheme="minorHAnsi" w:hAnsiTheme="minorHAnsi"/>
          <w:sz w:val="22"/>
          <w:szCs w:val="22"/>
          <w:u w:val="single"/>
        </w:rPr>
        <w:t>particularmente</w:t>
      </w:r>
      <w:r>
        <w:rPr>
          <w:rFonts w:asciiTheme="minorHAnsi" w:hAnsiTheme="minorHAnsi"/>
          <w:sz w:val="22"/>
          <w:szCs w:val="22"/>
        </w:rPr>
        <w:t xml:space="preserve"> </w:t>
      </w:r>
      <w:r w:rsidR="00D66323">
        <w:rPr>
          <w:rFonts w:asciiTheme="minorHAnsi" w:hAnsiTheme="minorHAnsi"/>
          <w:sz w:val="22"/>
          <w:szCs w:val="22"/>
        </w:rPr>
        <w:t>importantes</w:t>
      </w:r>
      <w:r>
        <w:rPr>
          <w:rFonts w:asciiTheme="minorHAnsi" w:hAnsiTheme="minorHAnsi"/>
          <w:sz w:val="22"/>
          <w:szCs w:val="22"/>
        </w:rPr>
        <w:t xml:space="preserve"> al soborno y </w:t>
      </w:r>
      <w:r w:rsidR="00D66323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l pago a funcionarios de gobierno</w:t>
      </w:r>
      <w:r w:rsidR="00D6632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extranjeros.   </w:t>
      </w:r>
    </w:p>
    <w:p w14:paraId="5F76E327" w14:textId="77777777" w:rsidR="00844DDF" w:rsidRPr="00AA7101" w:rsidRDefault="00844DDF" w:rsidP="00B21148">
      <w:pPr>
        <w:pStyle w:val="Prrafodelista"/>
        <w:ind w:left="540" w:hanging="360"/>
        <w:rPr>
          <w:rFonts w:asciiTheme="minorHAnsi" w:hAnsiTheme="minorHAnsi"/>
          <w:sz w:val="22"/>
          <w:szCs w:val="22"/>
        </w:rPr>
      </w:pPr>
    </w:p>
    <w:p w14:paraId="6EF5464D" w14:textId="051C7050" w:rsidR="0085042C" w:rsidRDefault="00844DDF" w:rsidP="00B21148">
      <w:pPr>
        <w:pStyle w:val="Prrafodelista"/>
        <w:numPr>
          <w:ilvl w:val="0"/>
          <w:numId w:val="2"/>
        </w:numPr>
        <w:spacing w:before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Las entidades estatales (SOE) se consideran funcionarios de gobierno</w:t>
      </w:r>
      <w:r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En muchos países, el gobierno puede tener una participación parcial en una empresa (una SOE), y PPG puede tener una relación comercial con dicha empresa. Las SOE son comunes en todo el mundo y, particularmente, en China, Rusia, Emiratos Árabes Unidos e Indonesia. Dado que no siempre será evidente si una empresa es exclusivamente privada o tiene un determinado nivel de participación del gobierno, es de suma importancia que los empleados de PPG nunca ofrezcan sobornos ni pagos indebidos a ninguna entidad. </w:t>
      </w:r>
    </w:p>
    <w:p w14:paraId="5296F0D5" w14:textId="77777777" w:rsidR="0085042C" w:rsidRDefault="0085042C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03A1F4C6" w14:textId="4E64C63E" w:rsidR="0085042C" w:rsidRDefault="00A957D3" w:rsidP="00B21148">
      <w:pPr>
        <w:pStyle w:val="NormalWeb"/>
        <w:numPr>
          <w:ilvl w:val="0"/>
          <w:numId w:val="2"/>
        </w:numPr>
        <w:spacing w:before="0" w:beforeAutospacing="0" w:after="0" w:afterAutospacing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PPG puede ser responsable si sus agentes </w:t>
      </w:r>
      <w:r w:rsidR="00D66323">
        <w:rPr>
          <w:rFonts w:asciiTheme="minorHAnsi" w:hAnsiTheme="minorHAnsi"/>
          <w:b/>
          <w:i/>
          <w:sz w:val="22"/>
          <w:szCs w:val="22"/>
        </w:rPr>
        <w:t>u</w:t>
      </w:r>
      <w:r>
        <w:rPr>
          <w:rFonts w:asciiTheme="minorHAnsi" w:hAnsiTheme="minorHAnsi"/>
          <w:b/>
          <w:i/>
          <w:sz w:val="22"/>
          <w:szCs w:val="22"/>
        </w:rPr>
        <w:t xml:space="preserve"> otros intermediarios pagan sobornos en su nombre</w:t>
      </w:r>
      <w:r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PPG depende de terceros en muchos países para vender sus productos y servicios. La prohibición de ofrecer y realizar sobornos y pagos se aplica de la misma manera a estos tipos de intermediarios. Además, no pueden ofrecerse sobornos ni pagos indebidos a amigos o familiares de empleados del cliente ni a funcionarios, si PPG sabe o cree firmemente que el soborno o pago beneficiará al cliente o al funcionario para un propósito indebido.</w:t>
      </w:r>
    </w:p>
    <w:p w14:paraId="7737F7CA" w14:textId="77777777" w:rsidR="0085042C" w:rsidRDefault="0085042C" w:rsidP="00B21148">
      <w:pPr>
        <w:pStyle w:val="Default"/>
        <w:ind w:left="540" w:hanging="360"/>
        <w:rPr>
          <w:rFonts w:asciiTheme="minorHAnsi" w:hAnsiTheme="minorHAnsi" w:cs="Times New Roman"/>
          <w:i/>
          <w:sz w:val="22"/>
          <w:szCs w:val="22"/>
        </w:rPr>
      </w:pPr>
    </w:p>
    <w:p w14:paraId="3929F280" w14:textId="3F491B51" w:rsidR="00AC350E" w:rsidRDefault="00B21148" w:rsidP="00B21148">
      <w:pPr>
        <w:spacing w:after="240"/>
        <w:ind w:left="5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PPG </w:t>
      </w:r>
      <w:r w:rsidR="00D66323">
        <w:rPr>
          <w:rFonts w:asciiTheme="minorHAnsi" w:hAnsiTheme="minorHAnsi"/>
          <w:sz w:val="22"/>
          <w:szCs w:val="22"/>
        </w:rPr>
        <w:t>ha desarrollado</w:t>
      </w:r>
      <w:r>
        <w:rPr>
          <w:rFonts w:asciiTheme="minorHAnsi" w:hAnsiTheme="minorHAnsi"/>
          <w:sz w:val="22"/>
          <w:szCs w:val="22"/>
        </w:rPr>
        <w:t xml:space="preserve"> y mantiene un programa de diligencia debida de terceros eficaz para validar y </w:t>
      </w:r>
      <w:r w:rsidR="00D66323">
        <w:rPr>
          <w:rFonts w:asciiTheme="minorHAnsi" w:hAnsiTheme="minorHAnsi"/>
          <w:sz w:val="22"/>
          <w:szCs w:val="22"/>
        </w:rPr>
        <w:t>gestionar sus relaciones con</w:t>
      </w:r>
      <w:r>
        <w:rPr>
          <w:rFonts w:asciiTheme="minorHAnsi" w:hAnsiTheme="minorHAnsi"/>
          <w:sz w:val="22"/>
          <w:szCs w:val="22"/>
        </w:rPr>
        <w:t xml:space="preserve"> sus agentes e intermediarios. Si desea obtener más información al respecto, consulte este sitio: </w:t>
      </w:r>
      <w:hyperlink r:id="rId18" w:history="1">
        <w:r>
          <w:rPr>
            <w:rStyle w:val="Hipervnculo"/>
            <w:rFonts w:asciiTheme="minorHAnsi" w:hAnsiTheme="minorHAnsi"/>
            <w:sz w:val="22"/>
            <w:szCs w:val="22"/>
          </w:rPr>
          <w:t>Diligencia Debida de Terceros de PPG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1948E48E" w14:textId="3B594CF5" w:rsidR="0085042C" w:rsidRDefault="002A0565" w:rsidP="00D66323">
      <w:pPr>
        <w:spacing w:after="240"/>
        <w:ind w:left="540" w:firstLine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También se debe aplicar la diligencia debida que corresponda cuando se seleccionen socios de empresas aliadas, candidatos para adquisiciones y sus respectivos agentes y representantes. PPG podría ser considerado responsable de cualquier actividad indebida llevada a cabo por una empresa adquirida por PPG o sus socios de empresas aliadas, en caso de que (i) no realice una revisión rigurosa y oportuna de las posibles áreas de riesgo; (ii) no implemente un programa de cumplimiento eficaz en la entidad en cuestión; o (iii) no interrump</w:t>
      </w:r>
      <w:r w:rsidR="007563CD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dicha actividad indebida.</w:t>
      </w:r>
    </w:p>
    <w:p w14:paraId="1C74DD13" w14:textId="6BEA2AAB" w:rsidR="0085042C" w:rsidRDefault="00AC350E" w:rsidP="00B21148">
      <w:pPr>
        <w:pStyle w:val="Prrafodelista"/>
        <w:numPr>
          <w:ilvl w:val="0"/>
          <w:numId w:val="2"/>
        </w:numPr>
        <w:spacing w:before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Se debe tener cuidado con las bonificaciones, los reembolsos y los descuentos.  </w:t>
      </w:r>
      <w:r>
        <w:rPr>
          <w:rFonts w:asciiTheme="minorHAnsi" w:hAnsiTheme="minorHAnsi"/>
          <w:sz w:val="22"/>
          <w:szCs w:val="22"/>
        </w:rPr>
        <w:t>Al igual que muchas empresas,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PPG a menudo ofrece bonificaciones, reembolsos y pagos o descuentos similares a clientes a fin de obtener o conservar contratos o negocios como parte de un acuerdo comercial. Estos pagos no son “indebidos” si se incluyen expresamente en el contrato, son razonables y coherentes con la práctica continua de la SBU, no se pagan en efectivo, se pagan directamente a la entidad cliente y no a través de una persona, se contabilizan adecuadamente en los libros y registros y se adaptan a los requisitos del contrato.</w:t>
      </w:r>
    </w:p>
    <w:p w14:paraId="4A51F24D" w14:textId="77777777" w:rsidR="00C613B2" w:rsidRDefault="00C613B2" w:rsidP="00B21148">
      <w:pPr>
        <w:pStyle w:val="Prrafodelista"/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44C949FE" w14:textId="1173CFE5" w:rsidR="0085042C" w:rsidRDefault="00C613B2" w:rsidP="00B21148">
      <w:pPr>
        <w:pStyle w:val="Prrafodelista"/>
        <w:numPr>
          <w:ilvl w:val="0"/>
          <w:numId w:val="2"/>
        </w:numPr>
        <w:spacing w:before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Mantener libros y registros precisos y transparentes y aplicar reglas de contabilidad internas adecuadas es esencial.  </w:t>
      </w:r>
      <w:r>
        <w:rPr>
          <w:rFonts w:asciiTheme="minorHAnsi" w:hAnsiTheme="minorHAnsi"/>
          <w:sz w:val="22"/>
          <w:szCs w:val="22"/>
        </w:rPr>
        <w:t xml:space="preserve">Describir erróneamente una transacción en los libros y registros no es apropiado. Los sobornos a menudo se ocultan detrás de pagos legítimos, como comisiones u honorarios por asesoramiento. En muchos casos, se culpa a las empresas de infringir las leyes anticorrupción aunque no haya pruebas de soborno. Esto puede suceder porque se realizan pagos indebidos que no se registran con precisión o porque no se implementan controles internos lo suficientemente rigurosos y se expone a las empresas al riesgo de cometer actos de corrupción. </w:t>
      </w:r>
    </w:p>
    <w:p w14:paraId="79285CD4" w14:textId="77777777" w:rsidR="005F19D4" w:rsidRPr="00AA7101" w:rsidRDefault="005F19D4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1C7E1CC4" w14:textId="57864599" w:rsidR="0085042C" w:rsidRDefault="00B21148" w:rsidP="00B21148">
      <w:pPr>
        <w:pStyle w:val="NormalWeb"/>
        <w:spacing w:before="0" w:beforeAutospacing="0" w:after="0" w:afterAutospacing="0"/>
        <w:ind w:left="5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Los costes en que incurra y las actividades que realice una empresa como parte de todo tipo de hospitalidad, viaje, obsequio, entretenimiento y comida deben ser transparentes. Esto significa que las cuentas que evidencien estos costes y actividades deben hacer referencia a las personas involucradas, identificar un propósito comercial claro, describir la actividad, indicar la cantidad de dinero destinado, etc. </w:t>
      </w:r>
    </w:p>
    <w:p w14:paraId="2D224679" w14:textId="77777777" w:rsidR="0085042C" w:rsidRDefault="0085042C" w:rsidP="00B21148">
      <w:pPr>
        <w:pStyle w:val="NormalWeb"/>
        <w:spacing w:before="0" w:beforeAutospacing="0" w:after="0" w:afterAutospacing="0"/>
        <w:ind w:left="540" w:hanging="360"/>
        <w:rPr>
          <w:rFonts w:asciiTheme="minorHAnsi" w:hAnsiTheme="minorHAnsi"/>
          <w:sz w:val="22"/>
          <w:szCs w:val="22"/>
        </w:rPr>
      </w:pPr>
    </w:p>
    <w:p w14:paraId="16F65D70" w14:textId="10B5F6D8" w:rsidR="0085042C" w:rsidRDefault="002A0565" w:rsidP="00B21148">
      <w:pPr>
        <w:pStyle w:val="NormalWeb"/>
        <w:numPr>
          <w:ilvl w:val="0"/>
          <w:numId w:val="10"/>
        </w:numPr>
        <w:spacing w:before="0" w:beforeAutospacing="0" w:after="0" w:afterAutospacing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Las contribuciones benéficas a veces pueden considerarse sobornos.  </w:t>
      </w:r>
      <w:r>
        <w:rPr>
          <w:rFonts w:asciiTheme="minorHAnsi" w:hAnsiTheme="minorHAnsi"/>
          <w:sz w:val="22"/>
          <w:szCs w:val="22"/>
        </w:rPr>
        <w:t xml:space="preserve">A muchos empleados les sorprende descubrir que las contribuciones benéficas y los patrocinios pueden presentar un riesgo de infringir las leyes y reglamentos </w:t>
      </w:r>
      <w:proofErr w:type="spellStart"/>
      <w:r>
        <w:rPr>
          <w:rFonts w:asciiTheme="minorHAnsi" w:hAnsiTheme="minorHAnsi"/>
          <w:sz w:val="22"/>
          <w:szCs w:val="22"/>
        </w:rPr>
        <w:t>antisoborno</w:t>
      </w:r>
      <w:proofErr w:type="spellEnd"/>
      <w:r>
        <w:rPr>
          <w:rFonts w:asciiTheme="minorHAnsi" w:hAnsiTheme="minorHAnsi"/>
          <w:sz w:val="22"/>
          <w:szCs w:val="22"/>
        </w:rPr>
        <w:t xml:space="preserve"> o anticorrupción.</w:t>
      </w:r>
    </w:p>
    <w:p w14:paraId="046B3E20" w14:textId="597B138A" w:rsidR="0085042C" w:rsidRDefault="00B21148" w:rsidP="00B21148">
      <w:pPr>
        <w:pStyle w:val="NormalWeb"/>
        <w:spacing w:before="0"/>
        <w:ind w:left="5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Por ejemplo, un funcionario del gobierno o socio comercial de PPG puede colaborar activamente con una organización de beneficencia o participar en su consejo directivo. Tal como se describe en la sección </w:t>
      </w:r>
      <w:hyperlink r:id="rId19" w:history="1">
        <w:r>
          <w:rPr>
            <w:rStyle w:val="Hipervnculo"/>
            <w:rFonts w:asciiTheme="minorHAnsi" w:hAnsiTheme="minorHAnsi"/>
            <w:i/>
            <w:sz w:val="22"/>
            <w:szCs w:val="22"/>
          </w:rPr>
          <w:t>Contribuciones benéficas</w:t>
        </w:r>
      </w:hyperlink>
      <w:r>
        <w:rPr>
          <w:rFonts w:asciiTheme="minorHAnsi" w:hAnsiTheme="minorHAnsi"/>
          <w:sz w:val="22"/>
          <w:szCs w:val="22"/>
        </w:rPr>
        <w:t xml:space="preserve"> de nuestro Código, PPG no puede utilizar una donación a esa organización de beneficencia con el propósito de influenciar al socio o funcionario para que </w:t>
      </w:r>
      <w:r>
        <w:rPr>
          <w:rFonts w:asciiTheme="minorHAnsi" w:hAnsiTheme="minorHAnsi"/>
          <w:sz w:val="22"/>
          <w:szCs w:val="22"/>
        </w:rPr>
        <w:lastRenderedPageBreak/>
        <w:t xml:space="preserve">desarrolle negocios con la empresa, conseguir una aprobación ni obtener cualquier otra ventaja comercial indebida.  </w:t>
      </w:r>
    </w:p>
    <w:p w14:paraId="213AFA17" w14:textId="6D138732" w:rsidR="0085042C" w:rsidRDefault="002A0565" w:rsidP="00B21148">
      <w:pPr>
        <w:pStyle w:val="NormalWeb"/>
        <w:numPr>
          <w:ilvl w:val="0"/>
          <w:numId w:val="13"/>
        </w:numPr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Contribuciones políticas</w:t>
      </w:r>
      <w:r>
        <w:rPr>
          <w:rFonts w:ascii="Calibri" w:hAnsi="Calibri"/>
          <w:sz w:val="22"/>
          <w:szCs w:val="22"/>
        </w:rPr>
        <w:t xml:space="preserve">. PPG apoya a candidatos políticos por medio de estructuras aprobadas por la empresa </w:t>
      </w:r>
      <w:r w:rsidR="007563CD">
        <w:rPr>
          <w:rFonts w:ascii="Calibri" w:hAnsi="Calibri"/>
          <w:sz w:val="22"/>
          <w:szCs w:val="22"/>
        </w:rPr>
        <w:t>cumpliendo</w:t>
      </w:r>
      <w:r>
        <w:rPr>
          <w:rFonts w:ascii="Calibri" w:hAnsi="Calibri"/>
          <w:sz w:val="22"/>
          <w:szCs w:val="22"/>
        </w:rPr>
        <w:t xml:space="preserve"> los requisitos de las leyes locales y con la aprobación de Asuntos Gubernamentales de PPG. Tal como ocurre con el riesgo que presentan las contribuciones benéficas, cuando se realizan contribuciones a un candidato o partido político, existe la preocupación de que se intente influenciar indebidamente al funcionario del gobierno o socio comercial. Todo empleado a quien se solicite realizar un pago a un funcionario que no sea un aporte personal y voluntario a una campaña debe ponerse en contacto con el Director de Cumplimiento de PPG y con Asuntos Gubernamentales de PPG.</w:t>
      </w:r>
    </w:p>
    <w:p w14:paraId="6E98FB20" w14:textId="77777777" w:rsidR="0085042C" w:rsidRDefault="0085042C" w:rsidP="00B21148">
      <w:pPr>
        <w:pStyle w:val="NormalWeb"/>
        <w:spacing w:before="0" w:beforeAutospacing="0" w:after="0" w:afterAutospacing="0"/>
        <w:ind w:left="540" w:hanging="360"/>
        <w:rPr>
          <w:rFonts w:ascii="Calibri" w:hAnsi="Calibri"/>
          <w:sz w:val="22"/>
          <w:szCs w:val="22"/>
        </w:rPr>
      </w:pPr>
    </w:p>
    <w:p w14:paraId="7DE6F25B" w14:textId="77777777" w:rsidR="0085042C" w:rsidRDefault="0085042C">
      <w:pPr>
        <w:spacing w:before="0"/>
        <w:rPr>
          <w:rFonts w:asciiTheme="minorHAnsi" w:hAnsiTheme="minorHAnsi"/>
          <w:sz w:val="22"/>
          <w:szCs w:val="22"/>
          <w:u w:val="single"/>
        </w:rPr>
      </w:pPr>
    </w:p>
    <w:p w14:paraId="1FEC9774" w14:textId="77777777" w:rsidR="0085042C" w:rsidRDefault="002A0565" w:rsidP="00411E2B">
      <w:pPr>
        <w:spacing w:before="0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Consecuencias</w:t>
      </w:r>
    </w:p>
    <w:p w14:paraId="527B037F" w14:textId="77777777" w:rsidR="00AF084C" w:rsidRPr="00A55EC2" w:rsidRDefault="00AF084C" w:rsidP="00411E2B">
      <w:pPr>
        <w:spacing w:before="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4420E7B" w14:textId="396E532C" w:rsidR="0085042C" w:rsidRDefault="002A0565" w:rsidP="008C3EBA">
      <w:pPr>
        <w:spacing w:befor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Las infracciones a esta Política y a las leyes y reglamentos anticorrupción y </w:t>
      </w:r>
      <w:proofErr w:type="spellStart"/>
      <w:r>
        <w:rPr>
          <w:rFonts w:asciiTheme="minorHAnsi" w:hAnsiTheme="minorHAnsi"/>
          <w:sz w:val="22"/>
          <w:szCs w:val="22"/>
        </w:rPr>
        <w:t>antisoborno</w:t>
      </w:r>
      <w:proofErr w:type="spellEnd"/>
      <w:r>
        <w:rPr>
          <w:rFonts w:asciiTheme="minorHAnsi" w:hAnsiTheme="minorHAnsi"/>
          <w:sz w:val="22"/>
          <w:szCs w:val="22"/>
        </w:rPr>
        <w:t xml:space="preserve"> pueden tener como consecuencia graves sanciones penales o civiles tanto para la empresa como para las personas implicadas.  Es muy importante que siempre se actúe de un modo que se evite la más mínima sospecha de una infracción a estas restricciones. Las sanciones financieras que imponen determinadas leyes son ilimitadas y en algunos casos alcanzan varios millones de dólares. Las sanciones penales impuestas a las personas pueden representar diez años o más de prisión, además de multas personales, y PPG no puede responder por dichas sanciones.</w:t>
      </w:r>
    </w:p>
    <w:p w14:paraId="05325B61" w14:textId="77777777" w:rsidR="008C3EBA" w:rsidRDefault="008C3EBA" w:rsidP="008C3EBA">
      <w:pPr>
        <w:jc w:val="both"/>
        <w:rPr>
          <w:rFonts w:asciiTheme="minorHAnsi" w:hAnsiTheme="minorHAnsi"/>
          <w:sz w:val="22"/>
          <w:szCs w:val="22"/>
        </w:rPr>
      </w:pPr>
    </w:p>
    <w:p w14:paraId="77E851C8" w14:textId="77777777" w:rsidR="0085042C" w:rsidRDefault="002A0565" w:rsidP="008C3EB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Cualquier incumplimiento de esta Política o de estas leyes y reglamentos puede acarrear medidas disciplinarias de la empresa, incluido el despido.  </w:t>
      </w:r>
    </w:p>
    <w:p w14:paraId="269652AE" w14:textId="77777777" w:rsidR="0085042C" w:rsidRDefault="0085042C">
      <w:pPr>
        <w:pStyle w:val="Default"/>
        <w:rPr>
          <w:rFonts w:asciiTheme="minorHAnsi" w:hAnsiTheme="minorHAnsi"/>
          <w:i/>
          <w:sz w:val="22"/>
          <w:szCs w:val="22"/>
        </w:rPr>
      </w:pPr>
    </w:p>
    <w:p w14:paraId="6FEE9BC6" w14:textId="77777777" w:rsidR="0085042C" w:rsidRDefault="002A0565" w:rsidP="00411E2B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Supervisión y revisión</w:t>
      </w:r>
    </w:p>
    <w:p w14:paraId="2FDAEE78" w14:textId="77777777" w:rsidR="00AF084C" w:rsidRPr="00A55EC2" w:rsidRDefault="00AF084C" w:rsidP="00411E2B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CFB4F07" w14:textId="6FB41C95" w:rsidR="0085042C" w:rsidRDefault="00AF084C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La dirección de la empresa es responsable de establecer controles para garantizar que sus negocios se desarrollen globalmente de conformidad con las políticas de PPG y con todas las leyes y reglamentos aplicables. Los Servicios de Auditoría Corporativa de PPG supervisarán y revisarán con regularidad el cumplimiento de esta Política por parte de los empleados, los procedimientos relacionados y las leyes y reglamentos correspondientes. </w:t>
      </w:r>
    </w:p>
    <w:p w14:paraId="5013ACCA" w14:textId="77777777" w:rsidR="0085042C" w:rsidRDefault="0085042C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1DD894EE" w14:textId="77777777" w:rsidR="0085042C" w:rsidRPr="00A55EC2" w:rsidRDefault="002A0565" w:rsidP="00411E2B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Informes</w:t>
      </w:r>
    </w:p>
    <w:p w14:paraId="18D6363F" w14:textId="08D81DBE" w:rsidR="0085042C" w:rsidRDefault="002A0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Cualquier director, funcionario o empleado de PPG y sus subsidiarias que sospeche o tenga conocimiento de una infracción a esta Política o estas leyes y reglamentos debe informar sobre esto al Director de Cumplimiento de PPG, al Consejo Corporativo de PPG, a Ética y Cumplimiento Globales, a otro de los recursos que se identifican </w:t>
      </w:r>
      <w:r w:rsidR="007563CD">
        <w:rPr>
          <w:sz w:val="22"/>
          <w:szCs w:val="22"/>
        </w:rPr>
        <w:t>más abajo</w:t>
      </w:r>
      <w:bookmarkStart w:id="0" w:name="_GoBack"/>
      <w:bookmarkEnd w:id="0"/>
      <w:r>
        <w:rPr>
          <w:sz w:val="22"/>
          <w:szCs w:val="22"/>
        </w:rPr>
        <w:t xml:space="preserve"> o por medio de la “</w:t>
      </w:r>
      <w:hyperlink r:id="rId20" w:history="1">
        <w:r>
          <w:rPr>
            <w:rStyle w:val="Hipervnculo"/>
            <w:sz w:val="22"/>
            <w:szCs w:val="22"/>
          </w:rPr>
          <w:t>Línea de Ayuda de Ética</w:t>
        </w:r>
      </w:hyperlink>
      <w:r>
        <w:rPr>
          <w:sz w:val="22"/>
          <w:szCs w:val="22"/>
        </w:rPr>
        <w:t xml:space="preserve">” anónima y confidencial de PPG.  </w:t>
      </w:r>
    </w:p>
    <w:p w14:paraId="6CEBC2CF" w14:textId="77777777" w:rsidR="0085042C" w:rsidRDefault="0085042C">
      <w:pPr>
        <w:pStyle w:val="Default"/>
        <w:rPr>
          <w:rFonts w:asciiTheme="minorHAnsi" w:hAnsiTheme="minorHAnsi"/>
          <w:i/>
          <w:sz w:val="22"/>
          <w:szCs w:val="22"/>
        </w:rPr>
      </w:pPr>
    </w:p>
    <w:p w14:paraId="2B9D7AAF" w14:textId="77777777" w:rsidR="0085042C" w:rsidRDefault="002A0565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Recursos</w:t>
      </w:r>
    </w:p>
    <w:p w14:paraId="53784C3D" w14:textId="77777777" w:rsidR="0085042C" w:rsidRDefault="002A056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tiene alguna pregunta en relación con esta Política o las leyes y reglamentos mencionados, póngase en contacto con:</w:t>
      </w:r>
    </w:p>
    <w:p w14:paraId="491190A2" w14:textId="77777777" w:rsidR="008C3EBA" w:rsidRPr="008C3EBA" w:rsidRDefault="002A0565" w:rsidP="008C3EBA">
      <w:pPr>
        <w:pStyle w:val="Default"/>
        <w:numPr>
          <w:ilvl w:val="0"/>
          <w:numId w:val="2"/>
        </w:numPr>
        <w:ind w:left="763"/>
        <w:contextualSpacing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Chief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Compliance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Officer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de PPG – EE. UU. (412.434.3200)</w:t>
      </w:r>
    </w:p>
    <w:p w14:paraId="41E673D6" w14:textId="77777777" w:rsidR="00411E2B" w:rsidRPr="00411E2B" w:rsidRDefault="00411E2B" w:rsidP="008C3EBA">
      <w:pPr>
        <w:pStyle w:val="Prrafodelista"/>
        <w:numPr>
          <w:ilvl w:val="0"/>
          <w:numId w:val="2"/>
        </w:numPr>
        <w:spacing w:before="0"/>
        <w:ind w:left="763"/>
        <w:rPr>
          <w:rFonts w:asciiTheme="minorHAnsi" w:eastAsiaTheme="minorHAnsi" w:hAnsiTheme="minorHAnsi" w:cs="Calibri"/>
          <w:i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i/>
          <w:color w:val="000000"/>
          <w:sz w:val="22"/>
          <w:szCs w:val="22"/>
        </w:rPr>
        <w:t>Corporate</w:t>
      </w:r>
      <w:proofErr w:type="spellEnd"/>
      <w:r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color w:val="000000"/>
          <w:sz w:val="22"/>
          <w:szCs w:val="22"/>
        </w:rPr>
        <w:t>Counsel</w:t>
      </w:r>
      <w:proofErr w:type="spellEnd"/>
      <w:r>
        <w:rPr>
          <w:rFonts w:asciiTheme="minorHAnsi" w:hAnsiTheme="minorHAnsi"/>
          <w:i/>
          <w:color w:val="000000"/>
          <w:sz w:val="22"/>
          <w:szCs w:val="22"/>
        </w:rPr>
        <w:t xml:space="preserve">, Global </w:t>
      </w:r>
      <w:proofErr w:type="spellStart"/>
      <w:r>
        <w:rPr>
          <w:rFonts w:asciiTheme="minorHAnsi" w:hAnsiTheme="minorHAnsi"/>
          <w:i/>
          <w:color w:val="000000"/>
          <w:sz w:val="22"/>
          <w:szCs w:val="22"/>
        </w:rPr>
        <w:t>Ethics</w:t>
      </w:r>
      <w:proofErr w:type="spellEnd"/>
      <w:r>
        <w:rPr>
          <w:rFonts w:asciiTheme="minorHAnsi" w:hAnsiTheme="minorHAnsi"/>
          <w:i/>
          <w:color w:val="000000"/>
          <w:sz w:val="22"/>
          <w:szCs w:val="22"/>
        </w:rPr>
        <w:t xml:space="preserve"> &amp; </w:t>
      </w:r>
      <w:proofErr w:type="spellStart"/>
      <w:r>
        <w:rPr>
          <w:rFonts w:asciiTheme="minorHAnsi" w:hAnsiTheme="minorHAnsi"/>
          <w:i/>
          <w:color w:val="000000"/>
          <w:sz w:val="22"/>
          <w:szCs w:val="22"/>
        </w:rPr>
        <w:t>Compliance</w:t>
      </w:r>
      <w:proofErr w:type="spellEnd"/>
      <w:r>
        <w:rPr>
          <w:rFonts w:asciiTheme="minorHAnsi" w:hAnsiTheme="minorHAnsi"/>
          <w:i/>
          <w:color w:val="000000"/>
          <w:sz w:val="22"/>
          <w:szCs w:val="22"/>
        </w:rPr>
        <w:t xml:space="preserve"> de PPG (412.434.2434)</w:t>
      </w:r>
    </w:p>
    <w:p w14:paraId="40F6C28B" w14:textId="77777777" w:rsidR="0085042C" w:rsidRDefault="002A0565" w:rsidP="008C3EBA">
      <w:pPr>
        <w:pStyle w:val="Default"/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</w:rPr>
        <w:t xml:space="preserve">Senior V.P. and General </w:t>
      </w:r>
      <w:proofErr w:type="spellStart"/>
      <w:r>
        <w:rPr>
          <w:rFonts w:asciiTheme="minorHAnsi" w:hAnsiTheme="minorHAnsi"/>
          <w:i/>
          <w:sz w:val="22"/>
          <w:szCs w:val="22"/>
        </w:rPr>
        <w:t>Counsel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– EE. UU. (412.434.2471)</w:t>
      </w:r>
    </w:p>
    <w:p w14:paraId="55921441" w14:textId="77777777" w:rsidR="0085042C" w:rsidRDefault="002A0565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</w:rPr>
        <w:t>Consejo regional de PPG:</w:t>
      </w:r>
    </w:p>
    <w:p w14:paraId="601FDF92" w14:textId="77777777" w:rsidR="0085042C" w:rsidRDefault="002A0565" w:rsidP="003270D8">
      <w:pPr>
        <w:pStyle w:val="Default"/>
        <w:numPr>
          <w:ilvl w:val="1"/>
          <w:numId w:val="17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</w:rPr>
        <w:t>Consejo General – Asia Pacífico (852.2860.4569)</w:t>
      </w:r>
    </w:p>
    <w:p w14:paraId="41D0DBB3" w14:textId="77777777" w:rsidR="0085042C" w:rsidRDefault="002A0565" w:rsidP="003270D8">
      <w:pPr>
        <w:pStyle w:val="Default"/>
        <w:numPr>
          <w:ilvl w:val="1"/>
          <w:numId w:val="17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>Consejo General – Europa, Medio Oriente y África (41.21.822.3011)</w:t>
      </w:r>
    </w:p>
    <w:p w14:paraId="36FDEF75" w14:textId="77777777" w:rsidR="0030096A" w:rsidRDefault="0030096A" w:rsidP="003270D8">
      <w:pPr>
        <w:pStyle w:val="Default"/>
        <w:numPr>
          <w:ilvl w:val="1"/>
          <w:numId w:val="17"/>
        </w:numPr>
        <w:rPr>
          <w:rFonts w:asciiTheme="minorHAnsi" w:hAnsiTheme="minorHAnsi"/>
          <w:i/>
          <w:sz w:val="22"/>
          <w:szCs w:val="22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Law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Director  – América del Sur (55 19 2103.6082)</w:t>
      </w:r>
    </w:p>
    <w:p w14:paraId="04893EF1" w14:textId="4EAFDFD6" w:rsidR="0085042C" w:rsidRDefault="003270D8" w:rsidP="003270D8">
      <w:pPr>
        <w:pStyle w:val="Default"/>
        <w:numPr>
          <w:ilvl w:val="1"/>
          <w:numId w:val="17"/>
        </w:numPr>
        <w:rPr>
          <w:rFonts w:asciiTheme="minorHAnsi" w:hAnsiTheme="minorHAnsi"/>
          <w:i/>
          <w:sz w:val="22"/>
          <w:szCs w:val="22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Law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and </w:t>
      </w:r>
      <w:proofErr w:type="spellStart"/>
      <w:r>
        <w:rPr>
          <w:rFonts w:asciiTheme="minorHAnsi" w:hAnsiTheme="minorHAnsi"/>
          <w:i/>
          <w:sz w:val="22"/>
          <w:szCs w:val="22"/>
        </w:rPr>
        <w:t>Compliance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Director– Norte de América Latina (52 55 5284.1779)</w:t>
      </w:r>
    </w:p>
    <w:sectPr w:rsidR="0085042C" w:rsidSect="0085042C">
      <w:footerReference w:type="default" r:id="rId21"/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E5D6" w14:textId="77777777" w:rsidR="00A86F47" w:rsidRDefault="00A86F47">
      <w:pPr>
        <w:spacing w:before="0"/>
      </w:pPr>
      <w:r>
        <w:separator/>
      </w:r>
    </w:p>
  </w:endnote>
  <w:endnote w:type="continuationSeparator" w:id="0">
    <w:p w14:paraId="2EDF849C" w14:textId="77777777" w:rsidR="00A86F47" w:rsidRDefault="00A86F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A841" w14:textId="7FDC14AA" w:rsidR="004C79DC" w:rsidRDefault="00ED53A3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Rev. 12/19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4C79DC">
      <w:fldChar w:fldCharType="begin"/>
    </w:r>
    <w:r w:rsidR="004C79DC">
      <w:instrText xml:space="preserve"> PAGE   \* MERGEFORMAT </w:instrText>
    </w:r>
    <w:r w:rsidR="004C79DC">
      <w:fldChar w:fldCharType="separate"/>
    </w:r>
    <w:r w:rsidR="005A6891" w:rsidRPr="005A6891">
      <w:rPr>
        <w:rFonts w:asciiTheme="majorHAnsi" w:hAnsiTheme="majorHAnsi"/>
      </w:rPr>
      <w:t>4</w:t>
    </w:r>
    <w:r w:rsidR="004C79DC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541C9" w14:textId="77777777" w:rsidR="00A86F47" w:rsidRDefault="00A86F47">
      <w:pPr>
        <w:spacing w:before="0"/>
      </w:pPr>
      <w:r>
        <w:separator/>
      </w:r>
    </w:p>
  </w:footnote>
  <w:footnote w:type="continuationSeparator" w:id="0">
    <w:p w14:paraId="1054D7F9" w14:textId="77777777" w:rsidR="00A86F47" w:rsidRDefault="00A86F4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15pt;height:9.15pt" o:bullet="t">
        <v:imagedata r:id="rId1" o:title="art8ED"/>
      </v:shape>
    </w:pict>
  </w:numPicBullet>
  <w:abstractNum w:abstractNumId="0" w15:restartNumberingAfterBreak="0">
    <w:nsid w:val="08D62D33"/>
    <w:multiLevelType w:val="hybridMultilevel"/>
    <w:tmpl w:val="718C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E42C1"/>
    <w:multiLevelType w:val="hybridMultilevel"/>
    <w:tmpl w:val="638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D5C5A"/>
    <w:multiLevelType w:val="hybridMultilevel"/>
    <w:tmpl w:val="75D00B10"/>
    <w:lvl w:ilvl="0" w:tplc="CEA088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A24A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6A2A02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2E2DE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DDA35C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9DE113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E78EF9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A2E1D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7B42F8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3F9E530B"/>
    <w:multiLevelType w:val="hybridMultilevel"/>
    <w:tmpl w:val="1B1C5306"/>
    <w:lvl w:ilvl="0" w:tplc="A1C0F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E77A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CC2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AA2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2C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42A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A85C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A0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6A83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5D3908"/>
    <w:multiLevelType w:val="hybridMultilevel"/>
    <w:tmpl w:val="2AD0B15C"/>
    <w:lvl w:ilvl="0" w:tplc="AD7E46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E2891"/>
    <w:multiLevelType w:val="hybridMultilevel"/>
    <w:tmpl w:val="60B69E3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5C8311B"/>
    <w:multiLevelType w:val="hybridMultilevel"/>
    <w:tmpl w:val="127443C2"/>
    <w:lvl w:ilvl="0" w:tplc="E5BAB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E8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C90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8F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2A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E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9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6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62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73743D"/>
    <w:multiLevelType w:val="hybridMultilevel"/>
    <w:tmpl w:val="2050E47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5C9A51AB"/>
    <w:multiLevelType w:val="hybridMultilevel"/>
    <w:tmpl w:val="A4887D18"/>
    <w:lvl w:ilvl="0" w:tplc="80DA8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C3C6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615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61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A0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67C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400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076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A659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BB48F6"/>
    <w:multiLevelType w:val="hybridMultilevel"/>
    <w:tmpl w:val="9C66A0A2"/>
    <w:lvl w:ilvl="0" w:tplc="F77875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97488F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B9EEFE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7ECDD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492EFD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5981B6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460BD0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BE826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E81E1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69F1114A"/>
    <w:multiLevelType w:val="hybridMultilevel"/>
    <w:tmpl w:val="DB2E2CDE"/>
    <w:lvl w:ilvl="0" w:tplc="C1F2F4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D832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9A0D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20F3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3CE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FADC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FA38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320A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8A39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2C366AB"/>
    <w:multiLevelType w:val="hybridMultilevel"/>
    <w:tmpl w:val="00E25980"/>
    <w:lvl w:ilvl="0" w:tplc="3D9C144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D2606"/>
    <w:multiLevelType w:val="hybridMultilevel"/>
    <w:tmpl w:val="FD3C8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FD2C5D"/>
    <w:multiLevelType w:val="hybridMultilevel"/>
    <w:tmpl w:val="6564265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2C"/>
    <w:rsid w:val="0010137D"/>
    <w:rsid w:val="001023E7"/>
    <w:rsid w:val="001B70A7"/>
    <w:rsid w:val="001F44D4"/>
    <w:rsid w:val="001F59D3"/>
    <w:rsid w:val="002009CC"/>
    <w:rsid w:val="00201E84"/>
    <w:rsid w:val="002A0565"/>
    <w:rsid w:val="002C4D14"/>
    <w:rsid w:val="002C689C"/>
    <w:rsid w:val="002F6302"/>
    <w:rsid w:val="0030096A"/>
    <w:rsid w:val="00301743"/>
    <w:rsid w:val="00302DF2"/>
    <w:rsid w:val="003270D8"/>
    <w:rsid w:val="003477D5"/>
    <w:rsid w:val="0034795A"/>
    <w:rsid w:val="003821E3"/>
    <w:rsid w:val="003B7A3B"/>
    <w:rsid w:val="003E2ED3"/>
    <w:rsid w:val="003F53E9"/>
    <w:rsid w:val="003F5BF6"/>
    <w:rsid w:val="00411E2B"/>
    <w:rsid w:val="004534BC"/>
    <w:rsid w:val="004A7148"/>
    <w:rsid w:val="004C79DC"/>
    <w:rsid w:val="004E1F0A"/>
    <w:rsid w:val="004E359F"/>
    <w:rsid w:val="00504F8B"/>
    <w:rsid w:val="005A6891"/>
    <w:rsid w:val="005B3B81"/>
    <w:rsid w:val="005F19D4"/>
    <w:rsid w:val="00670AE0"/>
    <w:rsid w:val="007563CD"/>
    <w:rsid w:val="00764DF4"/>
    <w:rsid w:val="007802EF"/>
    <w:rsid w:val="007B5071"/>
    <w:rsid w:val="00815680"/>
    <w:rsid w:val="00844DDF"/>
    <w:rsid w:val="0085042C"/>
    <w:rsid w:val="008C3EBA"/>
    <w:rsid w:val="00902A82"/>
    <w:rsid w:val="00915FB0"/>
    <w:rsid w:val="00985CFB"/>
    <w:rsid w:val="009F420F"/>
    <w:rsid w:val="00A47E7A"/>
    <w:rsid w:val="00A55EC2"/>
    <w:rsid w:val="00A86F47"/>
    <w:rsid w:val="00A957D3"/>
    <w:rsid w:val="00AA7101"/>
    <w:rsid w:val="00AC350E"/>
    <w:rsid w:val="00AC37DC"/>
    <w:rsid w:val="00AD5545"/>
    <w:rsid w:val="00AF084C"/>
    <w:rsid w:val="00B05D5A"/>
    <w:rsid w:val="00B21148"/>
    <w:rsid w:val="00B5431E"/>
    <w:rsid w:val="00BF33FD"/>
    <w:rsid w:val="00C54B31"/>
    <w:rsid w:val="00C613B2"/>
    <w:rsid w:val="00D07999"/>
    <w:rsid w:val="00D10839"/>
    <w:rsid w:val="00D66323"/>
    <w:rsid w:val="00D73F88"/>
    <w:rsid w:val="00D93250"/>
    <w:rsid w:val="00DA425F"/>
    <w:rsid w:val="00DB76C7"/>
    <w:rsid w:val="00E00542"/>
    <w:rsid w:val="00E05FB7"/>
    <w:rsid w:val="00E95A14"/>
    <w:rsid w:val="00EB7D4D"/>
    <w:rsid w:val="00ED53A3"/>
    <w:rsid w:val="00F30C7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F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2C"/>
    <w:pPr>
      <w:autoSpaceDE w:val="0"/>
      <w:autoSpaceDN w:val="0"/>
      <w:adjustRightInd w:val="0"/>
      <w:spacing w:before="8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0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42C"/>
    <w:pPr>
      <w:autoSpaceDE/>
      <w:autoSpaceDN/>
      <w:adjustRightInd/>
      <w:spacing w:before="0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4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042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504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042C"/>
    <w:pPr>
      <w:tabs>
        <w:tab w:val="center" w:pos="4680"/>
        <w:tab w:val="right" w:pos="9360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85042C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5042C"/>
    <w:pPr>
      <w:tabs>
        <w:tab w:val="center" w:pos="4680"/>
        <w:tab w:val="right" w:pos="9360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42C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5042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F44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44D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44D4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4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44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47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7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7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9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54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2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633">
              <w:marLeft w:val="0"/>
              <w:marRight w:val="3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0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9E9E9"/>
                        <w:left w:val="single" w:sz="4" w:space="6" w:color="E9E9E9"/>
                        <w:bottom w:val="single" w:sz="4" w:space="6" w:color="E9E9E9"/>
                        <w:right w:val="single" w:sz="4" w:space="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1867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2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orporate.ppg.com/Our-Company/Ethics.aspx" TargetMode="External"/><Relationship Id="rId18" Type="http://schemas.openxmlformats.org/officeDocument/2006/relationships/hyperlink" Target="https://one.web.ppg.com/na/ethics/en/Pages/Third-Party-Due-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one.web.ppg.com/na/globalfinance/policies/Documents/CM.pdf" TargetMode="External"/><Relationship Id="rId17" Type="http://schemas.openxmlformats.org/officeDocument/2006/relationships/hyperlink" Target="https://one.web.ppg.com/na/globalfinance/policies/Documents/CM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e.web.ppg.com/na/travel/TE/Policies/2018%20Policies/PPG%20Global%20Travel%20Policy%20030118.pdf" TargetMode="External"/><Relationship Id="rId20" Type="http://schemas.openxmlformats.org/officeDocument/2006/relationships/hyperlink" Target="https://app.convercent.com/es-es/LandingPage/ada23786-4d8b-e611-810b-000d3ab2fee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orporate.ppg.com/Our-Company/Ethics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one.web.ppg.com/na/ethics/en/Pages/Due-Diligence-Policies-and-Procedures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corporate.ppg.com/Our-Company/Ethic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orporate.ppg.com/Our-Company/Ethics.asp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C239AD5C10548B01EB05D2CE458CF" ma:contentTypeVersion="4" ma:contentTypeDescription="Create a new document." ma:contentTypeScope="" ma:versionID="65fd16864e68018b9e3939b8f0f274a4">
  <xsd:schema xmlns:xsd="http://www.w3.org/2001/XMLSchema" xmlns:xs="http://www.w3.org/2001/XMLSchema" xmlns:p="http://schemas.microsoft.com/office/2006/metadata/properties" xmlns:ns1="http://schemas.microsoft.com/sharepoint/v3" xmlns:ns2="a78e3f42-8b58-4cf5-a404-787808b7749f" targetNamespace="http://schemas.microsoft.com/office/2006/metadata/properties" ma:root="true" ma:fieldsID="450291bc940ef47ead59f383331a6da3" ns1:_="" ns2:_="">
    <xsd:import namespace="http://schemas.microsoft.com/sharepoint/v3"/>
    <xsd:import namespace="a78e3f42-8b58-4cf5-a404-787808b774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3f42-8b58-4cf5-a404-787808b77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4DA8A-4275-404A-8F87-31BF73144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e3f42-8b58-4cf5-a404-787808b77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29663-5853-4DD1-8258-892CFC41AC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C8AC8B-8DD9-4129-AC12-EBA15D9F6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2196</Words>
  <Characters>12083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2019-11-26T20:23:00Z</dcterms:created>
  <dcterms:modified xsi:type="dcterms:W3CDTF">2020-01-22T11:14:00Z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0x01010096CC239AD5C10548B01EB05D2CE458CF</vt:lpwstr>
  </property>
  <property fmtid="{D5CDD505-2E9C-101B-9397-08002B2CF9AE}" pid="3" name="Order">
    <vt:r8>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