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D85C3" w14:textId="77777777" w:rsidR="0085042C" w:rsidRPr="004A5955" w:rsidRDefault="00D73F88">
      <w:pPr>
        <w:pStyle w:val="Default"/>
        <w:rPr>
          <w:rFonts w:ascii="바탕" w:hAnsi="바탕"/>
        </w:rPr>
      </w:pPr>
      <w:r w:rsidRPr="004A5955">
        <w:rPr>
          <w:rFonts w:ascii="바탕" w:hAnsi="바탕" w:hint="eastAsia"/>
          <w:noProof/>
          <w:lang w:eastAsia="zh-CN"/>
        </w:rPr>
        <w:drawing>
          <wp:inline distT="0" distB="0" distL="0" distR="0" wp14:anchorId="20406005" wp14:editId="60B069B2">
            <wp:extent cx="9715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pic:spPr>
                </pic:pic>
              </a:graphicData>
            </a:graphic>
          </wp:inline>
        </w:drawing>
      </w:r>
    </w:p>
    <w:p w14:paraId="629160D4" w14:textId="77777777" w:rsidR="0085042C" w:rsidRPr="004A5955" w:rsidRDefault="002A0565">
      <w:pPr>
        <w:pStyle w:val="Default"/>
        <w:jc w:val="center"/>
        <w:rPr>
          <w:rFonts w:ascii="바탕" w:hAnsi="바탕"/>
          <w:sz w:val="28"/>
          <w:szCs w:val="28"/>
        </w:rPr>
      </w:pPr>
      <w:r w:rsidRPr="004A5955">
        <w:rPr>
          <w:rFonts w:ascii="바탕" w:hAnsi="바탕" w:hint="eastAsia"/>
          <w:b/>
          <w:bCs/>
          <w:sz w:val="28"/>
          <w:szCs w:val="28"/>
        </w:rPr>
        <w:t>PPG 글로벌 반부패 정책</w:t>
      </w:r>
    </w:p>
    <w:p w14:paraId="7E3CA0CB" w14:textId="77777777" w:rsidR="0085042C" w:rsidRPr="004A5955" w:rsidRDefault="0085042C">
      <w:pPr>
        <w:pStyle w:val="Default"/>
        <w:rPr>
          <w:rFonts w:ascii="바탕" w:hAnsi="바탕"/>
          <w:sz w:val="23"/>
          <w:szCs w:val="23"/>
        </w:rPr>
      </w:pPr>
    </w:p>
    <w:p w14:paraId="76F18EA5" w14:textId="77777777" w:rsidR="0085042C" w:rsidRPr="004A5955" w:rsidRDefault="002A0565" w:rsidP="00AA7101">
      <w:pPr>
        <w:pStyle w:val="Default"/>
        <w:jc w:val="center"/>
        <w:rPr>
          <w:rFonts w:ascii="바탕" w:hAnsi="바탕"/>
          <w:b/>
          <w:sz w:val="22"/>
          <w:szCs w:val="22"/>
          <w:u w:val="single"/>
        </w:rPr>
      </w:pPr>
      <w:r w:rsidRPr="004A5955">
        <w:rPr>
          <w:rFonts w:ascii="바탕" w:hAnsi="바탕" w:hint="eastAsia"/>
          <w:b/>
          <w:sz w:val="22"/>
          <w:szCs w:val="22"/>
          <w:u w:val="single"/>
        </w:rPr>
        <w:t>소개</w:t>
      </w:r>
    </w:p>
    <w:p w14:paraId="2BFA365F" w14:textId="77777777" w:rsidR="001B70A7" w:rsidRPr="004A5955" w:rsidRDefault="001B70A7" w:rsidP="00AA7101">
      <w:pPr>
        <w:pStyle w:val="Default"/>
        <w:jc w:val="center"/>
        <w:rPr>
          <w:rFonts w:ascii="바탕" w:hAnsi="바탕"/>
          <w:b/>
          <w:sz w:val="22"/>
          <w:szCs w:val="22"/>
          <w:u w:val="single"/>
        </w:rPr>
      </w:pPr>
    </w:p>
    <w:p w14:paraId="390499AD" w14:textId="27E590B6" w:rsidR="0085042C" w:rsidRPr="004A5955" w:rsidRDefault="002A0565">
      <w:pPr>
        <w:pStyle w:val="Default"/>
        <w:rPr>
          <w:rFonts w:ascii="바탕" w:hAnsi="바탕"/>
          <w:sz w:val="22"/>
          <w:szCs w:val="22"/>
        </w:rPr>
      </w:pPr>
      <w:r w:rsidRPr="004A5955">
        <w:rPr>
          <w:rFonts w:ascii="바탕" w:hAnsi="바탕" w:hint="eastAsia"/>
          <w:sz w:val="22"/>
          <w:szCs w:val="22"/>
        </w:rPr>
        <w:t>70여 개국에서 활동하는 글로벌 기업으로서 PPG는 여러 법률과 규제를 준수해야 합니다. 이러한 법률과 규제 중 중요한 것은 뇌물수수와 부패를 통제하는 것입니다.</w:t>
      </w:r>
    </w:p>
    <w:p w14:paraId="00886069" w14:textId="77777777" w:rsidR="0085042C" w:rsidRPr="004A5955" w:rsidRDefault="002A0565">
      <w:pPr>
        <w:pStyle w:val="Default"/>
        <w:rPr>
          <w:rFonts w:ascii="바탕" w:hAnsi="바탕"/>
          <w:sz w:val="22"/>
          <w:szCs w:val="22"/>
        </w:rPr>
      </w:pPr>
      <w:r w:rsidRPr="004A5955">
        <w:rPr>
          <w:rFonts w:ascii="바탕" w:hAnsi="바탕" w:hint="eastAsia"/>
          <w:sz w:val="22"/>
          <w:szCs w:val="22"/>
        </w:rPr>
        <w:tab/>
        <w:t xml:space="preserve"> </w:t>
      </w:r>
    </w:p>
    <w:p w14:paraId="0AE75877" w14:textId="2FC8A6FF" w:rsidR="0085042C" w:rsidRPr="004A5955" w:rsidRDefault="002A0565">
      <w:pPr>
        <w:rPr>
          <w:rFonts w:ascii="바탕" w:eastAsia="바탕" w:hAnsi="바탕"/>
          <w:sz w:val="22"/>
          <w:szCs w:val="22"/>
        </w:rPr>
      </w:pPr>
      <w:r w:rsidRPr="004A5955">
        <w:rPr>
          <w:rFonts w:ascii="바탕" w:eastAsia="바탕" w:hAnsi="바탕" w:hint="eastAsia"/>
        </w:rPr>
        <w:t>이러한 요구를 인식하</w:t>
      </w:r>
      <w:r w:rsidRPr="004A5955">
        <w:rPr>
          <w:rFonts w:ascii="바탕" w:eastAsia="바탕" w:hAnsi="바탕" w:hint="eastAsia"/>
          <w:sz w:val="22"/>
          <w:szCs w:val="22"/>
        </w:rPr>
        <w:t xml:space="preserve">고 도덕적으로 행동하고 부패를 멀리하겠다는 우리의 </w:t>
      </w:r>
      <w:hyperlink r:id="rId11" w:history="1">
        <w:r w:rsidRPr="004A5955">
          <w:rPr>
            <w:rStyle w:val="a8"/>
            <w:rFonts w:ascii="바탕" w:eastAsia="바탕" w:hAnsi="바탕" w:hint="eastAsia"/>
            <w:sz w:val="22"/>
            <w:szCs w:val="22"/>
          </w:rPr>
          <w:t>글로벌 윤리강령</w:t>
        </w:r>
      </w:hyperlink>
      <w:r w:rsidRPr="004A5955">
        <w:rPr>
          <w:rFonts w:ascii="바탕" w:eastAsia="바탕" w:hAnsi="바탕" w:hint="eastAsia"/>
          <w:sz w:val="22"/>
          <w:szCs w:val="22"/>
        </w:rPr>
        <w:t>('강령')</w:t>
      </w:r>
      <w:r w:rsidRPr="004A5955">
        <w:rPr>
          <w:rFonts w:ascii="바탕" w:eastAsia="바탕" w:hAnsi="바탕" w:hint="eastAsia"/>
        </w:rPr>
        <w:t>의 약속을 강조하기 위해</w:t>
      </w:r>
      <w:r w:rsidRPr="004A5955">
        <w:rPr>
          <w:rFonts w:ascii="바탕" w:eastAsia="바탕" w:hAnsi="바탕" w:hint="eastAsia"/>
          <w:sz w:val="22"/>
          <w:szCs w:val="22"/>
        </w:rPr>
        <w:t xml:space="preserve"> PPG는 글로벌 반부패정책('정책')을 유지합니다. 이 정책은 전 세계 PPG Industries, Inc.(이하 'PPG')와 PPG의 완전 소유 또는 통제 자회사(이하 '자회사')에 적용됩니다. 이 정책은 전 세계에서 시행하고 있는 엄격한 뇌물수수 금지 및 반부패 법률을 준수하기 위해 우리의 행동을 통제하고 점점 더 늘어나는 표준 및 원칙을 강화하고자 글로벌 윤리강령을 토대로 마련되었습니다. </w:t>
      </w:r>
    </w:p>
    <w:p w14:paraId="6839892C" w14:textId="77777777" w:rsidR="0085042C" w:rsidRPr="004A5955" w:rsidRDefault="0085042C">
      <w:pPr>
        <w:pStyle w:val="Default"/>
        <w:rPr>
          <w:rFonts w:ascii="바탕" w:hAnsi="바탕"/>
          <w:sz w:val="22"/>
          <w:szCs w:val="22"/>
        </w:rPr>
      </w:pPr>
    </w:p>
    <w:p w14:paraId="70F27C33" w14:textId="3AF93821" w:rsidR="004E1F0A" w:rsidRPr="004A5955" w:rsidRDefault="00D07999" w:rsidP="004E1F0A">
      <w:pPr>
        <w:pStyle w:val="Default"/>
        <w:spacing w:after="240"/>
        <w:rPr>
          <w:rFonts w:ascii="바탕" w:hAnsi="바탕"/>
          <w:sz w:val="22"/>
          <w:szCs w:val="22"/>
        </w:rPr>
      </w:pPr>
      <w:r w:rsidRPr="004A5955">
        <w:rPr>
          <w:rFonts w:ascii="바탕" w:hAnsi="바탕" w:hint="eastAsia"/>
          <w:sz w:val="22"/>
          <w:szCs w:val="22"/>
        </w:rPr>
        <w:t xml:space="preserve">PPG가 사업을 영위하는 모든 국가는 이러한 법률 하나 이상이 적용됩니다. 예를 들면 미국 해외부패방지법(FCPA), 프랑스의 </w:t>
      </w:r>
      <w:proofErr w:type="spellStart"/>
      <w:r w:rsidRPr="004A5955">
        <w:rPr>
          <w:rFonts w:ascii="바탕" w:hAnsi="바탕" w:hint="eastAsia"/>
          <w:sz w:val="22"/>
          <w:szCs w:val="22"/>
        </w:rPr>
        <w:t>Loi</w:t>
      </w:r>
      <w:proofErr w:type="spellEnd"/>
      <w:r w:rsidRPr="004A5955">
        <w:rPr>
          <w:rFonts w:ascii="바탕" w:hAnsi="바탕" w:hint="eastAsia"/>
          <w:sz w:val="22"/>
          <w:szCs w:val="22"/>
        </w:rPr>
        <w:t xml:space="preserve"> </w:t>
      </w:r>
      <w:proofErr w:type="spellStart"/>
      <w:r w:rsidRPr="004A5955">
        <w:rPr>
          <w:rFonts w:ascii="바탕" w:hAnsi="바탕" w:hint="eastAsia"/>
          <w:sz w:val="22"/>
          <w:szCs w:val="22"/>
        </w:rPr>
        <w:t>Sapin</w:t>
      </w:r>
      <w:proofErr w:type="spellEnd"/>
      <w:r w:rsidRPr="004A5955">
        <w:rPr>
          <w:rFonts w:ascii="바탕" w:hAnsi="바탕" w:hint="eastAsia"/>
          <w:sz w:val="22"/>
          <w:szCs w:val="22"/>
        </w:rPr>
        <w:t xml:space="preserve"> 2(반부패법), 멕시코 국가 반부패 시스템, 영국 뇌물방지법, 중국 형법, 브라질 청</w:t>
      </w:r>
      <w:r w:rsidR="00E7783D">
        <w:rPr>
          <w:rFonts w:ascii="바탕" w:hAnsi="바탕" w:hint="eastAsia"/>
          <w:sz w:val="22"/>
          <w:szCs w:val="22"/>
        </w:rPr>
        <w:t>렴</w:t>
      </w:r>
      <w:r w:rsidRPr="004A5955">
        <w:rPr>
          <w:rFonts w:ascii="바탕" w:hAnsi="바탕" w:hint="eastAsia"/>
          <w:sz w:val="22"/>
          <w:szCs w:val="22"/>
        </w:rPr>
        <w:t xml:space="preserve">기업법 등이 있습니다. 약간의 차이는 있지만 이러한 모든 법률은 부패를 척결하고, 글로벌 시장의 공신력을 재건하며, 공정하고 경쟁적으로 사업을 수행하는 상업적 환경을 육성하기 위해 채택되었습니다.  </w:t>
      </w:r>
    </w:p>
    <w:p w14:paraId="2193A93D" w14:textId="77777777" w:rsidR="0085042C" w:rsidRPr="004A5955" w:rsidRDefault="00F30C7E" w:rsidP="00411E2B">
      <w:pPr>
        <w:spacing w:after="240"/>
        <w:jc w:val="center"/>
        <w:rPr>
          <w:rFonts w:ascii="바탕" w:eastAsia="바탕" w:hAnsi="바탕"/>
          <w:b/>
          <w:sz w:val="22"/>
          <w:szCs w:val="22"/>
          <w:u w:val="single"/>
        </w:rPr>
      </w:pPr>
      <w:r w:rsidRPr="004A5955">
        <w:rPr>
          <w:rFonts w:ascii="바탕" w:eastAsia="바탕" w:hAnsi="바탕" w:hint="eastAsia"/>
          <w:b/>
          <w:sz w:val="22"/>
          <w:szCs w:val="22"/>
          <w:u w:val="single"/>
        </w:rPr>
        <w:t xml:space="preserve">정책 </w:t>
      </w:r>
    </w:p>
    <w:p w14:paraId="38D0549D" w14:textId="77777777" w:rsidR="0085042C" w:rsidRPr="004A5955" w:rsidRDefault="00915FB0">
      <w:pPr>
        <w:pStyle w:val="Default"/>
        <w:rPr>
          <w:rFonts w:ascii="바탕" w:hAnsi="바탕"/>
          <w:sz w:val="22"/>
          <w:szCs w:val="22"/>
        </w:rPr>
      </w:pPr>
      <w:r w:rsidRPr="004A5955">
        <w:rPr>
          <w:rFonts w:ascii="바탕" w:hAnsi="바탕" w:hint="eastAsia"/>
          <w:sz w:val="22"/>
          <w:szCs w:val="22"/>
        </w:rPr>
        <w:t>우리의 정책은,</w:t>
      </w:r>
    </w:p>
    <w:p w14:paraId="2B4AE181" w14:textId="77777777" w:rsidR="00915FB0" w:rsidRPr="004A5955" w:rsidRDefault="002C4D14" w:rsidP="00AA7101">
      <w:pPr>
        <w:pStyle w:val="a5"/>
        <w:numPr>
          <w:ilvl w:val="0"/>
          <w:numId w:val="15"/>
        </w:numPr>
        <w:ind w:left="720"/>
        <w:rPr>
          <w:rFonts w:ascii="바탕" w:eastAsia="바탕" w:hAnsi="바탕"/>
          <w:sz w:val="22"/>
          <w:szCs w:val="22"/>
        </w:rPr>
      </w:pPr>
      <w:r w:rsidRPr="004A5955">
        <w:rPr>
          <w:rFonts w:ascii="바탕" w:eastAsia="바탕" w:hAnsi="바탕" w:hint="eastAsia"/>
          <w:bCs/>
          <w:sz w:val="22"/>
          <w:szCs w:val="22"/>
        </w:rPr>
        <w:t xml:space="preserve">모든 국가에서 우리가 수행하는 모든 사업적 거래에 있어서 뇌물수수와 부패를 금지합니다.   </w:t>
      </w:r>
    </w:p>
    <w:p w14:paraId="72B9DCDD" w14:textId="77777777" w:rsidR="00915FB0" w:rsidRPr="004A5955" w:rsidRDefault="00915FB0" w:rsidP="00AA7101">
      <w:pPr>
        <w:pStyle w:val="a5"/>
        <w:numPr>
          <w:ilvl w:val="0"/>
          <w:numId w:val="15"/>
        </w:numPr>
        <w:ind w:left="720"/>
        <w:rPr>
          <w:rFonts w:ascii="바탕" w:eastAsia="바탕" w:hAnsi="바탕"/>
          <w:sz w:val="22"/>
          <w:szCs w:val="22"/>
        </w:rPr>
      </w:pPr>
      <w:r w:rsidRPr="004A5955">
        <w:rPr>
          <w:rFonts w:ascii="바탕" w:eastAsia="바탕" w:hAnsi="바탕" w:hint="eastAsia"/>
          <w:bCs/>
          <w:sz w:val="22"/>
          <w:szCs w:val="22"/>
        </w:rPr>
        <w:t xml:space="preserve">PPG 직원이나 PPG를 대표하는 사람은 PPG 사업을 수행할 때 뇌물이나 리베이트를 약속, 제공, 수수할 수 없습니다. </w:t>
      </w:r>
    </w:p>
    <w:p w14:paraId="5F5B03AB" w14:textId="77777777" w:rsidR="00D07999" w:rsidRPr="004A5955" w:rsidRDefault="00D07999" w:rsidP="00AA7101">
      <w:pPr>
        <w:pStyle w:val="a5"/>
        <w:numPr>
          <w:ilvl w:val="0"/>
          <w:numId w:val="15"/>
        </w:numPr>
        <w:ind w:left="720"/>
        <w:rPr>
          <w:rFonts w:ascii="바탕" w:eastAsia="바탕" w:hAnsi="바탕"/>
          <w:sz w:val="22"/>
          <w:szCs w:val="22"/>
        </w:rPr>
      </w:pPr>
      <w:r w:rsidRPr="004A5955">
        <w:rPr>
          <w:rFonts w:ascii="바탕" w:eastAsia="바탕" w:hAnsi="바탕" w:hint="eastAsia"/>
          <w:sz w:val="22"/>
          <w:szCs w:val="22"/>
        </w:rPr>
        <w:t>우리는 제3자 중개인이나 사기업, 정부, 정부의 해당 대리인과 관련하여 모든 부정 거래를 금지합니다.</w:t>
      </w:r>
    </w:p>
    <w:p w14:paraId="41A89ADA" w14:textId="77777777" w:rsidR="00915FB0" w:rsidRPr="004A5955" w:rsidRDefault="002A0565" w:rsidP="00AA7101">
      <w:pPr>
        <w:pStyle w:val="a5"/>
        <w:numPr>
          <w:ilvl w:val="0"/>
          <w:numId w:val="15"/>
        </w:numPr>
        <w:ind w:left="720"/>
        <w:rPr>
          <w:rFonts w:ascii="바탕" w:eastAsia="바탕" w:hAnsi="바탕"/>
          <w:sz w:val="22"/>
          <w:szCs w:val="22"/>
        </w:rPr>
      </w:pPr>
      <w:r w:rsidRPr="004A5955">
        <w:rPr>
          <w:rFonts w:ascii="바탕" w:eastAsia="바탕" w:hAnsi="바탕" w:hint="eastAsia"/>
          <w:sz w:val="22"/>
          <w:szCs w:val="22"/>
        </w:rPr>
        <w:t>이러한 금지는 사적 독립체나 개인 또는 국영/공공/정부 단체 또는 공무원에 관계없이 PPG와 다른 당사자 간의 모든 거래에 적용됩니다.</w:t>
      </w:r>
    </w:p>
    <w:p w14:paraId="7C496DF7" w14:textId="77777777" w:rsidR="00A47E7A" w:rsidRPr="004A5955" w:rsidRDefault="002C4D14" w:rsidP="00AA7101">
      <w:pPr>
        <w:pStyle w:val="a5"/>
        <w:numPr>
          <w:ilvl w:val="0"/>
          <w:numId w:val="15"/>
        </w:numPr>
        <w:ind w:left="720"/>
        <w:rPr>
          <w:rFonts w:ascii="바탕" w:eastAsia="바탕" w:hAnsi="바탕"/>
          <w:sz w:val="22"/>
          <w:szCs w:val="22"/>
        </w:rPr>
      </w:pPr>
      <w:r w:rsidRPr="004A5955">
        <w:rPr>
          <w:rFonts w:ascii="바탕" w:eastAsia="바탕" w:hAnsi="바탕" w:hint="eastAsia"/>
          <w:sz w:val="22"/>
          <w:szCs w:val="22"/>
        </w:rPr>
        <w:t>우리는 회사의 거래를 정확하고 공정하게 반영하며 충분히 상세하고 완전한 장부를 개발하고 유지할 것입니다.</w:t>
      </w:r>
    </w:p>
    <w:p w14:paraId="280C9597" w14:textId="77777777" w:rsidR="00A47E7A" w:rsidRPr="004A5955" w:rsidRDefault="00A47E7A" w:rsidP="00D07999">
      <w:pPr>
        <w:pStyle w:val="a5"/>
        <w:numPr>
          <w:ilvl w:val="0"/>
          <w:numId w:val="15"/>
        </w:numPr>
        <w:ind w:left="720"/>
        <w:rPr>
          <w:rFonts w:ascii="바탕" w:eastAsia="바탕" w:hAnsi="바탕"/>
          <w:sz w:val="22"/>
          <w:szCs w:val="22"/>
        </w:rPr>
      </w:pPr>
      <w:r w:rsidRPr="004A5955">
        <w:rPr>
          <w:rFonts w:ascii="바탕" w:eastAsia="바탕" w:hAnsi="바탕" w:hint="eastAsia"/>
        </w:rPr>
        <w:t xml:space="preserve">우리는 </w:t>
      </w:r>
      <w:hyperlink r:id="rId12" w:anchor="search=controller%27s%20manual" w:history="1">
        <w:r w:rsidRPr="004A5955">
          <w:rPr>
            <w:rStyle w:val="a8"/>
            <w:rFonts w:ascii="바탕" w:eastAsia="바탕" w:hAnsi="바탕" w:hint="eastAsia"/>
            <w:sz w:val="22"/>
            <w:szCs w:val="22"/>
          </w:rPr>
          <w:t>PPG 회계책임자의 매뉴얼</w:t>
        </w:r>
      </w:hyperlink>
      <w:r w:rsidRPr="004A5955">
        <w:rPr>
          <w:rFonts w:ascii="바탕" w:eastAsia="바탕" w:hAnsi="바탕" w:hint="eastAsia"/>
        </w:rPr>
        <w:t>에 명시된 대로 적절한 내부 회계 관리 시스템을 유지할 것입니다.</w:t>
      </w:r>
    </w:p>
    <w:p w14:paraId="05D39B40" w14:textId="77777777" w:rsidR="007802EF" w:rsidRPr="004A5955" w:rsidRDefault="007802EF" w:rsidP="00AA7101">
      <w:pPr>
        <w:ind w:left="90"/>
        <w:rPr>
          <w:rFonts w:ascii="바탕" w:eastAsia="바탕" w:hAnsi="바탕"/>
          <w:b/>
          <w:sz w:val="22"/>
          <w:szCs w:val="22"/>
        </w:rPr>
      </w:pPr>
    </w:p>
    <w:p w14:paraId="21F78E1D" w14:textId="33AE93E9" w:rsidR="0085042C" w:rsidRPr="004A5955" w:rsidRDefault="007802EF" w:rsidP="00AA7101">
      <w:pPr>
        <w:ind w:left="90"/>
        <w:rPr>
          <w:rFonts w:ascii="바탕" w:eastAsia="바탕" w:hAnsi="바탕"/>
          <w:sz w:val="22"/>
          <w:szCs w:val="22"/>
        </w:rPr>
      </w:pPr>
      <w:r w:rsidRPr="004A5955">
        <w:rPr>
          <w:rFonts w:ascii="바탕" w:eastAsia="바탕" w:hAnsi="바탕" w:hint="eastAsia"/>
        </w:rPr>
        <w:t xml:space="preserve">이 정책은 글로벌 윤리강령의 </w:t>
      </w:r>
      <w:hyperlink r:id="rId13" w:history="1">
        <w:r w:rsidRPr="004A5955">
          <w:rPr>
            <w:rStyle w:val="a8"/>
            <w:rFonts w:ascii="바탕" w:eastAsia="바탕" w:hAnsi="바탕" w:hint="eastAsia"/>
            <w:i/>
            <w:sz w:val="22"/>
            <w:szCs w:val="22"/>
          </w:rPr>
          <w:t>뇌물수수 및 부패</w:t>
        </w:r>
      </w:hyperlink>
      <w:r w:rsidRPr="004A5955">
        <w:rPr>
          <w:rFonts w:ascii="바탕" w:eastAsia="바탕" w:hAnsi="바탕" w:hint="eastAsia"/>
        </w:rPr>
        <w:t xml:space="preserve">와 </w:t>
      </w:r>
      <w:hyperlink r:id="rId14" w:history="1">
        <w:r w:rsidRPr="004A5955">
          <w:rPr>
            <w:rStyle w:val="a8"/>
            <w:rFonts w:ascii="바탕" w:eastAsia="바탕" w:hAnsi="바탕" w:hint="eastAsia"/>
            <w:i/>
            <w:sz w:val="22"/>
            <w:szCs w:val="22"/>
          </w:rPr>
          <w:t>사업 및 재무 기록</w:t>
        </w:r>
      </w:hyperlink>
      <w:r w:rsidRPr="004A5955">
        <w:rPr>
          <w:rFonts w:ascii="바탕" w:eastAsia="바탕" w:hAnsi="바탕" w:hint="eastAsia"/>
        </w:rPr>
        <w:t xml:space="preserve"> 섹션을 보완합니다.</w:t>
      </w:r>
      <w:r w:rsidRPr="004A5955">
        <w:rPr>
          <w:rFonts w:ascii="바탕" w:eastAsia="바탕" w:hAnsi="바탕" w:hint="eastAsia"/>
          <w:sz w:val="22"/>
          <w:szCs w:val="22"/>
        </w:rPr>
        <w:t xml:space="preserve">  </w:t>
      </w:r>
      <w:r w:rsidRPr="004A5955">
        <w:rPr>
          <w:rFonts w:ascii="바탕" w:eastAsia="바탕" w:hAnsi="바탕" w:hint="eastAsia"/>
        </w:rPr>
        <w:t xml:space="preserve">또한 이 정책은 </w:t>
      </w:r>
      <w:hyperlink r:id="rId15" w:history="1">
        <w:r w:rsidRPr="004A5955">
          <w:rPr>
            <w:rStyle w:val="a8"/>
            <w:rFonts w:ascii="바탕" w:eastAsia="바탕" w:hAnsi="바탕" w:hint="eastAsia"/>
            <w:sz w:val="22"/>
            <w:szCs w:val="22"/>
          </w:rPr>
          <w:t>제3자 주의 의무 정책</w:t>
        </w:r>
      </w:hyperlink>
      <w:r w:rsidRPr="004A5955">
        <w:rPr>
          <w:rFonts w:ascii="바탕" w:eastAsia="바탕" w:hAnsi="바탕" w:hint="eastAsia"/>
        </w:rPr>
        <w:t>을 지원합니다.</w:t>
      </w:r>
    </w:p>
    <w:p w14:paraId="3113BA4A" w14:textId="77777777" w:rsidR="00D73F88" w:rsidRPr="004A5955" w:rsidRDefault="00D73F88">
      <w:pPr>
        <w:autoSpaceDE/>
        <w:autoSpaceDN/>
        <w:adjustRightInd/>
        <w:spacing w:before="0" w:after="200" w:line="276" w:lineRule="auto"/>
        <w:rPr>
          <w:rFonts w:ascii="바탕" w:eastAsia="바탕" w:hAnsi="바탕"/>
          <w:sz w:val="22"/>
          <w:szCs w:val="22"/>
        </w:rPr>
      </w:pPr>
    </w:p>
    <w:p w14:paraId="5CDE74DC" w14:textId="77777777" w:rsidR="0085042C" w:rsidRPr="004A5955" w:rsidRDefault="002A0565" w:rsidP="00411E2B">
      <w:pPr>
        <w:jc w:val="center"/>
        <w:rPr>
          <w:rFonts w:ascii="바탕" w:eastAsia="바탕" w:hAnsi="바탕"/>
          <w:b/>
          <w:sz w:val="22"/>
          <w:szCs w:val="22"/>
          <w:u w:val="single"/>
        </w:rPr>
      </w:pPr>
      <w:r w:rsidRPr="004A5955">
        <w:rPr>
          <w:rFonts w:ascii="바탕" w:eastAsia="바탕" w:hAnsi="바탕" w:hint="eastAsia"/>
          <w:b/>
          <w:sz w:val="22"/>
          <w:szCs w:val="22"/>
          <w:u w:val="single"/>
        </w:rPr>
        <w:t>지침</w:t>
      </w:r>
    </w:p>
    <w:p w14:paraId="5D35FCCD" w14:textId="4A3B9C21" w:rsidR="0085042C" w:rsidRPr="004A5955" w:rsidRDefault="002A0565">
      <w:pPr>
        <w:rPr>
          <w:rFonts w:ascii="바탕" w:eastAsia="바탕" w:hAnsi="바탕"/>
          <w:sz w:val="22"/>
          <w:szCs w:val="22"/>
        </w:rPr>
      </w:pPr>
      <w:r w:rsidRPr="004A5955">
        <w:rPr>
          <w:rFonts w:ascii="바탕" w:eastAsia="바탕" w:hAnsi="바탕" w:hint="eastAsia"/>
          <w:sz w:val="22"/>
          <w:szCs w:val="22"/>
        </w:rPr>
        <w:lastRenderedPageBreak/>
        <w:t>PPG 직원으로서 다음 사항을 이해하는 것은 여러분의 책임입니다.</w:t>
      </w:r>
    </w:p>
    <w:p w14:paraId="7B303F5A" w14:textId="77777777" w:rsidR="00D07999" w:rsidRPr="004A5955" w:rsidRDefault="00D07999">
      <w:pPr>
        <w:rPr>
          <w:rFonts w:ascii="바탕" w:eastAsia="바탕" w:hAnsi="바탕"/>
          <w:sz w:val="22"/>
          <w:szCs w:val="22"/>
        </w:rPr>
      </w:pPr>
    </w:p>
    <w:p w14:paraId="04FB5BB5" w14:textId="64178DD2" w:rsidR="00C613B2" w:rsidRPr="004A5955" w:rsidRDefault="00411E2B" w:rsidP="00B21148">
      <w:pPr>
        <w:pStyle w:val="a5"/>
        <w:numPr>
          <w:ilvl w:val="0"/>
          <w:numId w:val="16"/>
        </w:numPr>
        <w:spacing w:before="0"/>
        <w:ind w:left="540"/>
        <w:rPr>
          <w:rFonts w:ascii="바탕" w:eastAsia="바탕" w:hAnsi="바탕"/>
          <w:sz w:val="22"/>
          <w:szCs w:val="22"/>
        </w:rPr>
      </w:pPr>
      <w:r w:rsidRPr="004A5955">
        <w:rPr>
          <w:rFonts w:ascii="바탕" w:eastAsia="바탕" w:hAnsi="바탕" w:hint="eastAsia"/>
          <w:b/>
          <w:i/>
          <w:sz w:val="22"/>
          <w:szCs w:val="22"/>
        </w:rPr>
        <w:t xml:space="preserve">뇌물은 현금만으로 제한되지 않습니다. </w:t>
      </w:r>
      <w:r w:rsidRPr="004A5955">
        <w:rPr>
          <w:rFonts w:ascii="바탕" w:eastAsia="바탕" w:hAnsi="바탕" w:hint="eastAsia"/>
          <w:sz w:val="22"/>
          <w:szCs w:val="22"/>
        </w:rPr>
        <w:t xml:space="preserve"> 뇌물에는 상업적 또는 정부 결정에 부적절한 영향을 미칠 의도를 가진 ‘</w:t>
      </w:r>
      <w:proofErr w:type="spellStart"/>
      <w:r w:rsidRPr="004A5955">
        <w:rPr>
          <w:rFonts w:ascii="바탕" w:eastAsia="바탕" w:hAnsi="바탕" w:hint="eastAsia"/>
          <w:sz w:val="22"/>
          <w:szCs w:val="22"/>
        </w:rPr>
        <w:t>가치있는</w:t>
      </w:r>
      <w:proofErr w:type="spellEnd"/>
      <w:r w:rsidRPr="004A5955">
        <w:rPr>
          <w:rFonts w:ascii="바탕" w:eastAsia="바탕" w:hAnsi="바탕" w:hint="eastAsia"/>
          <w:sz w:val="22"/>
          <w:szCs w:val="22"/>
        </w:rPr>
        <w:t xml:space="preserve"> 모든 </w:t>
      </w:r>
      <w:proofErr w:type="spellStart"/>
      <w:r w:rsidRPr="004A5955">
        <w:rPr>
          <w:rFonts w:ascii="바탕" w:eastAsia="바탕" w:hAnsi="바탕" w:hint="eastAsia"/>
          <w:sz w:val="22"/>
          <w:szCs w:val="22"/>
        </w:rPr>
        <w:t>것’이</w:t>
      </w:r>
      <w:proofErr w:type="spellEnd"/>
      <w:r w:rsidRPr="004A5955">
        <w:rPr>
          <w:rFonts w:ascii="바탕" w:eastAsia="바탕" w:hAnsi="바탕" w:hint="eastAsia"/>
          <w:sz w:val="22"/>
          <w:szCs w:val="22"/>
        </w:rPr>
        <w:t xml:space="preserve"> 포함됩니다. ‘</w:t>
      </w:r>
      <w:proofErr w:type="spellStart"/>
      <w:r w:rsidRPr="004A5955">
        <w:rPr>
          <w:rFonts w:ascii="바탕" w:eastAsia="바탕" w:hAnsi="바탕" w:hint="eastAsia"/>
          <w:sz w:val="22"/>
          <w:szCs w:val="22"/>
        </w:rPr>
        <w:t>가치있는</w:t>
      </w:r>
      <w:proofErr w:type="spellEnd"/>
      <w:r w:rsidRPr="004A5955">
        <w:rPr>
          <w:rFonts w:ascii="바탕" w:eastAsia="바탕" w:hAnsi="바탕" w:hint="eastAsia"/>
          <w:sz w:val="22"/>
          <w:szCs w:val="22"/>
        </w:rPr>
        <w:t xml:space="preserve"> 모든 </w:t>
      </w:r>
      <w:proofErr w:type="spellStart"/>
      <w:r w:rsidRPr="004A5955">
        <w:rPr>
          <w:rFonts w:ascii="바탕" w:eastAsia="바탕" w:hAnsi="바탕" w:hint="eastAsia"/>
          <w:sz w:val="22"/>
          <w:szCs w:val="22"/>
        </w:rPr>
        <w:t>것’에는</w:t>
      </w:r>
      <w:proofErr w:type="spellEnd"/>
      <w:r w:rsidRPr="004A5955">
        <w:rPr>
          <w:rFonts w:ascii="바탕" w:eastAsia="바탕" w:hAnsi="바탕" w:hint="eastAsia"/>
          <w:sz w:val="22"/>
          <w:szCs w:val="22"/>
        </w:rPr>
        <w:t xml:space="preserve"> </w:t>
      </w:r>
      <w:proofErr w:type="spellStart"/>
      <w:r w:rsidRPr="004A5955">
        <w:rPr>
          <w:rFonts w:ascii="바탕" w:eastAsia="바탕" w:hAnsi="바탕" w:hint="eastAsia"/>
          <w:sz w:val="22"/>
          <w:szCs w:val="22"/>
        </w:rPr>
        <w:t>현금등가물이나</w:t>
      </w:r>
      <w:proofErr w:type="spellEnd"/>
      <w:r w:rsidRPr="004A5955">
        <w:rPr>
          <w:rFonts w:ascii="바탕" w:eastAsia="바탕" w:hAnsi="바탕" w:hint="eastAsia"/>
          <w:sz w:val="22"/>
          <w:szCs w:val="22"/>
        </w:rPr>
        <w:t xml:space="preserve"> 선물, 식사, 향응, 여행, 개인 자산, 부채의 인수 또는 탕감, 자선단체 기부, 후원, 서비스, 채용 제안, 기타 불공정한 혜택이 포함됩니다. 약소한 가치의 물건이나 작은 선물/존중의 표시는 일반적으로 뇌물로 간주되지 않습니다. </w:t>
      </w:r>
    </w:p>
    <w:p w14:paraId="39F9D38B" w14:textId="77777777" w:rsidR="00C613B2" w:rsidRPr="004A5955" w:rsidRDefault="00C613B2" w:rsidP="00B21148">
      <w:pPr>
        <w:spacing w:before="0"/>
        <w:ind w:left="540" w:hanging="360"/>
        <w:rPr>
          <w:rFonts w:ascii="바탕" w:eastAsia="바탕" w:hAnsi="바탕"/>
          <w:sz w:val="22"/>
          <w:szCs w:val="22"/>
        </w:rPr>
      </w:pPr>
    </w:p>
    <w:p w14:paraId="40355C74" w14:textId="0448D6EE" w:rsidR="0085042C" w:rsidRPr="004A5955" w:rsidRDefault="00B21148" w:rsidP="00B21148">
      <w:pPr>
        <w:spacing w:before="0"/>
        <w:ind w:left="540" w:hanging="360"/>
        <w:rPr>
          <w:rFonts w:ascii="바탕" w:eastAsia="바탕" w:hAnsi="바탕"/>
          <w:sz w:val="22"/>
          <w:szCs w:val="22"/>
        </w:rPr>
      </w:pPr>
      <w:r w:rsidRPr="004A5955">
        <w:rPr>
          <w:rFonts w:ascii="바탕" w:eastAsia="바탕" w:hAnsi="바탕" w:hint="eastAsia"/>
          <w:sz w:val="22"/>
          <w:szCs w:val="22"/>
        </w:rPr>
        <w:tab/>
        <w:t>회사 접대와 여행, 선물, 향응, 식사는 상황에 따라 필요한 경우에만 제공되어야 하며, PPG 정책과 수령인이 거주하고 있는 국가의 현지 법률과 규제를 준수해야 합니다.</w:t>
      </w:r>
      <w:r w:rsidRPr="004A5955">
        <w:rPr>
          <w:rFonts w:ascii="바탕" w:eastAsia="바탕" w:hAnsi="바탕" w:hint="eastAsia"/>
        </w:rPr>
        <w:t xml:space="preserve"> </w:t>
      </w:r>
      <w:r w:rsidRPr="004A5955">
        <w:rPr>
          <w:rFonts w:ascii="바탕" w:eastAsia="바탕" w:hAnsi="바탕" w:hint="eastAsia"/>
          <w:sz w:val="22"/>
          <w:szCs w:val="22"/>
        </w:rPr>
        <w:t xml:space="preserve">예를 들어 합법적인 사업적 목적으로 고객이 PPG 제조, 연구 또는 기타 시설에 방문하는 경비를 처리하는 것은 적절하고 허용 가능한 행위이지만 항상 주의해야 합니다.  방문 기간이 사업적 목적을 충족하는 데 필요한 시간에 부합해야 하고, 여행 경비가 합당해야 하며 실제 여행 관련 경비만 포함되어야 합니다. 여행 기간 연장, 쇼핑, 서비스 등 사업과 무관한 경비는 고객이 지불해야 합니다. </w:t>
      </w:r>
      <w:r w:rsidRPr="004A5955">
        <w:rPr>
          <w:rFonts w:ascii="바탕" w:eastAsia="바탕" w:hAnsi="바탕" w:hint="eastAsia"/>
        </w:rPr>
        <w:t xml:space="preserve">추가 정보는 </w:t>
      </w:r>
      <w:hyperlink r:id="rId16" w:history="1">
        <w:r w:rsidRPr="004A5955">
          <w:rPr>
            <w:rStyle w:val="a8"/>
            <w:rFonts w:ascii="바탕" w:eastAsia="바탕" w:hAnsi="바탕" w:hint="eastAsia"/>
            <w:sz w:val="22"/>
            <w:szCs w:val="22"/>
          </w:rPr>
          <w:t>PPG 글로벌 여행 정책</w:t>
        </w:r>
      </w:hyperlink>
      <w:r w:rsidRPr="004A5955">
        <w:rPr>
          <w:rFonts w:ascii="바탕" w:eastAsia="바탕" w:hAnsi="바탕" w:hint="eastAsia"/>
        </w:rPr>
        <w:t xml:space="preserve"> 및 </w:t>
      </w:r>
      <w:hyperlink r:id="rId17" w:anchor="search=controller%27s%20manual" w:history="1">
        <w:r w:rsidRPr="004A5955">
          <w:rPr>
            <w:rStyle w:val="a8"/>
            <w:rFonts w:ascii="바탕" w:eastAsia="바탕" w:hAnsi="바탕" w:hint="eastAsia"/>
            <w:sz w:val="22"/>
            <w:szCs w:val="22"/>
          </w:rPr>
          <w:t>회계책임자의 매뉴얼</w:t>
        </w:r>
      </w:hyperlink>
      <w:r w:rsidRPr="004A5955">
        <w:rPr>
          <w:rFonts w:ascii="바탕" w:eastAsia="바탕" w:hAnsi="바탕" w:hint="eastAsia"/>
        </w:rPr>
        <w:t>을 참고해 주십시오.</w:t>
      </w:r>
    </w:p>
    <w:p w14:paraId="5A28A9A0" w14:textId="77777777" w:rsidR="0085042C" w:rsidRPr="004A5955" w:rsidRDefault="0085042C" w:rsidP="00B21148">
      <w:pPr>
        <w:spacing w:before="0"/>
        <w:ind w:left="540" w:hanging="360"/>
        <w:rPr>
          <w:rFonts w:ascii="바탕" w:eastAsia="바탕" w:hAnsi="바탕"/>
          <w:sz w:val="22"/>
          <w:szCs w:val="22"/>
        </w:rPr>
      </w:pPr>
    </w:p>
    <w:p w14:paraId="65005702" w14:textId="22201CE8" w:rsidR="0085042C" w:rsidRPr="004A5955" w:rsidRDefault="00D93250" w:rsidP="00B21148">
      <w:pPr>
        <w:pStyle w:val="a5"/>
        <w:numPr>
          <w:ilvl w:val="0"/>
          <w:numId w:val="2"/>
        </w:numPr>
        <w:spacing w:before="0"/>
        <w:ind w:left="540"/>
        <w:rPr>
          <w:rFonts w:ascii="바탕" w:eastAsia="바탕" w:hAnsi="바탕"/>
          <w:sz w:val="22"/>
          <w:szCs w:val="22"/>
        </w:rPr>
      </w:pPr>
      <w:r w:rsidRPr="004A5955">
        <w:rPr>
          <w:rFonts w:ascii="바탕" w:eastAsia="바탕" w:hAnsi="바탕" w:hint="eastAsia"/>
          <w:b/>
          <w:i/>
          <w:sz w:val="22"/>
          <w:szCs w:val="22"/>
        </w:rPr>
        <w:t>뇌물을 수용해서는 안되며 중대한 법률 위반입니다.</w:t>
      </w:r>
      <w:r w:rsidRPr="004A5955">
        <w:rPr>
          <w:rFonts w:ascii="바탕" w:eastAsia="바탕" w:hAnsi="바탕" w:hint="eastAsia"/>
          <w:sz w:val="22"/>
          <w:szCs w:val="22"/>
        </w:rPr>
        <w:t xml:space="preserve">  여러 국가의 법률에 따라 PPG는 제공한 지불 또는 뇌물을 상대가 거절했더라도 이를 위반 행위로 간주하고 있습니다. 실제로 지불이 이루어졌는지 또는 수령인이 대가성 행위를 했는지 여부는 중요하지 않습니다.  위반은 부적절한 제안이나 지불 행위가 일어난 그 순간에 발생합니다.</w:t>
      </w:r>
    </w:p>
    <w:p w14:paraId="5916D98B" w14:textId="77777777" w:rsidR="0085042C" w:rsidRPr="004A5955" w:rsidRDefault="0085042C" w:rsidP="00B21148">
      <w:pPr>
        <w:pStyle w:val="a5"/>
        <w:spacing w:before="0"/>
        <w:ind w:left="540" w:hanging="360"/>
        <w:rPr>
          <w:rFonts w:ascii="바탕" w:eastAsia="바탕" w:hAnsi="바탕"/>
          <w:sz w:val="22"/>
          <w:szCs w:val="22"/>
        </w:rPr>
      </w:pPr>
    </w:p>
    <w:p w14:paraId="5CA47FF6" w14:textId="20EAF6B5" w:rsidR="00670AE0" w:rsidRPr="004A5955" w:rsidRDefault="00670AE0" w:rsidP="00B21148">
      <w:pPr>
        <w:pStyle w:val="a5"/>
        <w:numPr>
          <w:ilvl w:val="0"/>
          <w:numId w:val="2"/>
        </w:numPr>
        <w:spacing w:before="0"/>
        <w:ind w:left="540"/>
        <w:rPr>
          <w:rFonts w:ascii="바탕" w:eastAsia="바탕" w:hAnsi="바탕"/>
          <w:sz w:val="22"/>
          <w:szCs w:val="22"/>
        </w:rPr>
      </w:pPr>
      <w:r w:rsidRPr="004A5955">
        <w:rPr>
          <w:rFonts w:ascii="바탕" w:eastAsia="바탕" w:hAnsi="바탕" w:hint="eastAsia"/>
          <w:b/>
          <w:i/>
          <w:sz w:val="22"/>
          <w:szCs w:val="22"/>
        </w:rPr>
        <w:t xml:space="preserve">허가, 라이선스, 제품, 다른 승인 등을 얻기 위한 뇌물도 불법입니다. </w:t>
      </w:r>
      <w:r w:rsidRPr="004A5955">
        <w:rPr>
          <w:rFonts w:ascii="바탕" w:eastAsia="바탕" w:hAnsi="바탕" w:hint="eastAsia"/>
          <w:sz w:val="22"/>
          <w:szCs w:val="22"/>
        </w:rPr>
        <w:t xml:space="preserve">대부분의 사람은 뇌물을 고객에게서 사업을 획득하는 것으로 </w:t>
      </w:r>
      <w:proofErr w:type="spellStart"/>
      <w:r w:rsidRPr="004A5955">
        <w:rPr>
          <w:rFonts w:ascii="바탕" w:eastAsia="바탕" w:hAnsi="바탕" w:hint="eastAsia"/>
          <w:sz w:val="22"/>
          <w:szCs w:val="22"/>
        </w:rPr>
        <w:t>관련짓</w:t>
      </w:r>
      <w:bookmarkStart w:id="0" w:name="_GoBack"/>
      <w:bookmarkEnd w:id="0"/>
      <w:r w:rsidRPr="004A5955">
        <w:rPr>
          <w:rFonts w:ascii="바탕" w:eastAsia="바탕" w:hAnsi="바탕" w:hint="eastAsia"/>
          <w:sz w:val="22"/>
          <w:szCs w:val="22"/>
        </w:rPr>
        <w:t>습니다</w:t>
      </w:r>
      <w:proofErr w:type="spellEnd"/>
      <w:r w:rsidRPr="004A5955">
        <w:rPr>
          <w:rFonts w:ascii="바탕" w:eastAsia="바탕" w:hAnsi="바탕" w:hint="eastAsia"/>
          <w:sz w:val="22"/>
          <w:szCs w:val="22"/>
        </w:rPr>
        <w:t xml:space="preserve">.  하지만 운영 또는 EHS 허가, 세금 감면, 제품의 승인이나 인증, 사업 수행을 위한 라이선스 등 다른 혜택을 얻기 위해 정부 또는 규제 당국에 뇌물을 지불하는 것도 불법입니다. 여러분은 </w:t>
      </w:r>
      <w:r w:rsidRPr="004A5955">
        <w:rPr>
          <w:rFonts w:ascii="바탕" w:eastAsia="바탕" w:hAnsi="바탕" w:hint="eastAsia"/>
          <w:sz w:val="22"/>
          <w:szCs w:val="22"/>
          <w:u w:val="single"/>
        </w:rPr>
        <w:t>모든</w:t>
      </w:r>
      <w:r w:rsidRPr="004A5955">
        <w:rPr>
          <w:rFonts w:ascii="바탕" w:eastAsia="바탕" w:hAnsi="바탕" w:hint="eastAsia"/>
          <w:sz w:val="22"/>
          <w:szCs w:val="22"/>
        </w:rPr>
        <w:t xml:space="preserve"> 부적절한 사업상 이익을 얻기 위해 뇌물을 지불할 수 없음을 기억하십시오. </w:t>
      </w:r>
    </w:p>
    <w:p w14:paraId="2DCDF1BC" w14:textId="77777777" w:rsidR="00670AE0" w:rsidRPr="004A5955" w:rsidRDefault="00670AE0" w:rsidP="00B21148">
      <w:pPr>
        <w:pStyle w:val="a5"/>
        <w:ind w:left="540" w:hanging="360"/>
        <w:rPr>
          <w:rFonts w:ascii="바탕" w:eastAsia="바탕" w:hAnsi="바탕"/>
          <w:b/>
          <w:i/>
          <w:sz w:val="22"/>
          <w:szCs w:val="22"/>
        </w:rPr>
      </w:pPr>
    </w:p>
    <w:p w14:paraId="50BF8C51" w14:textId="77777777" w:rsidR="00844DDF" w:rsidRPr="004A5955" w:rsidRDefault="00301743" w:rsidP="00B21148">
      <w:pPr>
        <w:pStyle w:val="a5"/>
        <w:numPr>
          <w:ilvl w:val="0"/>
          <w:numId w:val="2"/>
        </w:numPr>
        <w:spacing w:before="0"/>
        <w:ind w:left="540"/>
        <w:rPr>
          <w:rFonts w:ascii="바탕" w:eastAsia="바탕" w:hAnsi="바탕"/>
          <w:sz w:val="22"/>
          <w:szCs w:val="22"/>
        </w:rPr>
      </w:pPr>
      <w:r w:rsidRPr="004A5955">
        <w:rPr>
          <w:rFonts w:ascii="바탕" w:eastAsia="바탕" w:hAnsi="바탕" w:hint="eastAsia"/>
          <w:b/>
          <w:sz w:val="22"/>
          <w:szCs w:val="22"/>
        </w:rPr>
        <w:t xml:space="preserve">정부 공무원에게 부적절한 영향을 미치려는 모든 시도는 특히 엄격하게 금지됩니다. </w:t>
      </w:r>
      <w:r w:rsidRPr="004A5955">
        <w:rPr>
          <w:rFonts w:ascii="바탕" w:eastAsia="바탕" w:hAnsi="바탕" w:hint="eastAsia"/>
          <w:sz w:val="22"/>
          <w:szCs w:val="22"/>
        </w:rPr>
        <w:t xml:space="preserve">PPG 정책에서는 PPG와 정부 단체/공무원 외에도 PPG와 상업적 협력업체 간에 뇌물수수와 부패를 금합니다.  그러나 미국 FCPA를 포함한 일부 법률은 외국 정부 공무원에 대한 뇌물과 지불에 </w:t>
      </w:r>
      <w:r w:rsidRPr="004A5955">
        <w:rPr>
          <w:rFonts w:ascii="바탕" w:eastAsia="바탕" w:hAnsi="바탕" w:hint="eastAsia"/>
          <w:sz w:val="22"/>
          <w:szCs w:val="22"/>
          <w:u w:val="single"/>
        </w:rPr>
        <w:t>특히</w:t>
      </w:r>
      <w:r w:rsidRPr="004A5955">
        <w:rPr>
          <w:rFonts w:ascii="바탕" w:eastAsia="바탕" w:hAnsi="바탕" w:hint="eastAsia"/>
          <w:sz w:val="22"/>
          <w:szCs w:val="22"/>
        </w:rPr>
        <w:t xml:space="preserve"> 더 막대한 벌금 및 처벌을 내립니다.   </w:t>
      </w:r>
    </w:p>
    <w:p w14:paraId="5F76E327" w14:textId="77777777" w:rsidR="00844DDF" w:rsidRPr="004A5955" w:rsidRDefault="00844DDF" w:rsidP="00B21148">
      <w:pPr>
        <w:pStyle w:val="a5"/>
        <w:ind w:left="540" w:hanging="360"/>
        <w:rPr>
          <w:rFonts w:ascii="바탕" w:eastAsia="바탕" w:hAnsi="바탕"/>
          <w:sz w:val="22"/>
          <w:szCs w:val="22"/>
        </w:rPr>
      </w:pPr>
    </w:p>
    <w:p w14:paraId="6EF5464D" w14:textId="051C7050" w:rsidR="0085042C" w:rsidRPr="004A5955" w:rsidRDefault="00844DDF" w:rsidP="00B21148">
      <w:pPr>
        <w:pStyle w:val="a5"/>
        <w:numPr>
          <w:ilvl w:val="0"/>
          <w:numId w:val="2"/>
        </w:numPr>
        <w:spacing w:before="0"/>
        <w:ind w:left="540"/>
        <w:rPr>
          <w:rFonts w:ascii="바탕" w:eastAsia="바탕" w:hAnsi="바탕"/>
          <w:sz w:val="22"/>
          <w:szCs w:val="22"/>
        </w:rPr>
      </w:pPr>
      <w:r w:rsidRPr="004A5955">
        <w:rPr>
          <w:rFonts w:ascii="바탕" w:eastAsia="바탕" w:hAnsi="바탕" w:hint="eastAsia"/>
          <w:b/>
          <w:bCs/>
          <w:i/>
          <w:iCs/>
          <w:sz w:val="22"/>
          <w:szCs w:val="22"/>
        </w:rPr>
        <w:t>국영기업(SOE)은 공무원으로 간주됩니다.</w:t>
      </w:r>
      <w:r w:rsidRPr="004A5955">
        <w:rPr>
          <w:rFonts w:ascii="바탕" w:eastAsia="바탕" w:hAnsi="바탕" w:hint="eastAsia"/>
          <w:sz w:val="22"/>
          <w:szCs w:val="22"/>
        </w:rPr>
        <w:t xml:space="preserve"> 여러 국가에서 정부가 PPG와 사업을 하기로 선택한 기업(SOE)의 지분을 부분적으로 소유하는 이해 관계를 가지고 있을 수 있습니다. SOE는 전 세계적으로 특히 중국, 러시아, UAE, 인도네시아에서 일반적입니다. 기업이 독점적 민간 사업체인지 아니면 정부가 일정 수준의 소유권을 보유하고 있는지가 명백히 드러나지 않는 경우도 있으므로, PPG는 어떤 </w:t>
      </w:r>
      <w:proofErr w:type="spellStart"/>
      <w:r w:rsidRPr="004A5955">
        <w:rPr>
          <w:rFonts w:ascii="바탕" w:eastAsia="바탕" w:hAnsi="바탕" w:hint="eastAsia"/>
          <w:sz w:val="22"/>
          <w:szCs w:val="22"/>
        </w:rPr>
        <w:t>독립체와도</w:t>
      </w:r>
      <w:proofErr w:type="spellEnd"/>
      <w:r w:rsidRPr="004A5955">
        <w:rPr>
          <w:rFonts w:ascii="바탕" w:eastAsia="바탕" w:hAnsi="바탕" w:hint="eastAsia"/>
          <w:sz w:val="22"/>
          <w:szCs w:val="22"/>
        </w:rPr>
        <w:t xml:space="preserve"> 뇌물이나 부적절한 지불 행위나 제공과 관련되지 않는 것이 보다 중요합니다. </w:t>
      </w:r>
    </w:p>
    <w:p w14:paraId="5296F0D5" w14:textId="77777777" w:rsidR="0085042C" w:rsidRPr="004A5955" w:rsidRDefault="0085042C" w:rsidP="00B21148">
      <w:pPr>
        <w:spacing w:before="0"/>
        <w:ind w:left="540" w:hanging="360"/>
        <w:rPr>
          <w:rFonts w:ascii="바탕" w:eastAsia="바탕" w:hAnsi="바탕"/>
          <w:sz w:val="22"/>
          <w:szCs w:val="22"/>
        </w:rPr>
      </w:pPr>
    </w:p>
    <w:p w14:paraId="03A1F4C6" w14:textId="13CA9196" w:rsidR="0085042C" w:rsidRPr="004A5955" w:rsidRDefault="00A957D3" w:rsidP="00B21148">
      <w:pPr>
        <w:pStyle w:val="a4"/>
        <w:numPr>
          <w:ilvl w:val="0"/>
          <w:numId w:val="2"/>
        </w:numPr>
        <w:spacing w:before="0" w:beforeAutospacing="0" w:after="0" w:afterAutospacing="0"/>
        <w:ind w:left="540"/>
        <w:rPr>
          <w:rFonts w:ascii="바탕" w:eastAsia="바탕" w:hAnsi="바탕"/>
          <w:sz w:val="22"/>
          <w:szCs w:val="22"/>
        </w:rPr>
      </w:pPr>
      <w:r w:rsidRPr="004A5955">
        <w:rPr>
          <w:rFonts w:ascii="바탕" w:eastAsia="바탕" w:hAnsi="바탕" w:hint="eastAsia"/>
          <w:b/>
          <w:bCs/>
          <w:i/>
          <w:iCs/>
          <w:sz w:val="22"/>
          <w:szCs w:val="22"/>
        </w:rPr>
        <w:t>PPG는</w:t>
      </w:r>
      <w:r w:rsidRPr="004A5955">
        <w:rPr>
          <w:rFonts w:ascii="바탕" w:eastAsia="바탕" w:hAnsi="바탕" w:hint="eastAsia"/>
          <w:b/>
          <w:bCs/>
          <w:sz w:val="22"/>
          <w:szCs w:val="22"/>
        </w:rPr>
        <w:t xml:space="preserve"> </w:t>
      </w:r>
      <w:r w:rsidRPr="004A5955">
        <w:rPr>
          <w:rFonts w:ascii="바탕" w:eastAsia="바탕" w:hAnsi="바탕" w:hint="eastAsia"/>
          <w:b/>
          <w:i/>
          <w:sz w:val="22"/>
          <w:szCs w:val="22"/>
        </w:rPr>
        <w:t>대리인 및 기타 중개인이 우리를 대신해 뇌물을 지불하는 경우 법적 책임을 질 수 있습니다.</w:t>
      </w:r>
      <w:r w:rsidRPr="004A5955">
        <w:rPr>
          <w:rFonts w:ascii="바탕" w:eastAsia="바탕" w:hAnsi="바탕" w:hint="eastAsia"/>
          <w:sz w:val="22"/>
          <w:szCs w:val="22"/>
        </w:rPr>
        <w:t xml:space="preserve"> PPG는 제품 및 서비스를 판매하기 위해 많은 국가에서 제3자에게 의지합니다. 뇌물 및 지불 수수에 대한 금지는 이러한 유형의 중개인에게 동일하게 적용됩니다. 마찬가지로 지불 행위로 고객 또는 정부 공무원에게 부당한 혜택이 돌아간다는 사실을 PPG에서 알거나 확신할 경우, 해당 고객 또는 정부 공무원이 고용한 사람의 친구나 친인척에게 부적절한 지불 또는 뇌물을 제공해서도 안됩니다.</w:t>
      </w:r>
    </w:p>
    <w:p w14:paraId="7737F7CA" w14:textId="77777777" w:rsidR="0085042C" w:rsidRPr="004A5955" w:rsidRDefault="0085042C" w:rsidP="00B21148">
      <w:pPr>
        <w:pStyle w:val="Default"/>
        <w:ind w:left="540" w:hanging="360"/>
        <w:rPr>
          <w:rFonts w:ascii="바탕" w:hAnsi="바탕" w:cs="Times New Roman"/>
          <w:i/>
          <w:sz w:val="22"/>
          <w:szCs w:val="22"/>
        </w:rPr>
      </w:pPr>
    </w:p>
    <w:p w14:paraId="3929F280" w14:textId="22B446E8" w:rsidR="00AC350E" w:rsidRPr="004A5955" w:rsidRDefault="00B21148" w:rsidP="00B21148">
      <w:pPr>
        <w:spacing w:after="240"/>
        <w:ind w:left="540" w:hanging="360"/>
        <w:rPr>
          <w:rFonts w:ascii="바탕" w:eastAsia="바탕" w:hAnsi="바탕"/>
          <w:sz w:val="22"/>
          <w:szCs w:val="22"/>
        </w:rPr>
      </w:pPr>
      <w:r w:rsidRPr="004A5955">
        <w:rPr>
          <w:rFonts w:ascii="바탕" w:eastAsia="바탕" w:hAnsi="바탕" w:hint="eastAsia"/>
          <w:sz w:val="22"/>
          <w:szCs w:val="22"/>
        </w:rPr>
        <w:tab/>
        <w:t xml:space="preserve">PPG는 대리인 및 중개인을 검증하고 관리하기 위한 강력한 제3자 주의 의무 프로그램을 개발하여 유지하고 있습니다. 더 자세한 정보는 다음 사이트의 정보를 참조하십시오: </w:t>
      </w:r>
      <w:hyperlink r:id="rId18" w:history="1">
        <w:r w:rsidRPr="004A5955">
          <w:rPr>
            <w:rStyle w:val="a8"/>
            <w:rFonts w:ascii="바탕" w:eastAsia="바탕" w:hAnsi="바탕" w:hint="eastAsia"/>
            <w:sz w:val="22"/>
            <w:szCs w:val="22"/>
          </w:rPr>
          <w:t>PPG 제3자 주의 의무</w:t>
        </w:r>
      </w:hyperlink>
      <w:r w:rsidRPr="004A5955">
        <w:rPr>
          <w:rFonts w:ascii="바탕" w:eastAsia="바탕" w:hAnsi="바탕" w:hint="eastAsia"/>
        </w:rPr>
        <w:t>.</w:t>
      </w:r>
    </w:p>
    <w:p w14:paraId="1948E48E" w14:textId="4DD92C42" w:rsidR="0085042C" w:rsidRPr="004A5955" w:rsidRDefault="002A0565" w:rsidP="00B21148">
      <w:pPr>
        <w:spacing w:after="240"/>
        <w:ind w:left="540" w:hanging="360"/>
        <w:rPr>
          <w:rFonts w:ascii="바탕" w:eastAsia="바탕" w:hAnsi="바탕"/>
          <w:sz w:val="22"/>
          <w:szCs w:val="22"/>
        </w:rPr>
      </w:pPr>
      <w:r w:rsidRPr="004A5955">
        <w:rPr>
          <w:rFonts w:ascii="바탕" w:eastAsia="바탕" w:hAnsi="바탕" w:hint="eastAsia"/>
          <w:sz w:val="22"/>
          <w:szCs w:val="22"/>
        </w:rPr>
        <w:t>합작 기업 파트너, 인수 후보 기업 및 그의 대리인과 대행자를 선택할 때도 적절한 주의 의무를 적용해야 합니다. PPG는 (</w:t>
      </w:r>
      <w:proofErr w:type="spellStart"/>
      <w:r w:rsidRPr="004A5955">
        <w:rPr>
          <w:rFonts w:ascii="바탕" w:eastAsia="바탕" w:hAnsi="바탕" w:hint="eastAsia"/>
          <w:sz w:val="22"/>
          <w:szCs w:val="22"/>
        </w:rPr>
        <w:t>i</w:t>
      </w:r>
      <w:proofErr w:type="spellEnd"/>
      <w:r w:rsidRPr="004A5955">
        <w:rPr>
          <w:rFonts w:ascii="바탕" w:eastAsia="바탕" w:hAnsi="바탕" w:hint="eastAsia"/>
          <w:sz w:val="22"/>
          <w:szCs w:val="22"/>
        </w:rPr>
        <w:t>) 잠재적 위험 영역을 시기 적절하게 주의하여 검토, (ii) 해당 단체에 효과적인 규제 준수 프로그램 실행, (iii) 부적절한 행위 중단 등에 실패할 경우 인수 기업이나 합작 기업 파트너가 행한 부적절한 행위에 책임을 질 수 있습니다.</w:t>
      </w:r>
    </w:p>
    <w:p w14:paraId="1C74DD13" w14:textId="4CF21B5C" w:rsidR="0085042C" w:rsidRPr="004A5955" w:rsidRDefault="00AC350E" w:rsidP="00B21148">
      <w:pPr>
        <w:pStyle w:val="a5"/>
        <w:numPr>
          <w:ilvl w:val="0"/>
          <w:numId w:val="2"/>
        </w:numPr>
        <w:spacing w:before="0"/>
        <w:ind w:left="540"/>
        <w:rPr>
          <w:rFonts w:ascii="바탕" w:eastAsia="바탕" w:hAnsi="바탕"/>
          <w:sz w:val="22"/>
          <w:szCs w:val="22"/>
        </w:rPr>
      </w:pPr>
      <w:r w:rsidRPr="004A5955">
        <w:rPr>
          <w:rFonts w:ascii="바탕" w:eastAsia="바탕" w:hAnsi="바탕" w:hint="eastAsia"/>
          <w:b/>
          <w:i/>
          <w:sz w:val="22"/>
          <w:szCs w:val="22"/>
        </w:rPr>
        <w:t xml:space="preserve">리베이트, 사전 리베이트, 할인에 주의하십시오.  </w:t>
      </w:r>
      <w:r w:rsidRPr="004A5955">
        <w:rPr>
          <w:rFonts w:ascii="바탕" w:eastAsia="바탕" w:hAnsi="바탕" w:hint="eastAsia"/>
          <w:sz w:val="22"/>
          <w:szCs w:val="22"/>
        </w:rPr>
        <w:t xml:space="preserve">여러 기업과 마찬가지로 PPG도 계약이나 사업을 체결하거나 유지하기 위해 상업적 계약 협상의 일환으로 리베이트, 리베이트 </w:t>
      </w:r>
      <w:proofErr w:type="spellStart"/>
      <w:r w:rsidRPr="004A5955">
        <w:rPr>
          <w:rFonts w:ascii="바탕" w:eastAsia="바탕" w:hAnsi="바탕" w:hint="eastAsia"/>
          <w:sz w:val="22"/>
          <w:szCs w:val="22"/>
        </w:rPr>
        <w:t>선지급</w:t>
      </w:r>
      <w:proofErr w:type="spellEnd"/>
      <w:r w:rsidRPr="004A5955">
        <w:rPr>
          <w:rFonts w:ascii="바탕" w:eastAsia="바탕" w:hAnsi="바탕" w:hint="eastAsia"/>
          <w:sz w:val="22"/>
          <w:szCs w:val="22"/>
        </w:rPr>
        <w:t xml:space="preserve"> 및 유사 지불 또는 할인을 제공하는 경우가 있습니다. 계약에서 명시했고, SBU의 지속적 실무에서 합당성과 일관성을 보이며, 현금으로 지급하지 않고, 어떤 </w:t>
      </w:r>
      <w:proofErr w:type="spellStart"/>
      <w:r w:rsidRPr="004A5955">
        <w:rPr>
          <w:rFonts w:ascii="바탕" w:eastAsia="바탕" w:hAnsi="바탕" w:hint="eastAsia"/>
          <w:sz w:val="22"/>
          <w:szCs w:val="22"/>
        </w:rPr>
        <w:t>개인을</w:t>
      </w:r>
      <w:proofErr w:type="spellEnd"/>
      <w:r w:rsidRPr="004A5955">
        <w:rPr>
          <w:rFonts w:ascii="바탕" w:eastAsia="바탕" w:hAnsi="바탕" w:hint="eastAsia"/>
          <w:sz w:val="22"/>
          <w:szCs w:val="22"/>
        </w:rPr>
        <w:t xml:space="preserve"> 그 대상 또는 매개체로 삼지 않고 고객에게 직접 지급하며, 장부 및 기록에 적절하게 기재하고, 아니면 계약 요건을 준수한다면 이러한 지불을 '부적절'하다고 보지 않습니다.</w:t>
      </w:r>
    </w:p>
    <w:p w14:paraId="4A51F24D" w14:textId="77777777" w:rsidR="00C613B2" w:rsidRPr="004A5955" w:rsidRDefault="00C613B2" w:rsidP="00B21148">
      <w:pPr>
        <w:pStyle w:val="a5"/>
        <w:spacing w:before="0"/>
        <w:ind w:left="540" w:hanging="360"/>
        <w:rPr>
          <w:rFonts w:ascii="바탕" w:eastAsia="바탕" w:hAnsi="바탕"/>
          <w:sz w:val="22"/>
          <w:szCs w:val="22"/>
        </w:rPr>
      </w:pPr>
    </w:p>
    <w:p w14:paraId="44C949FE" w14:textId="77777777" w:rsidR="0085042C" w:rsidRPr="004A5955" w:rsidRDefault="00C613B2" w:rsidP="00B21148">
      <w:pPr>
        <w:pStyle w:val="a5"/>
        <w:numPr>
          <w:ilvl w:val="0"/>
          <w:numId w:val="2"/>
        </w:numPr>
        <w:spacing w:before="0"/>
        <w:ind w:left="540"/>
        <w:rPr>
          <w:rFonts w:ascii="바탕" w:eastAsia="바탕" w:hAnsi="바탕"/>
          <w:sz w:val="22"/>
          <w:szCs w:val="22"/>
        </w:rPr>
      </w:pPr>
      <w:r w:rsidRPr="004A5955">
        <w:rPr>
          <w:rFonts w:ascii="바탕" w:eastAsia="바탕" w:hAnsi="바탕" w:hint="eastAsia"/>
          <w:b/>
          <w:i/>
          <w:sz w:val="22"/>
          <w:szCs w:val="22"/>
        </w:rPr>
        <w:t xml:space="preserve">정확하고 투명한 장부와 기록 및 적절한 내부 회계 규칙이 중요합니다.  </w:t>
      </w:r>
      <w:r w:rsidRPr="004A5955">
        <w:rPr>
          <w:rFonts w:ascii="바탕" w:eastAsia="바탕" w:hAnsi="바탕" w:hint="eastAsia"/>
          <w:sz w:val="22"/>
          <w:szCs w:val="22"/>
        </w:rPr>
        <w:t xml:space="preserve">우리 장부와 기록상에 거래를 잘못 구분하여 기재하는 일은 절대로 적절하지 않습니다. 뇌물은 종종 커미션이나 컨설팅비 등 합법적 지불로 위장해 숨겨집니다.  많은 경우에, 기업은 뇌물 증거가 없는 경우에도 반부패법 위반으로 기소됩니다. 이런 경우 모두 부적절한 지불이 부정확하게 기록됐거나 내부 제어가 부실해 부패 위험에 노출되게 만들기 때문입니다. </w:t>
      </w:r>
    </w:p>
    <w:p w14:paraId="79285CD4" w14:textId="77777777" w:rsidR="005F19D4" w:rsidRPr="004A5955" w:rsidRDefault="005F19D4" w:rsidP="00B21148">
      <w:pPr>
        <w:spacing w:before="0"/>
        <w:ind w:left="540" w:hanging="360"/>
        <w:rPr>
          <w:rFonts w:ascii="바탕" w:eastAsia="바탕" w:hAnsi="바탕"/>
          <w:sz w:val="22"/>
          <w:szCs w:val="22"/>
        </w:rPr>
      </w:pPr>
    </w:p>
    <w:p w14:paraId="1C7E1CC4" w14:textId="57864599" w:rsidR="0085042C" w:rsidRPr="004A5955" w:rsidRDefault="00B21148" w:rsidP="00B21148">
      <w:pPr>
        <w:pStyle w:val="a4"/>
        <w:spacing w:before="0" w:beforeAutospacing="0" w:after="0" w:afterAutospacing="0"/>
        <w:ind w:left="540" w:hanging="360"/>
        <w:rPr>
          <w:rFonts w:ascii="바탕" w:eastAsia="바탕" w:hAnsi="바탕"/>
          <w:sz w:val="22"/>
          <w:szCs w:val="22"/>
        </w:rPr>
      </w:pPr>
      <w:r w:rsidRPr="004A5955">
        <w:rPr>
          <w:rFonts w:ascii="바탕" w:eastAsia="바탕" w:hAnsi="바탕" w:hint="eastAsia"/>
          <w:sz w:val="22"/>
          <w:szCs w:val="22"/>
        </w:rPr>
        <w:tab/>
        <w:t xml:space="preserve">또한 접대, 여행, 선물 및 식사의 일환으로 발생한 비용과 행위는 투명해야 합니다. 즉, 이러한 비용과 행위를 입증하는 계정에 관계자를 언급하고, 분명한 사업적 목적을 명시하며, 행위를 설명하고, 지출 금액을 밝혀야 합니다. </w:t>
      </w:r>
    </w:p>
    <w:p w14:paraId="2D224679" w14:textId="77777777" w:rsidR="0085042C" w:rsidRPr="004A5955" w:rsidRDefault="0085042C" w:rsidP="00B21148">
      <w:pPr>
        <w:pStyle w:val="a4"/>
        <w:spacing w:before="0" w:beforeAutospacing="0" w:after="0" w:afterAutospacing="0"/>
        <w:ind w:left="540" w:hanging="360"/>
        <w:rPr>
          <w:rFonts w:ascii="바탕" w:eastAsia="바탕" w:hAnsi="바탕"/>
          <w:sz w:val="22"/>
          <w:szCs w:val="22"/>
        </w:rPr>
      </w:pPr>
    </w:p>
    <w:p w14:paraId="16F65D70" w14:textId="10B5F6D8" w:rsidR="0085042C" w:rsidRPr="004A5955" w:rsidRDefault="002A0565" w:rsidP="00B21148">
      <w:pPr>
        <w:pStyle w:val="a4"/>
        <w:numPr>
          <w:ilvl w:val="0"/>
          <w:numId w:val="10"/>
        </w:numPr>
        <w:spacing w:before="0" w:beforeAutospacing="0" w:after="0" w:afterAutospacing="0"/>
        <w:ind w:left="540"/>
        <w:rPr>
          <w:rFonts w:ascii="바탕" w:eastAsia="바탕" w:hAnsi="바탕"/>
          <w:sz w:val="22"/>
          <w:szCs w:val="22"/>
        </w:rPr>
      </w:pPr>
      <w:r w:rsidRPr="004A5955">
        <w:rPr>
          <w:rFonts w:ascii="바탕" w:eastAsia="바탕" w:hAnsi="바탕" w:hint="eastAsia"/>
          <w:b/>
          <w:i/>
          <w:sz w:val="22"/>
          <w:szCs w:val="22"/>
        </w:rPr>
        <w:t xml:space="preserve">때때로 자선 기부금도 뇌물로 간주될 수 있습니다.  </w:t>
      </w:r>
      <w:r w:rsidRPr="004A5955">
        <w:rPr>
          <w:rFonts w:ascii="바탕" w:eastAsia="바탕" w:hAnsi="바탕" w:hint="eastAsia"/>
          <w:sz w:val="22"/>
          <w:szCs w:val="22"/>
        </w:rPr>
        <w:t>자선 기부 및 후원에도 뇌물수수 금지 또는 반부패 법률 및 규제 위반의 위험이 존재할 수 있다는 사실을 뜻밖으로 여기는 직원이 많습니다.</w:t>
      </w:r>
    </w:p>
    <w:p w14:paraId="046B3E20" w14:textId="597B138A" w:rsidR="0085042C" w:rsidRPr="004A5955" w:rsidRDefault="00B21148" w:rsidP="00B21148">
      <w:pPr>
        <w:pStyle w:val="a4"/>
        <w:spacing w:before="0"/>
        <w:ind w:left="540" w:hanging="360"/>
        <w:rPr>
          <w:rFonts w:ascii="바탕" w:eastAsia="바탕" w:hAnsi="바탕"/>
          <w:sz w:val="22"/>
          <w:szCs w:val="22"/>
        </w:rPr>
      </w:pPr>
      <w:r w:rsidRPr="004A5955">
        <w:rPr>
          <w:rFonts w:ascii="바탕" w:eastAsia="바탕" w:hAnsi="바탕" w:hint="eastAsia"/>
          <w:sz w:val="22"/>
          <w:szCs w:val="22"/>
        </w:rPr>
        <w:tab/>
        <w:t xml:space="preserve">예를 들자면, PPG 사업 파트너 또는 정부 공무원이 한 자선단체를 적극적으로 지원하거나 그 단체의 이사회의 일원일 수 있습니다. </w:t>
      </w:r>
      <w:r w:rsidRPr="004A5955">
        <w:rPr>
          <w:rFonts w:ascii="바탕" w:eastAsia="바탕" w:hAnsi="바탕" w:hint="eastAsia"/>
        </w:rPr>
        <w:t xml:space="preserve">강령의 </w:t>
      </w:r>
      <w:hyperlink r:id="rId19" w:history="1">
        <w:r w:rsidRPr="004A5955">
          <w:rPr>
            <w:rStyle w:val="a8"/>
            <w:rFonts w:ascii="바탕" w:eastAsia="바탕" w:hAnsi="바탕" w:hint="eastAsia"/>
            <w:i/>
            <w:sz w:val="22"/>
            <w:szCs w:val="22"/>
          </w:rPr>
          <w:t>자선 기부금</w:t>
        </w:r>
      </w:hyperlink>
      <w:r w:rsidRPr="004A5955">
        <w:rPr>
          <w:rFonts w:ascii="바탕" w:eastAsia="바탕" w:hAnsi="바탕" w:hint="eastAsia"/>
        </w:rPr>
        <w:t xml:space="preserve"> 섹션에 자세히 명시된 바와 같이, PPG는 우리와 사업을 하거나, 승인을 확보하거나, 다른 부적절한 사업상 이익을 얻기 위해 파트너 또는 공무원에게 영향을 줄 의도로 자선단체에 기부를 사용할 수 없습니다.</w:t>
      </w:r>
      <w:r w:rsidRPr="004A5955">
        <w:rPr>
          <w:rFonts w:ascii="바탕" w:eastAsia="바탕" w:hAnsi="바탕" w:hint="eastAsia"/>
          <w:sz w:val="22"/>
          <w:szCs w:val="22"/>
        </w:rPr>
        <w:t xml:space="preserve">  </w:t>
      </w:r>
    </w:p>
    <w:p w14:paraId="213AFA17" w14:textId="2A969EE2" w:rsidR="0085042C" w:rsidRPr="004A5955" w:rsidRDefault="002A0565" w:rsidP="00B21148">
      <w:pPr>
        <w:pStyle w:val="a4"/>
        <w:numPr>
          <w:ilvl w:val="0"/>
          <w:numId w:val="13"/>
        </w:numPr>
        <w:spacing w:before="0" w:beforeAutospacing="0" w:after="0" w:afterAutospacing="0"/>
        <w:ind w:left="540"/>
        <w:rPr>
          <w:rFonts w:ascii="바탕" w:eastAsia="바탕" w:hAnsi="바탕"/>
          <w:sz w:val="22"/>
          <w:szCs w:val="22"/>
        </w:rPr>
      </w:pPr>
      <w:r w:rsidRPr="004A5955">
        <w:rPr>
          <w:rFonts w:ascii="바탕" w:eastAsia="바탕" w:hAnsi="바탕" w:hint="eastAsia"/>
          <w:b/>
          <w:bCs/>
          <w:i/>
          <w:iCs/>
          <w:sz w:val="22"/>
          <w:szCs w:val="22"/>
        </w:rPr>
        <w:t>정치 후원금</w:t>
      </w:r>
      <w:r w:rsidRPr="004A5955">
        <w:rPr>
          <w:rFonts w:ascii="바탕" w:eastAsia="바탕" w:hAnsi="바탕" w:hint="eastAsia"/>
          <w:b/>
          <w:bCs/>
          <w:sz w:val="22"/>
          <w:szCs w:val="22"/>
        </w:rPr>
        <w:t>.</w:t>
      </w:r>
      <w:r w:rsidRPr="004A5955">
        <w:rPr>
          <w:rFonts w:ascii="바탕" w:eastAsia="바탕" w:hAnsi="바탕" w:hint="eastAsia"/>
          <w:sz w:val="22"/>
          <w:szCs w:val="22"/>
        </w:rPr>
        <w:t xml:space="preserve"> PPG는 현지 법률의 요건 내에서, 그리고 PPG 대관 업무 부서의 승인을 얻어 기업 승인 구조를 통한 정치 후보자를 지지합니다. 자선 기부금에 존재하는 위험과 마찬가지로, 정부 공무원이나 사업 파트너에게 부적절한 영향을 주기 위해 정치 후보자나 정당에 기부를 하는 경우 명확한 우려가 있습니다.  자발적이고 개인적으로 선거 운동에 기부하는 것이 아니라 정부 공무원에게 대한 지불을 </w:t>
      </w:r>
      <w:proofErr w:type="spellStart"/>
      <w:r w:rsidRPr="004A5955">
        <w:rPr>
          <w:rFonts w:ascii="바탕" w:eastAsia="바탕" w:hAnsi="바탕" w:hint="eastAsia"/>
          <w:sz w:val="22"/>
          <w:szCs w:val="22"/>
        </w:rPr>
        <w:t>요청받은</w:t>
      </w:r>
      <w:proofErr w:type="spellEnd"/>
      <w:r w:rsidRPr="004A5955">
        <w:rPr>
          <w:rFonts w:ascii="바탕" w:eastAsia="바탕" w:hAnsi="바탕" w:hint="eastAsia"/>
          <w:sz w:val="22"/>
          <w:szCs w:val="22"/>
        </w:rPr>
        <w:t xml:space="preserve"> 모든 직원은 PPG Chief Compliance Officer 및 PPG Government Affairs에 알려야 합니다.</w:t>
      </w:r>
    </w:p>
    <w:p w14:paraId="6E98FB20" w14:textId="77777777" w:rsidR="0085042C" w:rsidRPr="004A5955" w:rsidRDefault="0085042C" w:rsidP="00B21148">
      <w:pPr>
        <w:pStyle w:val="a4"/>
        <w:spacing w:before="0" w:beforeAutospacing="0" w:after="0" w:afterAutospacing="0"/>
        <w:ind w:left="540" w:hanging="360"/>
        <w:rPr>
          <w:rFonts w:ascii="바탕" w:eastAsia="바탕" w:hAnsi="바탕"/>
          <w:sz w:val="22"/>
          <w:szCs w:val="22"/>
        </w:rPr>
      </w:pPr>
    </w:p>
    <w:p w14:paraId="7DE6F25B" w14:textId="77777777" w:rsidR="0085042C" w:rsidRPr="004A5955" w:rsidRDefault="0085042C">
      <w:pPr>
        <w:spacing w:before="0"/>
        <w:rPr>
          <w:rFonts w:ascii="바탕" w:eastAsia="바탕" w:hAnsi="바탕"/>
          <w:sz w:val="22"/>
          <w:szCs w:val="22"/>
          <w:u w:val="single"/>
        </w:rPr>
      </w:pPr>
    </w:p>
    <w:p w14:paraId="1FEC9774" w14:textId="77777777" w:rsidR="0085042C" w:rsidRPr="004A5955" w:rsidRDefault="002A0565" w:rsidP="00411E2B">
      <w:pPr>
        <w:spacing w:before="0"/>
        <w:jc w:val="center"/>
        <w:rPr>
          <w:rFonts w:ascii="바탕" w:eastAsia="바탕" w:hAnsi="바탕"/>
          <w:b/>
          <w:sz w:val="22"/>
          <w:szCs w:val="22"/>
          <w:u w:val="single"/>
        </w:rPr>
      </w:pPr>
      <w:r w:rsidRPr="004A5955">
        <w:rPr>
          <w:rFonts w:ascii="바탕" w:eastAsia="바탕" w:hAnsi="바탕" w:hint="eastAsia"/>
          <w:b/>
          <w:sz w:val="22"/>
          <w:szCs w:val="22"/>
          <w:u w:val="single"/>
        </w:rPr>
        <w:lastRenderedPageBreak/>
        <w:t>결과</w:t>
      </w:r>
    </w:p>
    <w:p w14:paraId="527B037F" w14:textId="77777777" w:rsidR="00AF084C" w:rsidRPr="004A5955" w:rsidRDefault="00AF084C" w:rsidP="00411E2B">
      <w:pPr>
        <w:spacing w:before="0"/>
        <w:jc w:val="center"/>
        <w:rPr>
          <w:rFonts w:ascii="바탕" w:eastAsia="바탕" w:hAnsi="바탕"/>
          <w:b/>
          <w:sz w:val="22"/>
          <w:szCs w:val="22"/>
          <w:u w:val="single"/>
        </w:rPr>
      </w:pPr>
    </w:p>
    <w:p w14:paraId="54420E7B" w14:textId="396E532C" w:rsidR="0085042C" w:rsidRPr="004A5955" w:rsidRDefault="002A0565" w:rsidP="008C3EBA">
      <w:pPr>
        <w:spacing w:before="0"/>
        <w:jc w:val="both"/>
        <w:rPr>
          <w:rFonts w:ascii="바탕" w:eastAsia="바탕" w:hAnsi="바탕"/>
          <w:sz w:val="22"/>
          <w:szCs w:val="22"/>
        </w:rPr>
      </w:pPr>
      <w:r w:rsidRPr="004A5955">
        <w:rPr>
          <w:rFonts w:ascii="바탕" w:eastAsia="바탕" w:hAnsi="바탕" w:hint="eastAsia"/>
          <w:sz w:val="22"/>
          <w:szCs w:val="22"/>
        </w:rPr>
        <w:t>이 정책과 반부패, 뇌물 수수 금지 법규 및 법률의 위반 시 기업 및 관계자 모두 중대한 형사 및/또는 민사 처벌을 받을 수 있습니다.  이러한 제한의 잠재적 위반처럼 보이는 것을 피하는 방식으로 행동하는 것이 항상 중요합니다. 특정 법률 하에서 벌금형은 제한이 없으며 종종 수백만 달러를 초과합니다. 개인에게 부과되는 형사 처벌로 10년 이상의 징역과 벌금이 선고될 수 있으며, 당사자를 대신해 PPG에서 이 벌금을 지불할 수는 없습니다.</w:t>
      </w:r>
    </w:p>
    <w:p w14:paraId="05325B61" w14:textId="77777777" w:rsidR="008C3EBA" w:rsidRPr="004A5955" w:rsidRDefault="008C3EBA" w:rsidP="008C3EBA">
      <w:pPr>
        <w:jc w:val="both"/>
        <w:rPr>
          <w:rFonts w:ascii="바탕" w:eastAsia="바탕" w:hAnsi="바탕"/>
          <w:sz w:val="22"/>
          <w:szCs w:val="22"/>
        </w:rPr>
      </w:pPr>
    </w:p>
    <w:p w14:paraId="77E851C8" w14:textId="77777777" w:rsidR="0085042C" w:rsidRPr="004A5955" w:rsidRDefault="002A0565" w:rsidP="008C3EBA">
      <w:pPr>
        <w:jc w:val="both"/>
        <w:rPr>
          <w:rFonts w:ascii="바탕" w:eastAsia="바탕" w:hAnsi="바탕"/>
          <w:sz w:val="22"/>
          <w:szCs w:val="22"/>
        </w:rPr>
      </w:pPr>
      <w:r w:rsidRPr="004A5955">
        <w:rPr>
          <w:rFonts w:ascii="바탕" w:eastAsia="바탕" w:hAnsi="바탕" w:hint="eastAsia"/>
          <w:sz w:val="22"/>
          <w:szCs w:val="22"/>
        </w:rPr>
        <w:t xml:space="preserve">이 정책 또는 해당 법률 및 규제를 위반할 경우 회사는 최대 고용 종료를 포함한 징계 처분을 내릴 수 있습니다.  </w:t>
      </w:r>
    </w:p>
    <w:p w14:paraId="269652AE" w14:textId="77777777" w:rsidR="0085042C" w:rsidRPr="004A5955" w:rsidRDefault="0085042C">
      <w:pPr>
        <w:pStyle w:val="Default"/>
        <w:rPr>
          <w:rFonts w:ascii="바탕" w:hAnsi="바탕"/>
          <w:i/>
          <w:sz w:val="22"/>
          <w:szCs w:val="22"/>
        </w:rPr>
      </w:pPr>
    </w:p>
    <w:p w14:paraId="6FEE9BC6" w14:textId="77777777" w:rsidR="0085042C" w:rsidRPr="004A5955" w:rsidRDefault="002A0565" w:rsidP="00411E2B">
      <w:pPr>
        <w:pStyle w:val="Default"/>
        <w:jc w:val="center"/>
        <w:rPr>
          <w:rFonts w:ascii="바탕" w:hAnsi="바탕"/>
          <w:b/>
          <w:sz w:val="22"/>
          <w:szCs w:val="22"/>
          <w:u w:val="single"/>
        </w:rPr>
      </w:pPr>
      <w:r w:rsidRPr="004A5955">
        <w:rPr>
          <w:rFonts w:ascii="바탕" w:hAnsi="바탕" w:hint="eastAsia"/>
          <w:b/>
          <w:sz w:val="22"/>
          <w:szCs w:val="22"/>
          <w:u w:val="single"/>
        </w:rPr>
        <w:t>모니터링 및 검토</w:t>
      </w:r>
    </w:p>
    <w:p w14:paraId="2FDAEE78" w14:textId="77777777" w:rsidR="00AF084C" w:rsidRPr="004A5955" w:rsidRDefault="00AF084C" w:rsidP="00411E2B">
      <w:pPr>
        <w:pStyle w:val="Default"/>
        <w:jc w:val="center"/>
        <w:rPr>
          <w:rFonts w:ascii="바탕" w:hAnsi="바탕"/>
          <w:b/>
          <w:sz w:val="22"/>
          <w:szCs w:val="22"/>
          <w:u w:val="single"/>
        </w:rPr>
      </w:pPr>
    </w:p>
    <w:p w14:paraId="7CFB4F07" w14:textId="6FB41C95" w:rsidR="0085042C" w:rsidRPr="004A5955" w:rsidRDefault="00AF084C">
      <w:pPr>
        <w:pStyle w:val="Default"/>
        <w:rPr>
          <w:rFonts w:ascii="바탕" w:hAnsi="바탕"/>
          <w:b/>
          <w:sz w:val="22"/>
          <w:szCs w:val="22"/>
          <w:u w:val="single"/>
        </w:rPr>
      </w:pPr>
      <w:r w:rsidRPr="004A5955">
        <w:rPr>
          <w:rFonts w:ascii="바탕" w:hAnsi="바탕" w:hint="eastAsia"/>
          <w:sz w:val="22"/>
          <w:szCs w:val="22"/>
        </w:rPr>
        <w:t xml:space="preserve">경영진은 전반적인 사업이 PPG 정책과 관련 법률 및 법규 일체에 따라 수행되도록 관리 기준을 수립할 책임이 있습니다. PPG Corporate Audit Services에서 정기적으로 직원이 해당 정책, 관련 절차 및 참조 법률과 규제를 준수하는지 모니터링하고 검토합니다. </w:t>
      </w:r>
    </w:p>
    <w:p w14:paraId="5013ACCA" w14:textId="77777777" w:rsidR="0085042C" w:rsidRPr="004A5955" w:rsidRDefault="0085042C">
      <w:pPr>
        <w:pStyle w:val="Default"/>
        <w:rPr>
          <w:rFonts w:ascii="바탕" w:hAnsi="바탕"/>
          <w:b/>
          <w:sz w:val="22"/>
          <w:szCs w:val="22"/>
          <w:u w:val="single"/>
        </w:rPr>
      </w:pPr>
    </w:p>
    <w:p w14:paraId="1DD894EE" w14:textId="77777777" w:rsidR="0085042C" w:rsidRPr="004A5955" w:rsidRDefault="002A0565" w:rsidP="00411E2B">
      <w:pPr>
        <w:pStyle w:val="Default"/>
        <w:jc w:val="center"/>
        <w:rPr>
          <w:rFonts w:ascii="바탕" w:hAnsi="바탕"/>
          <w:b/>
          <w:sz w:val="22"/>
          <w:szCs w:val="22"/>
          <w:u w:val="single"/>
        </w:rPr>
      </w:pPr>
      <w:r w:rsidRPr="004A5955">
        <w:rPr>
          <w:rFonts w:ascii="바탕" w:hAnsi="바탕" w:hint="eastAsia"/>
          <w:b/>
          <w:sz w:val="22"/>
          <w:szCs w:val="22"/>
          <w:u w:val="single"/>
        </w:rPr>
        <w:t>보고</w:t>
      </w:r>
    </w:p>
    <w:p w14:paraId="18D6363F" w14:textId="77777777" w:rsidR="0085042C" w:rsidRPr="004A5955" w:rsidRDefault="002A0565">
      <w:pPr>
        <w:pStyle w:val="Default"/>
        <w:rPr>
          <w:rFonts w:ascii="바탕" w:hAnsi="바탕"/>
          <w:sz w:val="22"/>
          <w:szCs w:val="22"/>
        </w:rPr>
      </w:pPr>
      <w:r w:rsidRPr="004A5955">
        <w:rPr>
          <w:rFonts w:ascii="바탕" w:hAnsi="바탕" w:hint="eastAsia"/>
        </w:rPr>
        <w:t>해당 정책이나 이런 법률과 규제의 위반으로 의심되거나 위반을 파악한 PPG 및 자회사의 임직원은 PPG Chief Compliance Officer나 PPG Corporate Counsel, Global Ethics &amp; Compliance, 아래 명시한 다른 리소스, 아니면 기밀로 익명이 보장되는 PPG '</w:t>
      </w:r>
      <w:hyperlink r:id="rId20" w:history="1">
        <w:r w:rsidRPr="004A5955">
          <w:rPr>
            <w:rStyle w:val="a8"/>
            <w:rFonts w:ascii="바탕" w:hAnsi="바탕" w:hint="eastAsia"/>
            <w:sz w:val="22"/>
            <w:szCs w:val="22"/>
          </w:rPr>
          <w:t>윤리 헬프라인</w:t>
        </w:r>
      </w:hyperlink>
      <w:r w:rsidRPr="004A5955">
        <w:rPr>
          <w:rFonts w:ascii="바탕" w:hAnsi="바탕" w:hint="eastAsia"/>
        </w:rPr>
        <w:t>'을 통해 이 사실을 보고해야 합니다.</w:t>
      </w:r>
      <w:r w:rsidRPr="004A5955">
        <w:rPr>
          <w:rFonts w:ascii="바탕" w:hAnsi="바탕" w:hint="eastAsia"/>
          <w:sz w:val="22"/>
          <w:szCs w:val="22"/>
        </w:rPr>
        <w:t xml:space="preserve">  </w:t>
      </w:r>
    </w:p>
    <w:p w14:paraId="6CEBC2CF" w14:textId="77777777" w:rsidR="0085042C" w:rsidRPr="004A5955" w:rsidRDefault="0085042C">
      <w:pPr>
        <w:pStyle w:val="Default"/>
        <w:rPr>
          <w:rFonts w:ascii="바탕" w:hAnsi="바탕"/>
          <w:i/>
          <w:sz w:val="22"/>
          <w:szCs w:val="22"/>
        </w:rPr>
      </w:pPr>
    </w:p>
    <w:p w14:paraId="2B9D7AAF" w14:textId="77777777" w:rsidR="0085042C" w:rsidRPr="004A5955" w:rsidRDefault="002A0565">
      <w:pPr>
        <w:pStyle w:val="Default"/>
        <w:rPr>
          <w:rFonts w:ascii="바탕" w:hAnsi="바탕"/>
          <w:b/>
          <w:sz w:val="22"/>
          <w:szCs w:val="22"/>
          <w:u w:val="single"/>
        </w:rPr>
      </w:pPr>
      <w:r w:rsidRPr="004A5955">
        <w:rPr>
          <w:rFonts w:ascii="바탕" w:hAnsi="바탕" w:hint="eastAsia"/>
          <w:b/>
          <w:sz w:val="22"/>
          <w:szCs w:val="22"/>
          <w:u w:val="single"/>
        </w:rPr>
        <w:t>리소스</w:t>
      </w:r>
    </w:p>
    <w:p w14:paraId="53784C3D" w14:textId="77777777" w:rsidR="0085042C" w:rsidRPr="004A5955" w:rsidRDefault="002A0565">
      <w:pPr>
        <w:pStyle w:val="Default"/>
        <w:rPr>
          <w:rFonts w:ascii="바탕" w:hAnsi="바탕"/>
          <w:sz w:val="22"/>
          <w:szCs w:val="22"/>
        </w:rPr>
      </w:pPr>
      <w:r w:rsidRPr="004A5955">
        <w:rPr>
          <w:rFonts w:ascii="바탕" w:hAnsi="바탕" w:hint="eastAsia"/>
          <w:sz w:val="22"/>
          <w:szCs w:val="22"/>
        </w:rPr>
        <w:t>정책 또는 참조 법률 및 규제와 관련하여 의문점이 있으면 문의바랍니다.</w:t>
      </w:r>
    </w:p>
    <w:p w14:paraId="491190A2" w14:textId="77777777" w:rsidR="008C3EBA" w:rsidRPr="004A5955" w:rsidRDefault="002A0565" w:rsidP="008C3EBA">
      <w:pPr>
        <w:pStyle w:val="Default"/>
        <w:numPr>
          <w:ilvl w:val="0"/>
          <w:numId w:val="2"/>
        </w:numPr>
        <w:ind w:left="763"/>
        <w:contextualSpacing/>
        <w:rPr>
          <w:rFonts w:ascii="바탕" w:hAnsi="바탕"/>
          <w:b/>
          <w:sz w:val="22"/>
          <w:szCs w:val="22"/>
          <w:u w:val="single"/>
        </w:rPr>
      </w:pPr>
      <w:r w:rsidRPr="004A5955">
        <w:rPr>
          <w:rFonts w:ascii="바탕" w:hAnsi="바탕" w:hint="eastAsia"/>
          <w:i/>
          <w:sz w:val="22"/>
          <w:szCs w:val="22"/>
        </w:rPr>
        <w:t>PPG Chief Compliance Officer – 미국(412.434.3200)</w:t>
      </w:r>
    </w:p>
    <w:p w14:paraId="41E673D6" w14:textId="77777777" w:rsidR="00411E2B" w:rsidRPr="004A5955" w:rsidRDefault="00411E2B" w:rsidP="008C3EBA">
      <w:pPr>
        <w:pStyle w:val="a5"/>
        <w:numPr>
          <w:ilvl w:val="0"/>
          <w:numId w:val="2"/>
        </w:numPr>
        <w:spacing w:before="0"/>
        <w:ind w:left="763"/>
        <w:rPr>
          <w:rFonts w:ascii="바탕" w:eastAsia="바탕" w:hAnsi="바탕" w:cs="Calibri"/>
          <w:i/>
          <w:color w:val="000000"/>
          <w:sz w:val="22"/>
          <w:szCs w:val="22"/>
        </w:rPr>
      </w:pPr>
      <w:r w:rsidRPr="004A5955">
        <w:rPr>
          <w:rFonts w:ascii="바탕" w:eastAsia="바탕" w:hAnsi="바탕" w:hint="eastAsia"/>
          <w:i/>
          <w:color w:val="000000"/>
          <w:sz w:val="22"/>
          <w:szCs w:val="22"/>
        </w:rPr>
        <w:t>PPG Corporate Counsel, Global Ethics &amp; Compliance (412.434.2434)</w:t>
      </w:r>
    </w:p>
    <w:p w14:paraId="40F6C28B" w14:textId="77777777" w:rsidR="0085042C" w:rsidRPr="004A5955" w:rsidRDefault="002A0565" w:rsidP="008C3EBA">
      <w:pPr>
        <w:pStyle w:val="Default"/>
        <w:numPr>
          <w:ilvl w:val="0"/>
          <w:numId w:val="2"/>
        </w:numPr>
        <w:contextualSpacing/>
        <w:rPr>
          <w:rFonts w:ascii="바탕" w:hAnsi="바탕"/>
          <w:b/>
          <w:sz w:val="22"/>
          <w:szCs w:val="22"/>
          <w:u w:val="single"/>
        </w:rPr>
      </w:pPr>
      <w:r w:rsidRPr="004A5955">
        <w:rPr>
          <w:rFonts w:ascii="바탕" w:hAnsi="바탕" w:hint="eastAsia"/>
          <w:i/>
          <w:sz w:val="22"/>
          <w:szCs w:val="22"/>
        </w:rPr>
        <w:t>PPG Senior V.P. 겸 General Counsel – 미국(412.434.2471)</w:t>
      </w:r>
    </w:p>
    <w:p w14:paraId="55921441" w14:textId="77777777" w:rsidR="0085042C" w:rsidRPr="004A5955" w:rsidRDefault="002A0565">
      <w:pPr>
        <w:pStyle w:val="Default"/>
        <w:numPr>
          <w:ilvl w:val="0"/>
          <w:numId w:val="2"/>
        </w:numPr>
        <w:rPr>
          <w:rFonts w:ascii="바탕" w:hAnsi="바탕"/>
          <w:b/>
          <w:sz w:val="22"/>
          <w:szCs w:val="22"/>
          <w:u w:val="single"/>
        </w:rPr>
      </w:pPr>
      <w:r w:rsidRPr="004A5955">
        <w:rPr>
          <w:rFonts w:ascii="바탕" w:hAnsi="바탕" w:hint="eastAsia"/>
          <w:i/>
          <w:sz w:val="22"/>
          <w:szCs w:val="22"/>
        </w:rPr>
        <w:t>PPG 지역 법률 고문:</w:t>
      </w:r>
    </w:p>
    <w:p w14:paraId="601FDF92" w14:textId="77777777" w:rsidR="0085042C" w:rsidRPr="004A5955" w:rsidRDefault="002A0565" w:rsidP="003270D8">
      <w:pPr>
        <w:pStyle w:val="Default"/>
        <w:numPr>
          <w:ilvl w:val="1"/>
          <w:numId w:val="17"/>
        </w:numPr>
        <w:rPr>
          <w:rFonts w:ascii="바탕" w:hAnsi="바탕"/>
          <w:b/>
          <w:sz w:val="22"/>
          <w:szCs w:val="22"/>
          <w:u w:val="single"/>
        </w:rPr>
      </w:pPr>
      <w:r w:rsidRPr="004A5955">
        <w:rPr>
          <w:rFonts w:ascii="바탕" w:hAnsi="바탕" w:hint="eastAsia"/>
          <w:i/>
          <w:sz w:val="22"/>
          <w:szCs w:val="22"/>
        </w:rPr>
        <w:t>General Counsel – 아시아 태평양(852.2860.4569)</w:t>
      </w:r>
    </w:p>
    <w:p w14:paraId="41D0DBB3" w14:textId="77777777" w:rsidR="0085042C" w:rsidRPr="004A5955" w:rsidRDefault="002A0565" w:rsidP="003270D8">
      <w:pPr>
        <w:pStyle w:val="Default"/>
        <w:numPr>
          <w:ilvl w:val="1"/>
          <w:numId w:val="17"/>
        </w:numPr>
        <w:rPr>
          <w:rFonts w:ascii="바탕" w:hAnsi="바탕"/>
          <w:i/>
          <w:sz w:val="22"/>
          <w:szCs w:val="22"/>
        </w:rPr>
      </w:pPr>
      <w:r w:rsidRPr="004A5955">
        <w:rPr>
          <w:rFonts w:ascii="바탕" w:hAnsi="바탕" w:hint="eastAsia"/>
          <w:i/>
          <w:sz w:val="22"/>
          <w:szCs w:val="22"/>
        </w:rPr>
        <w:t>General Counsel – EMEA(41.21.822.3011)</w:t>
      </w:r>
    </w:p>
    <w:p w14:paraId="36FDEF75" w14:textId="77777777" w:rsidR="0030096A" w:rsidRPr="004A5955" w:rsidRDefault="0030096A" w:rsidP="003270D8">
      <w:pPr>
        <w:pStyle w:val="Default"/>
        <w:numPr>
          <w:ilvl w:val="1"/>
          <w:numId w:val="17"/>
        </w:numPr>
        <w:rPr>
          <w:rFonts w:ascii="바탕" w:hAnsi="바탕"/>
          <w:i/>
          <w:sz w:val="22"/>
          <w:szCs w:val="22"/>
        </w:rPr>
      </w:pPr>
      <w:r w:rsidRPr="004A5955">
        <w:rPr>
          <w:rFonts w:ascii="바탕" w:hAnsi="바탕" w:hint="eastAsia"/>
          <w:i/>
          <w:sz w:val="22"/>
          <w:szCs w:val="22"/>
        </w:rPr>
        <w:t>Law Director – 남아메리카(55 19 2103.6082)</w:t>
      </w:r>
    </w:p>
    <w:p w14:paraId="04893EF1" w14:textId="4EAFDFD6" w:rsidR="0085042C" w:rsidRPr="004A5955" w:rsidRDefault="003270D8" w:rsidP="003270D8">
      <w:pPr>
        <w:pStyle w:val="Default"/>
        <w:numPr>
          <w:ilvl w:val="1"/>
          <w:numId w:val="17"/>
        </w:numPr>
        <w:rPr>
          <w:rFonts w:ascii="바탕" w:hAnsi="바탕"/>
          <w:i/>
          <w:sz w:val="22"/>
          <w:szCs w:val="22"/>
        </w:rPr>
      </w:pPr>
      <w:r w:rsidRPr="004A5955">
        <w:rPr>
          <w:rFonts w:ascii="바탕" w:hAnsi="바탕" w:hint="eastAsia"/>
          <w:i/>
          <w:sz w:val="22"/>
          <w:szCs w:val="22"/>
        </w:rPr>
        <w:t>Law and Compliance Director – 라틴아메리카 북부(52 55 5284.1779)</w:t>
      </w:r>
    </w:p>
    <w:sectPr w:rsidR="0085042C" w:rsidRPr="004A5955" w:rsidSect="0085042C">
      <w:footerReference w:type="default" r:id="rId21"/>
      <w:pgSz w:w="12240" w:h="15840"/>
      <w:pgMar w:top="13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66D3" w14:textId="77777777" w:rsidR="009307C4" w:rsidRDefault="009307C4">
      <w:pPr>
        <w:spacing w:before="0"/>
      </w:pPr>
      <w:r>
        <w:separator/>
      </w:r>
    </w:p>
  </w:endnote>
  <w:endnote w:type="continuationSeparator" w:id="0">
    <w:p w14:paraId="2F741E16" w14:textId="77777777" w:rsidR="009307C4" w:rsidRDefault="009307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A841" w14:textId="33D42D4B" w:rsidR="004C79DC" w:rsidRDefault="00ED53A3">
    <w:pPr>
      <w:pStyle w:val="a7"/>
      <w:pBdr>
        <w:top w:val="thinThickSmallGap" w:sz="24" w:space="1" w:color="622423" w:themeColor="accent2" w:themeShade="7F"/>
      </w:pBdr>
      <w:rPr>
        <w:rFonts w:asciiTheme="majorHAnsi" w:hAnsiTheme="majorHAnsi"/>
      </w:rPr>
    </w:pPr>
    <w:proofErr w:type="spellStart"/>
    <w:r>
      <w:rPr>
        <w:rFonts w:asciiTheme="majorHAnsi" w:hAnsiTheme="majorHAnsi" w:hint="eastAsia"/>
      </w:rPr>
      <w:t>개정</w:t>
    </w:r>
    <w:proofErr w:type="spellEnd"/>
    <w:r>
      <w:rPr>
        <w:rFonts w:asciiTheme="majorHAnsi" w:hAnsiTheme="majorHAnsi" w:hint="eastAsia"/>
      </w:rPr>
      <w:t xml:space="preserve"> 12/19</w:t>
    </w:r>
    <w:r>
      <w:rPr>
        <w:rFonts w:asciiTheme="majorHAnsi" w:hAnsiTheme="majorHAnsi" w:hint="eastAsia"/>
      </w:rPr>
      <w:ptab w:relativeTo="margin" w:alignment="right" w:leader="none"/>
    </w:r>
    <w:proofErr w:type="spellStart"/>
    <w:r>
      <w:rPr>
        <w:rFonts w:asciiTheme="majorHAnsi" w:hAnsiTheme="majorHAnsi" w:hint="eastAsia"/>
      </w:rPr>
      <w:t>페이지</w:t>
    </w:r>
    <w:proofErr w:type="spellEnd"/>
    <w:r>
      <w:rPr>
        <w:rFonts w:asciiTheme="majorHAnsi" w:hAnsiTheme="majorHAnsi" w:hint="eastAsia"/>
      </w:rPr>
      <w:t xml:space="preserve"> </w:t>
    </w:r>
    <w:r w:rsidR="004C79DC">
      <w:rPr>
        <w:rFonts w:hint="eastAsia"/>
      </w:rPr>
      <w:fldChar w:fldCharType="begin"/>
    </w:r>
    <w:r w:rsidR="004C79DC">
      <w:instrText xml:space="preserve"> PAGE   \* MERGEFORMAT </w:instrText>
    </w:r>
    <w:r w:rsidR="004C79DC">
      <w:rPr>
        <w:rFonts w:hint="eastAsia"/>
      </w:rPr>
      <w:fldChar w:fldCharType="separate"/>
    </w:r>
    <w:r w:rsidR="004A5955" w:rsidRPr="004A5955">
      <w:rPr>
        <w:rFonts w:asciiTheme="majorHAnsi" w:hAnsiTheme="majorHAnsi"/>
        <w:noProof/>
      </w:rPr>
      <w:t>1</w:t>
    </w:r>
    <w:r w:rsidR="004C79DC">
      <w:rPr>
        <w:rFonts w:asciiTheme="majorHAnsi" w:hAnsiTheme="majorHAnsi"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19C16" w14:textId="77777777" w:rsidR="009307C4" w:rsidRDefault="009307C4">
      <w:pPr>
        <w:spacing w:before="0"/>
      </w:pPr>
      <w:r>
        <w:separator/>
      </w:r>
    </w:p>
  </w:footnote>
  <w:footnote w:type="continuationSeparator" w:id="0">
    <w:p w14:paraId="10EB0C74" w14:textId="77777777" w:rsidR="009307C4" w:rsidRDefault="009307C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8ED"/>
      </v:shape>
    </w:pict>
  </w:numPicBullet>
  <w:abstractNum w:abstractNumId="0" w15:restartNumberingAfterBreak="0">
    <w:nsid w:val="08D62D33"/>
    <w:multiLevelType w:val="hybridMultilevel"/>
    <w:tmpl w:val="718C95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07E42C1"/>
    <w:multiLevelType w:val="hybridMultilevel"/>
    <w:tmpl w:val="6380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1D5C5A"/>
    <w:multiLevelType w:val="hybridMultilevel"/>
    <w:tmpl w:val="75D00B10"/>
    <w:lvl w:ilvl="0" w:tplc="CEA088DA">
      <w:start w:val="1"/>
      <w:numFmt w:val="bullet"/>
      <w:lvlText w:val="◦"/>
      <w:lvlJc w:val="left"/>
      <w:pPr>
        <w:tabs>
          <w:tab w:val="num" w:pos="720"/>
        </w:tabs>
        <w:ind w:left="720" w:hanging="360"/>
      </w:pPr>
      <w:rPr>
        <w:rFonts w:ascii="Verdana" w:hAnsi="Verdana" w:hint="default"/>
      </w:rPr>
    </w:lvl>
    <w:lvl w:ilvl="1" w:tplc="878A24A0">
      <w:start w:val="1"/>
      <w:numFmt w:val="bullet"/>
      <w:lvlText w:val="◦"/>
      <w:lvlJc w:val="left"/>
      <w:pPr>
        <w:tabs>
          <w:tab w:val="num" w:pos="1440"/>
        </w:tabs>
        <w:ind w:left="1440" w:hanging="360"/>
      </w:pPr>
      <w:rPr>
        <w:rFonts w:ascii="Verdana" w:hAnsi="Verdana" w:hint="default"/>
      </w:rPr>
    </w:lvl>
    <w:lvl w:ilvl="2" w:tplc="76A2A024" w:tentative="1">
      <w:start w:val="1"/>
      <w:numFmt w:val="bullet"/>
      <w:lvlText w:val="◦"/>
      <w:lvlJc w:val="left"/>
      <w:pPr>
        <w:tabs>
          <w:tab w:val="num" w:pos="2160"/>
        </w:tabs>
        <w:ind w:left="2160" w:hanging="360"/>
      </w:pPr>
      <w:rPr>
        <w:rFonts w:ascii="Verdana" w:hAnsi="Verdana" w:hint="default"/>
      </w:rPr>
    </w:lvl>
    <w:lvl w:ilvl="3" w:tplc="02E2DE54" w:tentative="1">
      <w:start w:val="1"/>
      <w:numFmt w:val="bullet"/>
      <w:lvlText w:val="◦"/>
      <w:lvlJc w:val="left"/>
      <w:pPr>
        <w:tabs>
          <w:tab w:val="num" w:pos="2880"/>
        </w:tabs>
        <w:ind w:left="2880" w:hanging="360"/>
      </w:pPr>
      <w:rPr>
        <w:rFonts w:ascii="Verdana" w:hAnsi="Verdana" w:hint="default"/>
      </w:rPr>
    </w:lvl>
    <w:lvl w:ilvl="4" w:tplc="FDDA35CC" w:tentative="1">
      <w:start w:val="1"/>
      <w:numFmt w:val="bullet"/>
      <w:lvlText w:val="◦"/>
      <w:lvlJc w:val="left"/>
      <w:pPr>
        <w:tabs>
          <w:tab w:val="num" w:pos="3600"/>
        </w:tabs>
        <w:ind w:left="3600" w:hanging="360"/>
      </w:pPr>
      <w:rPr>
        <w:rFonts w:ascii="Verdana" w:hAnsi="Verdana" w:hint="default"/>
      </w:rPr>
    </w:lvl>
    <w:lvl w:ilvl="5" w:tplc="59DE1134" w:tentative="1">
      <w:start w:val="1"/>
      <w:numFmt w:val="bullet"/>
      <w:lvlText w:val="◦"/>
      <w:lvlJc w:val="left"/>
      <w:pPr>
        <w:tabs>
          <w:tab w:val="num" w:pos="4320"/>
        </w:tabs>
        <w:ind w:left="4320" w:hanging="360"/>
      </w:pPr>
      <w:rPr>
        <w:rFonts w:ascii="Verdana" w:hAnsi="Verdana" w:hint="default"/>
      </w:rPr>
    </w:lvl>
    <w:lvl w:ilvl="6" w:tplc="3E78EF92" w:tentative="1">
      <w:start w:val="1"/>
      <w:numFmt w:val="bullet"/>
      <w:lvlText w:val="◦"/>
      <w:lvlJc w:val="left"/>
      <w:pPr>
        <w:tabs>
          <w:tab w:val="num" w:pos="5040"/>
        </w:tabs>
        <w:ind w:left="5040" w:hanging="360"/>
      </w:pPr>
      <w:rPr>
        <w:rFonts w:ascii="Verdana" w:hAnsi="Verdana" w:hint="default"/>
      </w:rPr>
    </w:lvl>
    <w:lvl w:ilvl="7" w:tplc="48A2E1D6" w:tentative="1">
      <w:start w:val="1"/>
      <w:numFmt w:val="bullet"/>
      <w:lvlText w:val="◦"/>
      <w:lvlJc w:val="left"/>
      <w:pPr>
        <w:tabs>
          <w:tab w:val="num" w:pos="5760"/>
        </w:tabs>
        <w:ind w:left="5760" w:hanging="360"/>
      </w:pPr>
      <w:rPr>
        <w:rFonts w:ascii="Verdana" w:hAnsi="Verdana" w:hint="default"/>
      </w:rPr>
    </w:lvl>
    <w:lvl w:ilvl="8" w:tplc="57B42F8E"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3F9E530B"/>
    <w:multiLevelType w:val="hybridMultilevel"/>
    <w:tmpl w:val="1B1C5306"/>
    <w:lvl w:ilvl="0" w:tplc="A1C0F5B0">
      <w:start w:val="1"/>
      <w:numFmt w:val="bullet"/>
      <w:lvlText w:val=""/>
      <w:lvlPicBulletId w:val="0"/>
      <w:lvlJc w:val="left"/>
      <w:pPr>
        <w:tabs>
          <w:tab w:val="num" w:pos="720"/>
        </w:tabs>
        <w:ind w:left="720" w:hanging="360"/>
      </w:pPr>
      <w:rPr>
        <w:rFonts w:ascii="Symbol" w:hAnsi="Symbol" w:hint="default"/>
      </w:rPr>
    </w:lvl>
    <w:lvl w:ilvl="1" w:tplc="E90E77A6">
      <w:start w:val="1"/>
      <w:numFmt w:val="bullet"/>
      <w:lvlText w:val=""/>
      <w:lvlPicBulletId w:val="0"/>
      <w:lvlJc w:val="left"/>
      <w:pPr>
        <w:tabs>
          <w:tab w:val="num" w:pos="1440"/>
        </w:tabs>
        <w:ind w:left="1440" w:hanging="360"/>
      </w:pPr>
      <w:rPr>
        <w:rFonts w:ascii="Symbol" w:hAnsi="Symbol" w:hint="default"/>
      </w:rPr>
    </w:lvl>
    <w:lvl w:ilvl="2" w:tplc="96FCC26C" w:tentative="1">
      <w:start w:val="1"/>
      <w:numFmt w:val="bullet"/>
      <w:lvlText w:val=""/>
      <w:lvlPicBulletId w:val="0"/>
      <w:lvlJc w:val="left"/>
      <w:pPr>
        <w:tabs>
          <w:tab w:val="num" w:pos="2160"/>
        </w:tabs>
        <w:ind w:left="2160" w:hanging="360"/>
      </w:pPr>
      <w:rPr>
        <w:rFonts w:ascii="Symbol" w:hAnsi="Symbol" w:hint="default"/>
      </w:rPr>
    </w:lvl>
    <w:lvl w:ilvl="3" w:tplc="297AA23C" w:tentative="1">
      <w:start w:val="1"/>
      <w:numFmt w:val="bullet"/>
      <w:lvlText w:val=""/>
      <w:lvlPicBulletId w:val="0"/>
      <w:lvlJc w:val="left"/>
      <w:pPr>
        <w:tabs>
          <w:tab w:val="num" w:pos="2880"/>
        </w:tabs>
        <w:ind w:left="2880" w:hanging="360"/>
      </w:pPr>
      <w:rPr>
        <w:rFonts w:ascii="Symbol" w:hAnsi="Symbol" w:hint="default"/>
      </w:rPr>
    </w:lvl>
    <w:lvl w:ilvl="4" w:tplc="5AF02C30" w:tentative="1">
      <w:start w:val="1"/>
      <w:numFmt w:val="bullet"/>
      <w:lvlText w:val=""/>
      <w:lvlPicBulletId w:val="0"/>
      <w:lvlJc w:val="left"/>
      <w:pPr>
        <w:tabs>
          <w:tab w:val="num" w:pos="3600"/>
        </w:tabs>
        <w:ind w:left="3600" w:hanging="360"/>
      </w:pPr>
      <w:rPr>
        <w:rFonts w:ascii="Symbol" w:hAnsi="Symbol" w:hint="default"/>
      </w:rPr>
    </w:lvl>
    <w:lvl w:ilvl="5" w:tplc="B7642A72" w:tentative="1">
      <w:start w:val="1"/>
      <w:numFmt w:val="bullet"/>
      <w:lvlText w:val=""/>
      <w:lvlPicBulletId w:val="0"/>
      <w:lvlJc w:val="left"/>
      <w:pPr>
        <w:tabs>
          <w:tab w:val="num" w:pos="4320"/>
        </w:tabs>
        <w:ind w:left="4320" w:hanging="360"/>
      </w:pPr>
      <w:rPr>
        <w:rFonts w:ascii="Symbol" w:hAnsi="Symbol" w:hint="default"/>
      </w:rPr>
    </w:lvl>
    <w:lvl w:ilvl="6" w:tplc="C2A85CE2" w:tentative="1">
      <w:start w:val="1"/>
      <w:numFmt w:val="bullet"/>
      <w:lvlText w:val=""/>
      <w:lvlPicBulletId w:val="0"/>
      <w:lvlJc w:val="left"/>
      <w:pPr>
        <w:tabs>
          <w:tab w:val="num" w:pos="5040"/>
        </w:tabs>
        <w:ind w:left="5040" w:hanging="360"/>
      </w:pPr>
      <w:rPr>
        <w:rFonts w:ascii="Symbol" w:hAnsi="Symbol" w:hint="default"/>
      </w:rPr>
    </w:lvl>
    <w:lvl w:ilvl="7" w:tplc="E18A06B6" w:tentative="1">
      <w:start w:val="1"/>
      <w:numFmt w:val="bullet"/>
      <w:lvlText w:val=""/>
      <w:lvlPicBulletId w:val="0"/>
      <w:lvlJc w:val="left"/>
      <w:pPr>
        <w:tabs>
          <w:tab w:val="num" w:pos="5760"/>
        </w:tabs>
        <w:ind w:left="5760" w:hanging="360"/>
      </w:pPr>
      <w:rPr>
        <w:rFonts w:ascii="Symbol" w:hAnsi="Symbol" w:hint="default"/>
      </w:rPr>
    </w:lvl>
    <w:lvl w:ilvl="8" w:tplc="DC6A83A6"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4D5D3908"/>
    <w:multiLevelType w:val="hybridMultilevel"/>
    <w:tmpl w:val="2AD0B15C"/>
    <w:lvl w:ilvl="0" w:tplc="AD7E4664">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E2891"/>
    <w:multiLevelType w:val="hybridMultilevel"/>
    <w:tmpl w:val="60B69E3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5C8311B"/>
    <w:multiLevelType w:val="hybridMultilevel"/>
    <w:tmpl w:val="127443C2"/>
    <w:lvl w:ilvl="0" w:tplc="E5BAB14A">
      <w:start w:val="1"/>
      <w:numFmt w:val="bullet"/>
      <w:lvlText w:val="•"/>
      <w:lvlJc w:val="left"/>
      <w:pPr>
        <w:tabs>
          <w:tab w:val="num" w:pos="720"/>
        </w:tabs>
        <w:ind w:left="720" w:hanging="360"/>
      </w:pPr>
      <w:rPr>
        <w:rFonts w:ascii="Times New Roman" w:hAnsi="Times New Roman" w:hint="default"/>
      </w:rPr>
    </w:lvl>
    <w:lvl w:ilvl="1" w:tplc="0D3E8562" w:tentative="1">
      <w:start w:val="1"/>
      <w:numFmt w:val="bullet"/>
      <w:lvlText w:val="•"/>
      <w:lvlJc w:val="left"/>
      <w:pPr>
        <w:tabs>
          <w:tab w:val="num" w:pos="1440"/>
        </w:tabs>
        <w:ind w:left="1440" w:hanging="360"/>
      </w:pPr>
      <w:rPr>
        <w:rFonts w:ascii="Times New Roman" w:hAnsi="Times New Roman" w:hint="default"/>
      </w:rPr>
    </w:lvl>
    <w:lvl w:ilvl="2" w:tplc="740C906C">
      <w:start w:val="1"/>
      <w:numFmt w:val="bullet"/>
      <w:lvlText w:val="•"/>
      <w:lvlJc w:val="left"/>
      <w:pPr>
        <w:tabs>
          <w:tab w:val="num" w:pos="2160"/>
        </w:tabs>
        <w:ind w:left="2160" w:hanging="360"/>
      </w:pPr>
      <w:rPr>
        <w:rFonts w:ascii="Times New Roman" w:hAnsi="Times New Roman" w:hint="default"/>
      </w:rPr>
    </w:lvl>
    <w:lvl w:ilvl="3" w:tplc="FF48FB78" w:tentative="1">
      <w:start w:val="1"/>
      <w:numFmt w:val="bullet"/>
      <w:lvlText w:val="•"/>
      <w:lvlJc w:val="left"/>
      <w:pPr>
        <w:tabs>
          <w:tab w:val="num" w:pos="2880"/>
        </w:tabs>
        <w:ind w:left="2880" w:hanging="360"/>
      </w:pPr>
      <w:rPr>
        <w:rFonts w:ascii="Times New Roman" w:hAnsi="Times New Roman" w:hint="default"/>
      </w:rPr>
    </w:lvl>
    <w:lvl w:ilvl="4" w:tplc="B3C2A850" w:tentative="1">
      <w:start w:val="1"/>
      <w:numFmt w:val="bullet"/>
      <w:lvlText w:val="•"/>
      <w:lvlJc w:val="left"/>
      <w:pPr>
        <w:tabs>
          <w:tab w:val="num" w:pos="3600"/>
        </w:tabs>
        <w:ind w:left="3600" w:hanging="360"/>
      </w:pPr>
      <w:rPr>
        <w:rFonts w:ascii="Times New Roman" w:hAnsi="Times New Roman" w:hint="default"/>
      </w:rPr>
    </w:lvl>
    <w:lvl w:ilvl="5" w:tplc="A18E6A48" w:tentative="1">
      <w:start w:val="1"/>
      <w:numFmt w:val="bullet"/>
      <w:lvlText w:val="•"/>
      <w:lvlJc w:val="left"/>
      <w:pPr>
        <w:tabs>
          <w:tab w:val="num" w:pos="4320"/>
        </w:tabs>
        <w:ind w:left="4320" w:hanging="360"/>
      </w:pPr>
      <w:rPr>
        <w:rFonts w:ascii="Times New Roman" w:hAnsi="Times New Roman" w:hint="default"/>
      </w:rPr>
    </w:lvl>
    <w:lvl w:ilvl="6" w:tplc="C2269FEC" w:tentative="1">
      <w:start w:val="1"/>
      <w:numFmt w:val="bullet"/>
      <w:lvlText w:val="•"/>
      <w:lvlJc w:val="left"/>
      <w:pPr>
        <w:tabs>
          <w:tab w:val="num" w:pos="5040"/>
        </w:tabs>
        <w:ind w:left="5040" w:hanging="360"/>
      </w:pPr>
      <w:rPr>
        <w:rFonts w:ascii="Times New Roman" w:hAnsi="Times New Roman" w:hint="default"/>
      </w:rPr>
    </w:lvl>
    <w:lvl w:ilvl="7" w:tplc="C276E484" w:tentative="1">
      <w:start w:val="1"/>
      <w:numFmt w:val="bullet"/>
      <w:lvlText w:val="•"/>
      <w:lvlJc w:val="left"/>
      <w:pPr>
        <w:tabs>
          <w:tab w:val="num" w:pos="5760"/>
        </w:tabs>
        <w:ind w:left="5760" w:hanging="360"/>
      </w:pPr>
      <w:rPr>
        <w:rFonts w:ascii="Times New Roman" w:hAnsi="Times New Roman" w:hint="default"/>
      </w:rPr>
    </w:lvl>
    <w:lvl w:ilvl="8" w:tplc="3F262A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73743D"/>
    <w:multiLevelType w:val="hybridMultilevel"/>
    <w:tmpl w:val="2050E47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5C9A51AB"/>
    <w:multiLevelType w:val="hybridMultilevel"/>
    <w:tmpl w:val="A4887D18"/>
    <w:lvl w:ilvl="0" w:tplc="80DA89A2">
      <w:start w:val="1"/>
      <w:numFmt w:val="bullet"/>
      <w:lvlText w:val=""/>
      <w:lvlPicBulletId w:val="0"/>
      <w:lvlJc w:val="left"/>
      <w:pPr>
        <w:tabs>
          <w:tab w:val="num" w:pos="720"/>
        </w:tabs>
        <w:ind w:left="720" w:hanging="360"/>
      </w:pPr>
      <w:rPr>
        <w:rFonts w:ascii="Symbol" w:hAnsi="Symbol" w:hint="default"/>
      </w:rPr>
    </w:lvl>
    <w:lvl w:ilvl="1" w:tplc="A99C3C62">
      <w:start w:val="1"/>
      <w:numFmt w:val="bullet"/>
      <w:lvlText w:val=""/>
      <w:lvlPicBulletId w:val="0"/>
      <w:lvlJc w:val="left"/>
      <w:pPr>
        <w:tabs>
          <w:tab w:val="num" w:pos="1440"/>
        </w:tabs>
        <w:ind w:left="1440" w:hanging="360"/>
      </w:pPr>
      <w:rPr>
        <w:rFonts w:ascii="Symbol" w:hAnsi="Symbol" w:hint="default"/>
      </w:rPr>
    </w:lvl>
    <w:lvl w:ilvl="2" w:tplc="E3D61570" w:tentative="1">
      <w:start w:val="1"/>
      <w:numFmt w:val="bullet"/>
      <w:lvlText w:val=""/>
      <w:lvlPicBulletId w:val="0"/>
      <w:lvlJc w:val="left"/>
      <w:pPr>
        <w:tabs>
          <w:tab w:val="num" w:pos="2160"/>
        </w:tabs>
        <w:ind w:left="2160" w:hanging="360"/>
      </w:pPr>
      <w:rPr>
        <w:rFonts w:ascii="Symbol" w:hAnsi="Symbol" w:hint="default"/>
      </w:rPr>
    </w:lvl>
    <w:lvl w:ilvl="3" w:tplc="D5B61DDE" w:tentative="1">
      <w:start w:val="1"/>
      <w:numFmt w:val="bullet"/>
      <w:lvlText w:val=""/>
      <w:lvlPicBulletId w:val="0"/>
      <w:lvlJc w:val="left"/>
      <w:pPr>
        <w:tabs>
          <w:tab w:val="num" w:pos="2880"/>
        </w:tabs>
        <w:ind w:left="2880" w:hanging="360"/>
      </w:pPr>
      <w:rPr>
        <w:rFonts w:ascii="Symbol" w:hAnsi="Symbol" w:hint="default"/>
      </w:rPr>
    </w:lvl>
    <w:lvl w:ilvl="4" w:tplc="441A03AE" w:tentative="1">
      <w:start w:val="1"/>
      <w:numFmt w:val="bullet"/>
      <w:lvlText w:val=""/>
      <w:lvlPicBulletId w:val="0"/>
      <w:lvlJc w:val="left"/>
      <w:pPr>
        <w:tabs>
          <w:tab w:val="num" w:pos="3600"/>
        </w:tabs>
        <w:ind w:left="3600" w:hanging="360"/>
      </w:pPr>
      <w:rPr>
        <w:rFonts w:ascii="Symbol" w:hAnsi="Symbol" w:hint="default"/>
      </w:rPr>
    </w:lvl>
    <w:lvl w:ilvl="5" w:tplc="80467C92" w:tentative="1">
      <w:start w:val="1"/>
      <w:numFmt w:val="bullet"/>
      <w:lvlText w:val=""/>
      <w:lvlPicBulletId w:val="0"/>
      <w:lvlJc w:val="left"/>
      <w:pPr>
        <w:tabs>
          <w:tab w:val="num" w:pos="4320"/>
        </w:tabs>
        <w:ind w:left="4320" w:hanging="360"/>
      </w:pPr>
      <w:rPr>
        <w:rFonts w:ascii="Symbol" w:hAnsi="Symbol" w:hint="default"/>
      </w:rPr>
    </w:lvl>
    <w:lvl w:ilvl="6" w:tplc="56C40046" w:tentative="1">
      <w:start w:val="1"/>
      <w:numFmt w:val="bullet"/>
      <w:lvlText w:val=""/>
      <w:lvlPicBulletId w:val="0"/>
      <w:lvlJc w:val="left"/>
      <w:pPr>
        <w:tabs>
          <w:tab w:val="num" w:pos="5040"/>
        </w:tabs>
        <w:ind w:left="5040" w:hanging="360"/>
      </w:pPr>
      <w:rPr>
        <w:rFonts w:ascii="Symbol" w:hAnsi="Symbol" w:hint="default"/>
      </w:rPr>
    </w:lvl>
    <w:lvl w:ilvl="7" w:tplc="CE5076F6" w:tentative="1">
      <w:start w:val="1"/>
      <w:numFmt w:val="bullet"/>
      <w:lvlText w:val=""/>
      <w:lvlPicBulletId w:val="0"/>
      <w:lvlJc w:val="left"/>
      <w:pPr>
        <w:tabs>
          <w:tab w:val="num" w:pos="5760"/>
        </w:tabs>
        <w:ind w:left="5760" w:hanging="360"/>
      </w:pPr>
      <w:rPr>
        <w:rFonts w:ascii="Symbol" w:hAnsi="Symbol" w:hint="default"/>
      </w:rPr>
    </w:lvl>
    <w:lvl w:ilvl="8" w:tplc="55A6596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FBB48F6"/>
    <w:multiLevelType w:val="hybridMultilevel"/>
    <w:tmpl w:val="9C66A0A2"/>
    <w:lvl w:ilvl="0" w:tplc="F77875A2">
      <w:start w:val="1"/>
      <w:numFmt w:val="bullet"/>
      <w:lvlText w:val="◦"/>
      <w:lvlJc w:val="left"/>
      <w:pPr>
        <w:tabs>
          <w:tab w:val="num" w:pos="720"/>
        </w:tabs>
        <w:ind w:left="720" w:hanging="360"/>
      </w:pPr>
      <w:rPr>
        <w:rFonts w:ascii="Verdana" w:hAnsi="Verdana" w:hint="default"/>
      </w:rPr>
    </w:lvl>
    <w:lvl w:ilvl="1" w:tplc="397488FA">
      <w:start w:val="1"/>
      <w:numFmt w:val="bullet"/>
      <w:lvlText w:val="◦"/>
      <w:lvlJc w:val="left"/>
      <w:pPr>
        <w:tabs>
          <w:tab w:val="num" w:pos="1440"/>
        </w:tabs>
        <w:ind w:left="1440" w:hanging="360"/>
      </w:pPr>
      <w:rPr>
        <w:rFonts w:ascii="Verdana" w:hAnsi="Verdana" w:hint="default"/>
      </w:rPr>
    </w:lvl>
    <w:lvl w:ilvl="2" w:tplc="7B9EEFE4" w:tentative="1">
      <w:start w:val="1"/>
      <w:numFmt w:val="bullet"/>
      <w:lvlText w:val="◦"/>
      <w:lvlJc w:val="left"/>
      <w:pPr>
        <w:tabs>
          <w:tab w:val="num" w:pos="2160"/>
        </w:tabs>
        <w:ind w:left="2160" w:hanging="360"/>
      </w:pPr>
      <w:rPr>
        <w:rFonts w:ascii="Verdana" w:hAnsi="Verdana" w:hint="default"/>
      </w:rPr>
    </w:lvl>
    <w:lvl w:ilvl="3" w:tplc="97ECDD54" w:tentative="1">
      <w:start w:val="1"/>
      <w:numFmt w:val="bullet"/>
      <w:lvlText w:val="◦"/>
      <w:lvlJc w:val="left"/>
      <w:pPr>
        <w:tabs>
          <w:tab w:val="num" w:pos="2880"/>
        </w:tabs>
        <w:ind w:left="2880" w:hanging="360"/>
      </w:pPr>
      <w:rPr>
        <w:rFonts w:ascii="Verdana" w:hAnsi="Verdana" w:hint="default"/>
      </w:rPr>
    </w:lvl>
    <w:lvl w:ilvl="4" w:tplc="A492EFD0" w:tentative="1">
      <w:start w:val="1"/>
      <w:numFmt w:val="bullet"/>
      <w:lvlText w:val="◦"/>
      <w:lvlJc w:val="left"/>
      <w:pPr>
        <w:tabs>
          <w:tab w:val="num" w:pos="3600"/>
        </w:tabs>
        <w:ind w:left="3600" w:hanging="360"/>
      </w:pPr>
      <w:rPr>
        <w:rFonts w:ascii="Verdana" w:hAnsi="Verdana" w:hint="default"/>
      </w:rPr>
    </w:lvl>
    <w:lvl w:ilvl="5" w:tplc="B5981B6C" w:tentative="1">
      <w:start w:val="1"/>
      <w:numFmt w:val="bullet"/>
      <w:lvlText w:val="◦"/>
      <w:lvlJc w:val="left"/>
      <w:pPr>
        <w:tabs>
          <w:tab w:val="num" w:pos="4320"/>
        </w:tabs>
        <w:ind w:left="4320" w:hanging="360"/>
      </w:pPr>
      <w:rPr>
        <w:rFonts w:ascii="Verdana" w:hAnsi="Verdana" w:hint="default"/>
      </w:rPr>
    </w:lvl>
    <w:lvl w:ilvl="6" w:tplc="8460BD02" w:tentative="1">
      <w:start w:val="1"/>
      <w:numFmt w:val="bullet"/>
      <w:lvlText w:val="◦"/>
      <w:lvlJc w:val="left"/>
      <w:pPr>
        <w:tabs>
          <w:tab w:val="num" w:pos="5040"/>
        </w:tabs>
        <w:ind w:left="5040" w:hanging="360"/>
      </w:pPr>
      <w:rPr>
        <w:rFonts w:ascii="Verdana" w:hAnsi="Verdana" w:hint="default"/>
      </w:rPr>
    </w:lvl>
    <w:lvl w:ilvl="7" w:tplc="6BE82642" w:tentative="1">
      <w:start w:val="1"/>
      <w:numFmt w:val="bullet"/>
      <w:lvlText w:val="◦"/>
      <w:lvlJc w:val="left"/>
      <w:pPr>
        <w:tabs>
          <w:tab w:val="num" w:pos="5760"/>
        </w:tabs>
        <w:ind w:left="5760" w:hanging="360"/>
      </w:pPr>
      <w:rPr>
        <w:rFonts w:ascii="Verdana" w:hAnsi="Verdana" w:hint="default"/>
      </w:rPr>
    </w:lvl>
    <w:lvl w:ilvl="8" w:tplc="3FE81E1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69F1114A"/>
    <w:multiLevelType w:val="hybridMultilevel"/>
    <w:tmpl w:val="DB2E2CDE"/>
    <w:lvl w:ilvl="0" w:tplc="C1F2F4F8">
      <w:start w:val="1"/>
      <w:numFmt w:val="bullet"/>
      <w:lvlText w:val=""/>
      <w:lvlJc w:val="left"/>
      <w:pPr>
        <w:tabs>
          <w:tab w:val="num" w:pos="720"/>
        </w:tabs>
        <w:ind w:left="720" w:hanging="360"/>
      </w:pPr>
      <w:rPr>
        <w:rFonts w:ascii="Wingdings 3" w:hAnsi="Wingdings 3" w:hint="default"/>
      </w:rPr>
    </w:lvl>
    <w:lvl w:ilvl="1" w:tplc="8DD832F6" w:tentative="1">
      <w:start w:val="1"/>
      <w:numFmt w:val="bullet"/>
      <w:lvlText w:val=""/>
      <w:lvlJc w:val="left"/>
      <w:pPr>
        <w:tabs>
          <w:tab w:val="num" w:pos="1440"/>
        </w:tabs>
        <w:ind w:left="1440" w:hanging="360"/>
      </w:pPr>
      <w:rPr>
        <w:rFonts w:ascii="Wingdings 3" w:hAnsi="Wingdings 3" w:hint="default"/>
      </w:rPr>
    </w:lvl>
    <w:lvl w:ilvl="2" w:tplc="789A0D6C" w:tentative="1">
      <w:start w:val="1"/>
      <w:numFmt w:val="bullet"/>
      <w:lvlText w:val=""/>
      <w:lvlJc w:val="left"/>
      <w:pPr>
        <w:tabs>
          <w:tab w:val="num" w:pos="2160"/>
        </w:tabs>
        <w:ind w:left="2160" w:hanging="360"/>
      </w:pPr>
      <w:rPr>
        <w:rFonts w:ascii="Wingdings 3" w:hAnsi="Wingdings 3" w:hint="default"/>
      </w:rPr>
    </w:lvl>
    <w:lvl w:ilvl="3" w:tplc="4120F36E" w:tentative="1">
      <w:start w:val="1"/>
      <w:numFmt w:val="bullet"/>
      <w:lvlText w:val=""/>
      <w:lvlJc w:val="left"/>
      <w:pPr>
        <w:tabs>
          <w:tab w:val="num" w:pos="2880"/>
        </w:tabs>
        <w:ind w:left="2880" w:hanging="360"/>
      </w:pPr>
      <w:rPr>
        <w:rFonts w:ascii="Wingdings 3" w:hAnsi="Wingdings 3" w:hint="default"/>
      </w:rPr>
    </w:lvl>
    <w:lvl w:ilvl="4" w:tplc="6A3CE210" w:tentative="1">
      <w:start w:val="1"/>
      <w:numFmt w:val="bullet"/>
      <w:lvlText w:val=""/>
      <w:lvlJc w:val="left"/>
      <w:pPr>
        <w:tabs>
          <w:tab w:val="num" w:pos="3600"/>
        </w:tabs>
        <w:ind w:left="3600" w:hanging="360"/>
      </w:pPr>
      <w:rPr>
        <w:rFonts w:ascii="Wingdings 3" w:hAnsi="Wingdings 3" w:hint="default"/>
      </w:rPr>
    </w:lvl>
    <w:lvl w:ilvl="5" w:tplc="13FADC70" w:tentative="1">
      <w:start w:val="1"/>
      <w:numFmt w:val="bullet"/>
      <w:lvlText w:val=""/>
      <w:lvlJc w:val="left"/>
      <w:pPr>
        <w:tabs>
          <w:tab w:val="num" w:pos="4320"/>
        </w:tabs>
        <w:ind w:left="4320" w:hanging="360"/>
      </w:pPr>
      <w:rPr>
        <w:rFonts w:ascii="Wingdings 3" w:hAnsi="Wingdings 3" w:hint="default"/>
      </w:rPr>
    </w:lvl>
    <w:lvl w:ilvl="6" w:tplc="40FA3886" w:tentative="1">
      <w:start w:val="1"/>
      <w:numFmt w:val="bullet"/>
      <w:lvlText w:val=""/>
      <w:lvlJc w:val="left"/>
      <w:pPr>
        <w:tabs>
          <w:tab w:val="num" w:pos="5040"/>
        </w:tabs>
        <w:ind w:left="5040" w:hanging="360"/>
      </w:pPr>
      <w:rPr>
        <w:rFonts w:ascii="Wingdings 3" w:hAnsi="Wingdings 3" w:hint="default"/>
      </w:rPr>
    </w:lvl>
    <w:lvl w:ilvl="7" w:tplc="BE320A02" w:tentative="1">
      <w:start w:val="1"/>
      <w:numFmt w:val="bullet"/>
      <w:lvlText w:val=""/>
      <w:lvlJc w:val="left"/>
      <w:pPr>
        <w:tabs>
          <w:tab w:val="num" w:pos="5760"/>
        </w:tabs>
        <w:ind w:left="5760" w:hanging="360"/>
      </w:pPr>
      <w:rPr>
        <w:rFonts w:ascii="Wingdings 3" w:hAnsi="Wingdings 3" w:hint="default"/>
      </w:rPr>
    </w:lvl>
    <w:lvl w:ilvl="8" w:tplc="458A39B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2C366AB"/>
    <w:multiLevelType w:val="hybridMultilevel"/>
    <w:tmpl w:val="00E25980"/>
    <w:lvl w:ilvl="0" w:tplc="3D9C144C">
      <w:numFmt w:val="bullet"/>
      <w:lvlText w:val="-"/>
      <w:lvlJc w:val="left"/>
      <w:pPr>
        <w:ind w:left="720" w:hanging="360"/>
      </w:pPr>
      <w:rPr>
        <w:rFonts w:ascii="Tahoma" w:eastAsia="Calibri"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8D2606"/>
    <w:multiLevelType w:val="hybridMultilevel"/>
    <w:tmpl w:val="FD3C8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FD2C5D"/>
    <w:multiLevelType w:val="hybridMultilevel"/>
    <w:tmpl w:val="6564265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8"/>
  </w:num>
  <w:num w:numId="6">
    <w:abstractNumId w:val="3"/>
  </w:num>
  <w:num w:numId="7">
    <w:abstractNumId w:val="2"/>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2C"/>
    <w:rsid w:val="0010137D"/>
    <w:rsid w:val="001023E7"/>
    <w:rsid w:val="001B70A7"/>
    <w:rsid w:val="001F44D4"/>
    <w:rsid w:val="001F59D3"/>
    <w:rsid w:val="002009CC"/>
    <w:rsid w:val="00201E84"/>
    <w:rsid w:val="002A0565"/>
    <w:rsid w:val="002C4D14"/>
    <w:rsid w:val="002C689C"/>
    <w:rsid w:val="002F6302"/>
    <w:rsid w:val="0030096A"/>
    <w:rsid w:val="00301743"/>
    <w:rsid w:val="00302DF2"/>
    <w:rsid w:val="003270D8"/>
    <w:rsid w:val="003477D5"/>
    <w:rsid w:val="0034795A"/>
    <w:rsid w:val="003821E3"/>
    <w:rsid w:val="003B7A3B"/>
    <w:rsid w:val="003E2ED3"/>
    <w:rsid w:val="003F53E9"/>
    <w:rsid w:val="003F5BF6"/>
    <w:rsid w:val="00411E2B"/>
    <w:rsid w:val="004534BC"/>
    <w:rsid w:val="004A5955"/>
    <w:rsid w:val="004A7148"/>
    <w:rsid w:val="004C79DC"/>
    <w:rsid w:val="004E1F0A"/>
    <w:rsid w:val="004E359F"/>
    <w:rsid w:val="00504F8B"/>
    <w:rsid w:val="005A6891"/>
    <w:rsid w:val="005B3B81"/>
    <w:rsid w:val="005F19D4"/>
    <w:rsid w:val="00670AE0"/>
    <w:rsid w:val="00764DF4"/>
    <w:rsid w:val="007802EF"/>
    <w:rsid w:val="007B5071"/>
    <w:rsid w:val="00815680"/>
    <w:rsid w:val="00844DDF"/>
    <w:rsid w:val="0085042C"/>
    <w:rsid w:val="008C3EBA"/>
    <w:rsid w:val="00902A82"/>
    <w:rsid w:val="00915FB0"/>
    <w:rsid w:val="009307C4"/>
    <w:rsid w:val="00985CFB"/>
    <w:rsid w:val="009F420F"/>
    <w:rsid w:val="00A47E7A"/>
    <w:rsid w:val="00A55EC2"/>
    <w:rsid w:val="00A957D3"/>
    <w:rsid w:val="00AA7101"/>
    <w:rsid w:val="00AC350E"/>
    <w:rsid w:val="00AC37DC"/>
    <w:rsid w:val="00AD5545"/>
    <w:rsid w:val="00AF084C"/>
    <w:rsid w:val="00B05D5A"/>
    <w:rsid w:val="00B21148"/>
    <w:rsid w:val="00B5431E"/>
    <w:rsid w:val="00BF33FD"/>
    <w:rsid w:val="00C54B31"/>
    <w:rsid w:val="00C613B2"/>
    <w:rsid w:val="00D07999"/>
    <w:rsid w:val="00D10839"/>
    <w:rsid w:val="00D73F88"/>
    <w:rsid w:val="00D93250"/>
    <w:rsid w:val="00DA425F"/>
    <w:rsid w:val="00DB76C7"/>
    <w:rsid w:val="00E00542"/>
    <w:rsid w:val="00E05FB7"/>
    <w:rsid w:val="00E7783D"/>
    <w:rsid w:val="00E95A14"/>
    <w:rsid w:val="00EB7D4D"/>
    <w:rsid w:val="00ED53A3"/>
    <w:rsid w:val="00F30C7E"/>
    <w:rsid w:val="00F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4F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42C"/>
    <w:pPr>
      <w:autoSpaceDE w:val="0"/>
      <w:autoSpaceDN w:val="0"/>
      <w:adjustRightInd w:val="0"/>
      <w:spacing w:before="80"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042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85042C"/>
    <w:pPr>
      <w:autoSpaceDE/>
      <w:autoSpaceDN/>
      <w:adjustRightInd/>
      <w:spacing w:before="0"/>
    </w:pPr>
    <w:rPr>
      <w:rFonts w:ascii="Tahoma" w:eastAsiaTheme="minorHAnsi" w:hAnsi="Tahoma" w:cs="Tahoma"/>
      <w:sz w:val="16"/>
      <w:szCs w:val="16"/>
    </w:rPr>
  </w:style>
  <w:style w:type="character" w:customStyle="1" w:styleId="Char">
    <w:name w:val="풍선 도움말 텍스트 Char"/>
    <w:basedOn w:val="a0"/>
    <w:link w:val="a3"/>
    <w:uiPriority w:val="99"/>
    <w:semiHidden/>
    <w:rsid w:val="0085042C"/>
    <w:rPr>
      <w:rFonts w:ascii="Tahoma" w:hAnsi="Tahoma" w:cs="Tahoma"/>
      <w:sz w:val="16"/>
      <w:szCs w:val="16"/>
    </w:rPr>
  </w:style>
  <w:style w:type="paragraph" w:styleId="a4">
    <w:name w:val="Normal (Web)"/>
    <w:basedOn w:val="a"/>
    <w:uiPriority w:val="99"/>
    <w:unhideWhenUsed/>
    <w:rsid w:val="0085042C"/>
    <w:pPr>
      <w:autoSpaceDE/>
      <w:autoSpaceDN/>
      <w:adjustRightInd/>
      <w:spacing w:before="100" w:beforeAutospacing="1" w:after="100" w:afterAutospacing="1"/>
    </w:pPr>
    <w:rPr>
      <w:sz w:val="24"/>
      <w:szCs w:val="24"/>
    </w:rPr>
  </w:style>
  <w:style w:type="paragraph" w:styleId="a5">
    <w:name w:val="List Paragraph"/>
    <w:basedOn w:val="a"/>
    <w:uiPriority w:val="34"/>
    <w:qFormat/>
    <w:rsid w:val="0085042C"/>
    <w:pPr>
      <w:ind w:left="720"/>
      <w:contextualSpacing/>
    </w:pPr>
  </w:style>
  <w:style w:type="paragraph" w:styleId="a6">
    <w:name w:val="header"/>
    <w:basedOn w:val="a"/>
    <w:link w:val="Char0"/>
    <w:uiPriority w:val="99"/>
    <w:unhideWhenUsed/>
    <w:rsid w:val="0085042C"/>
    <w:pPr>
      <w:tabs>
        <w:tab w:val="center" w:pos="4680"/>
        <w:tab w:val="right" w:pos="9360"/>
      </w:tabs>
      <w:spacing w:before="0"/>
    </w:pPr>
  </w:style>
  <w:style w:type="character" w:customStyle="1" w:styleId="Char0">
    <w:name w:val="머리글 Char"/>
    <w:basedOn w:val="a0"/>
    <w:link w:val="a6"/>
    <w:uiPriority w:val="99"/>
    <w:rsid w:val="0085042C"/>
    <w:rPr>
      <w:rFonts w:ascii="Times New Roman" w:eastAsia="Times New Roman" w:hAnsi="Times New Roman" w:cs="Times New Roman"/>
      <w:sz w:val="20"/>
      <w:szCs w:val="20"/>
    </w:rPr>
  </w:style>
  <w:style w:type="paragraph" w:styleId="a7">
    <w:name w:val="footer"/>
    <w:basedOn w:val="a"/>
    <w:link w:val="Char1"/>
    <w:uiPriority w:val="99"/>
    <w:unhideWhenUsed/>
    <w:rsid w:val="0085042C"/>
    <w:pPr>
      <w:tabs>
        <w:tab w:val="center" w:pos="4680"/>
        <w:tab w:val="right" w:pos="9360"/>
      </w:tabs>
      <w:spacing w:before="0"/>
    </w:pPr>
  </w:style>
  <w:style w:type="character" w:customStyle="1" w:styleId="Char1">
    <w:name w:val="바닥글 Char"/>
    <w:basedOn w:val="a0"/>
    <w:link w:val="a7"/>
    <w:uiPriority w:val="99"/>
    <w:rsid w:val="0085042C"/>
    <w:rPr>
      <w:rFonts w:ascii="Times New Roman" w:eastAsia="Times New Roman" w:hAnsi="Times New Roman" w:cs="Times New Roman"/>
      <w:sz w:val="20"/>
      <w:szCs w:val="20"/>
    </w:rPr>
  </w:style>
  <w:style w:type="character" w:styleId="a8">
    <w:name w:val="Hyperlink"/>
    <w:basedOn w:val="a0"/>
    <w:uiPriority w:val="99"/>
    <w:unhideWhenUsed/>
    <w:rsid w:val="0085042C"/>
    <w:rPr>
      <w:color w:val="0000FF" w:themeColor="hyperlink"/>
      <w:u w:val="single"/>
    </w:rPr>
  </w:style>
  <w:style w:type="character" w:styleId="a9">
    <w:name w:val="annotation reference"/>
    <w:basedOn w:val="a0"/>
    <w:uiPriority w:val="99"/>
    <w:semiHidden/>
    <w:unhideWhenUsed/>
    <w:rsid w:val="001F44D4"/>
    <w:rPr>
      <w:sz w:val="16"/>
      <w:szCs w:val="16"/>
    </w:rPr>
  </w:style>
  <w:style w:type="paragraph" w:styleId="aa">
    <w:name w:val="annotation text"/>
    <w:basedOn w:val="a"/>
    <w:link w:val="Char2"/>
    <w:uiPriority w:val="99"/>
    <w:semiHidden/>
    <w:unhideWhenUsed/>
    <w:rsid w:val="001F44D4"/>
  </w:style>
  <w:style w:type="character" w:customStyle="1" w:styleId="Char2">
    <w:name w:val="메모 텍스트 Char"/>
    <w:basedOn w:val="a0"/>
    <w:link w:val="aa"/>
    <w:uiPriority w:val="99"/>
    <w:semiHidden/>
    <w:rsid w:val="001F44D4"/>
    <w:rPr>
      <w:rFonts w:ascii="Times New Roman" w:eastAsia="Times New Roman" w:hAnsi="Times New Roman" w:cs="Times New Roman"/>
      <w:sz w:val="20"/>
      <w:szCs w:val="20"/>
    </w:rPr>
  </w:style>
  <w:style w:type="paragraph" w:styleId="ab">
    <w:name w:val="annotation subject"/>
    <w:basedOn w:val="aa"/>
    <w:next w:val="aa"/>
    <w:link w:val="Char3"/>
    <w:uiPriority w:val="99"/>
    <w:semiHidden/>
    <w:unhideWhenUsed/>
    <w:rsid w:val="001F44D4"/>
    <w:rPr>
      <w:b/>
      <w:bCs/>
    </w:rPr>
  </w:style>
  <w:style w:type="character" w:customStyle="1" w:styleId="Char3">
    <w:name w:val="메모 주제 Char"/>
    <w:basedOn w:val="Char2"/>
    <w:link w:val="ab"/>
    <w:uiPriority w:val="99"/>
    <w:semiHidden/>
    <w:rsid w:val="001F44D4"/>
    <w:rPr>
      <w:rFonts w:ascii="Times New Roman" w:eastAsia="Times New Roman" w:hAnsi="Times New Roman" w:cs="Times New Roman"/>
      <w:b/>
      <w:bCs/>
      <w:sz w:val="20"/>
      <w:szCs w:val="20"/>
    </w:rPr>
  </w:style>
  <w:style w:type="character" w:styleId="ac">
    <w:name w:val="FollowedHyperlink"/>
    <w:basedOn w:val="a0"/>
    <w:uiPriority w:val="99"/>
    <w:semiHidden/>
    <w:unhideWhenUsed/>
    <w:rsid w:val="00347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244">
      <w:bodyDiv w:val="1"/>
      <w:marLeft w:val="0"/>
      <w:marRight w:val="0"/>
      <w:marTop w:val="0"/>
      <w:marBottom w:val="0"/>
      <w:divBdr>
        <w:top w:val="none" w:sz="0" w:space="0" w:color="auto"/>
        <w:left w:val="none" w:sz="0" w:space="0" w:color="auto"/>
        <w:bottom w:val="none" w:sz="0" w:space="0" w:color="auto"/>
        <w:right w:val="none" w:sz="0" w:space="0" w:color="auto"/>
      </w:divBdr>
      <w:divsChild>
        <w:div w:id="1831827221">
          <w:marLeft w:val="576"/>
          <w:marRight w:val="0"/>
          <w:marTop w:val="80"/>
          <w:marBottom w:val="0"/>
          <w:divBdr>
            <w:top w:val="none" w:sz="0" w:space="0" w:color="auto"/>
            <w:left w:val="none" w:sz="0" w:space="0" w:color="auto"/>
            <w:bottom w:val="none" w:sz="0" w:space="0" w:color="auto"/>
            <w:right w:val="none" w:sz="0" w:space="0" w:color="auto"/>
          </w:divBdr>
        </w:div>
      </w:divsChild>
    </w:div>
    <w:div w:id="100609189">
      <w:bodyDiv w:val="1"/>
      <w:marLeft w:val="0"/>
      <w:marRight w:val="0"/>
      <w:marTop w:val="0"/>
      <w:marBottom w:val="0"/>
      <w:divBdr>
        <w:top w:val="none" w:sz="0" w:space="0" w:color="auto"/>
        <w:left w:val="none" w:sz="0" w:space="0" w:color="auto"/>
        <w:bottom w:val="none" w:sz="0" w:space="0" w:color="auto"/>
        <w:right w:val="none" w:sz="0" w:space="0" w:color="auto"/>
      </w:divBdr>
      <w:divsChild>
        <w:div w:id="101999375">
          <w:marLeft w:val="1166"/>
          <w:marRight w:val="0"/>
          <w:marTop w:val="115"/>
          <w:marBottom w:val="0"/>
          <w:divBdr>
            <w:top w:val="none" w:sz="0" w:space="0" w:color="auto"/>
            <w:left w:val="none" w:sz="0" w:space="0" w:color="auto"/>
            <w:bottom w:val="none" w:sz="0" w:space="0" w:color="auto"/>
            <w:right w:val="none" w:sz="0" w:space="0" w:color="auto"/>
          </w:divBdr>
        </w:div>
        <w:div w:id="1392078678">
          <w:marLeft w:val="1166"/>
          <w:marRight w:val="0"/>
          <w:marTop w:val="115"/>
          <w:marBottom w:val="0"/>
          <w:divBdr>
            <w:top w:val="none" w:sz="0" w:space="0" w:color="auto"/>
            <w:left w:val="none" w:sz="0" w:space="0" w:color="auto"/>
            <w:bottom w:val="none" w:sz="0" w:space="0" w:color="auto"/>
            <w:right w:val="none" w:sz="0" w:space="0" w:color="auto"/>
          </w:divBdr>
        </w:div>
        <w:div w:id="1724787161">
          <w:marLeft w:val="1166"/>
          <w:marRight w:val="0"/>
          <w:marTop w:val="115"/>
          <w:marBottom w:val="0"/>
          <w:divBdr>
            <w:top w:val="none" w:sz="0" w:space="0" w:color="auto"/>
            <w:left w:val="none" w:sz="0" w:space="0" w:color="auto"/>
            <w:bottom w:val="none" w:sz="0" w:space="0" w:color="auto"/>
            <w:right w:val="none" w:sz="0" w:space="0" w:color="auto"/>
          </w:divBdr>
        </w:div>
      </w:divsChild>
    </w:div>
    <w:div w:id="111439933">
      <w:bodyDiv w:val="1"/>
      <w:marLeft w:val="0"/>
      <w:marRight w:val="0"/>
      <w:marTop w:val="0"/>
      <w:marBottom w:val="0"/>
      <w:divBdr>
        <w:top w:val="none" w:sz="0" w:space="0" w:color="auto"/>
        <w:left w:val="none" w:sz="0" w:space="0" w:color="auto"/>
        <w:bottom w:val="none" w:sz="0" w:space="0" w:color="auto"/>
        <w:right w:val="none" w:sz="0" w:space="0" w:color="auto"/>
      </w:divBdr>
    </w:div>
    <w:div w:id="282156485">
      <w:bodyDiv w:val="1"/>
      <w:marLeft w:val="0"/>
      <w:marRight w:val="0"/>
      <w:marTop w:val="0"/>
      <w:marBottom w:val="0"/>
      <w:divBdr>
        <w:top w:val="none" w:sz="0" w:space="0" w:color="auto"/>
        <w:left w:val="none" w:sz="0" w:space="0" w:color="auto"/>
        <w:bottom w:val="none" w:sz="0" w:space="0" w:color="auto"/>
        <w:right w:val="none" w:sz="0" w:space="0" w:color="auto"/>
      </w:divBdr>
    </w:div>
    <w:div w:id="416363728">
      <w:bodyDiv w:val="1"/>
      <w:marLeft w:val="0"/>
      <w:marRight w:val="0"/>
      <w:marTop w:val="0"/>
      <w:marBottom w:val="0"/>
      <w:divBdr>
        <w:top w:val="none" w:sz="0" w:space="0" w:color="auto"/>
        <w:left w:val="none" w:sz="0" w:space="0" w:color="auto"/>
        <w:bottom w:val="none" w:sz="0" w:space="0" w:color="auto"/>
        <w:right w:val="none" w:sz="0" w:space="0" w:color="auto"/>
      </w:divBdr>
    </w:div>
    <w:div w:id="530074562">
      <w:bodyDiv w:val="1"/>
      <w:marLeft w:val="0"/>
      <w:marRight w:val="0"/>
      <w:marTop w:val="0"/>
      <w:marBottom w:val="0"/>
      <w:divBdr>
        <w:top w:val="none" w:sz="0" w:space="0" w:color="auto"/>
        <w:left w:val="none" w:sz="0" w:space="0" w:color="auto"/>
        <w:bottom w:val="none" w:sz="0" w:space="0" w:color="auto"/>
        <w:right w:val="none" w:sz="0" w:space="0" w:color="auto"/>
      </w:divBdr>
      <w:divsChild>
        <w:div w:id="1519387636">
          <w:marLeft w:val="1166"/>
          <w:marRight w:val="0"/>
          <w:marTop w:val="115"/>
          <w:marBottom w:val="0"/>
          <w:divBdr>
            <w:top w:val="none" w:sz="0" w:space="0" w:color="auto"/>
            <w:left w:val="none" w:sz="0" w:space="0" w:color="auto"/>
            <w:bottom w:val="none" w:sz="0" w:space="0" w:color="auto"/>
            <w:right w:val="none" w:sz="0" w:space="0" w:color="auto"/>
          </w:divBdr>
        </w:div>
      </w:divsChild>
    </w:div>
    <w:div w:id="862204084">
      <w:bodyDiv w:val="1"/>
      <w:marLeft w:val="0"/>
      <w:marRight w:val="0"/>
      <w:marTop w:val="0"/>
      <w:marBottom w:val="0"/>
      <w:divBdr>
        <w:top w:val="none" w:sz="0" w:space="0" w:color="auto"/>
        <w:left w:val="none" w:sz="0" w:space="0" w:color="auto"/>
        <w:bottom w:val="none" w:sz="0" w:space="0" w:color="auto"/>
        <w:right w:val="none" w:sz="0" w:space="0" w:color="auto"/>
      </w:divBdr>
    </w:div>
    <w:div w:id="927621002">
      <w:bodyDiv w:val="1"/>
      <w:marLeft w:val="0"/>
      <w:marRight w:val="0"/>
      <w:marTop w:val="0"/>
      <w:marBottom w:val="0"/>
      <w:divBdr>
        <w:top w:val="none" w:sz="0" w:space="0" w:color="auto"/>
        <w:left w:val="none" w:sz="0" w:space="0" w:color="auto"/>
        <w:bottom w:val="none" w:sz="0" w:space="0" w:color="auto"/>
        <w:right w:val="none" w:sz="0" w:space="0" w:color="auto"/>
      </w:divBdr>
      <w:divsChild>
        <w:div w:id="1411930927">
          <w:marLeft w:val="979"/>
          <w:marRight w:val="0"/>
          <w:marTop w:val="65"/>
          <w:marBottom w:val="0"/>
          <w:divBdr>
            <w:top w:val="none" w:sz="0" w:space="0" w:color="auto"/>
            <w:left w:val="none" w:sz="0" w:space="0" w:color="auto"/>
            <w:bottom w:val="none" w:sz="0" w:space="0" w:color="auto"/>
            <w:right w:val="none" w:sz="0" w:space="0" w:color="auto"/>
          </w:divBdr>
        </w:div>
      </w:divsChild>
    </w:div>
    <w:div w:id="1102457419">
      <w:bodyDiv w:val="1"/>
      <w:marLeft w:val="0"/>
      <w:marRight w:val="0"/>
      <w:marTop w:val="0"/>
      <w:marBottom w:val="0"/>
      <w:divBdr>
        <w:top w:val="none" w:sz="0" w:space="0" w:color="auto"/>
        <w:left w:val="none" w:sz="0" w:space="0" w:color="auto"/>
        <w:bottom w:val="none" w:sz="0" w:space="0" w:color="auto"/>
        <w:right w:val="none" w:sz="0" w:space="0" w:color="auto"/>
      </w:divBdr>
    </w:div>
    <w:div w:id="1106970207">
      <w:bodyDiv w:val="1"/>
      <w:marLeft w:val="0"/>
      <w:marRight w:val="0"/>
      <w:marTop w:val="0"/>
      <w:marBottom w:val="0"/>
      <w:divBdr>
        <w:top w:val="none" w:sz="0" w:space="0" w:color="auto"/>
        <w:left w:val="none" w:sz="0" w:space="0" w:color="auto"/>
        <w:bottom w:val="none" w:sz="0" w:space="0" w:color="auto"/>
        <w:right w:val="none" w:sz="0" w:space="0" w:color="auto"/>
      </w:divBdr>
    </w:div>
    <w:div w:id="1454205528">
      <w:bodyDiv w:val="1"/>
      <w:marLeft w:val="0"/>
      <w:marRight w:val="0"/>
      <w:marTop w:val="0"/>
      <w:marBottom w:val="0"/>
      <w:divBdr>
        <w:top w:val="none" w:sz="0" w:space="0" w:color="auto"/>
        <w:left w:val="none" w:sz="0" w:space="0" w:color="auto"/>
        <w:bottom w:val="none" w:sz="0" w:space="0" w:color="auto"/>
        <w:right w:val="none" w:sz="0" w:space="0" w:color="auto"/>
      </w:divBdr>
      <w:divsChild>
        <w:div w:id="1825655428">
          <w:marLeft w:val="979"/>
          <w:marRight w:val="0"/>
          <w:marTop w:val="65"/>
          <w:marBottom w:val="0"/>
          <w:divBdr>
            <w:top w:val="none" w:sz="0" w:space="0" w:color="auto"/>
            <w:left w:val="none" w:sz="0" w:space="0" w:color="auto"/>
            <w:bottom w:val="none" w:sz="0" w:space="0" w:color="auto"/>
            <w:right w:val="none" w:sz="0" w:space="0" w:color="auto"/>
          </w:divBdr>
        </w:div>
        <w:div w:id="1159923214">
          <w:marLeft w:val="979"/>
          <w:marRight w:val="0"/>
          <w:marTop w:val="65"/>
          <w:marBottom w:val="0"/>
          <w:divBdr>
            <w:top w:val="none" w:sz="0" w:space="0" w:color="auto"/>
            <w:left w:val="none" w:sz="0" w:space="0" w:color="auto"/>
            <w:bottom w:val="none" w:sz="0" w:space="0" w:color="auto"/>
            <w:right w:val="none" w:sz="0" w:space="0" w:color="auto"/>
          </w:divBdr>
        </w:div>
      </w:divsChild>
    </w:div>
    <w:div w:id="1540849153">
      <w:bodyDiv w:val="1"/>
      <w:marLeft w:val="0"/>
      <w:marRight w:val="0"/>
      <w:marTop w:val="0"/>
      <w:marBottom w:val="0"/>
      <w:divBdr>
        <w:top w:val="none" w:sz="0" w:space="0" w:color="auto"/>
        <w:left w:val="none" w:sz="0" w:space="0" w:color="auto"/>
        <w:bottom w:val="none" w:sz="0" w:space="0" w:color="auto"/>
        <w:right w:val="none" w:sz="0" w:space="0" w:color="auto"/>
      </w:divBdr>
    </w:div>
    <w:div w:id="1666785190">
      <w:bodyDiv w:val="1"/>
      <w:marLeft w:val="0"/>
      <w:marRight w:val="0"/>
      <w:marTop w:val="0"/>
      <w:marBottom w:val="0"/>
      <w:divBdr>
        <w:top w:val="none" w:sz="0" w:space="0" w:color="auto"/>
        <w:left w:val="none" w:sz="0" w:space="0" w:color="auto"/>
        <w:bottom w:val="none" w:sz="0" w:space="0" w:color="auto"/>
        <w:right w:val="none" w:sz="0" w:space="0" w:color="auto"/>
      </w:divBdr>
    </w:div>
    <w:div w:id="1717464006">
      <w:bodyDiv w:val="1"/>
      <w:marLeft w:val="0"/>
      <w:marRight w:val="0"/>
      <w:marTop w:val="0"/>
      <w:marBottom w:val="0"/>
      <w:divBdr>
        <w:top w:val="none" w:sz="0" w:space="0" w:color="auto"/>
        <w:left w:val="none" w:sz="0" w:space="0" w:color="auto"/>
        <w:bottom w:val="none" w:sz="0" w:space="0" w:color="auto"/>
        <w:right w:val="none" w:sz="0" w:space="0" w:color="auto"/>
      </w:divBdr>
    </w:div>
    <w:div w:id="1802723161">
      <w:bodyDiv w:val="1"/>
      <w:marLeft w:val="0"/>
      <w:marRight w:val="0"/>
      <w:marTop w:val="0"/>
      <w:marBottom w:val="0"/>
      <w:divBdr>
        <w:top w:val="none" w:sz="0" w:space="0" w:color="auto"/>
        <w:left w:val="none" w:sz="0" w:space="0" w:color="auto"/>
        <w:bottom w:val="none" w:sz="0" w:space="0" w:color="auto"/>
        <w:right w:val="none" w:sz="0" w:space="0" w:color="auto"/>
      </w:divBdr>
    </w:div>
    <w:div w:id="1840923710">
      <w:bodyDiv w:val="1"/>
      <w:marLeft w:val="0"/>
      <w:marRight w:val="0"/>
      <w:marTop w:val="0"/>
      <w:marBottom w:val="0"/>
      <w:divBdr>
        <w:top w:val="none" w:sz="0" w:space="0" w:color="auto"/>
        <w:left w:val="none" w:sz="0" w:space="0" w:color="auto"/>
        <w:bottom w:val="none" w:sz="0" w:space="0" w:color="auto"/>
        <w:right w:val="none" w:sz="0" w:space="0" w:color="auto"/>
      </w:divBdr>
      <w:divsChild>
        <w:div w:id="1098595225">
          <w:marLeft w:val="0"/>
          <w:marRight w:val="0"/>
          <w:marTop w:val="0"/>
          <w:marBottom w:val="0"/>
          <w:divBdr>
            <w:top w:val="none" w:sz="0" w:space="0" w:color="auto"/>
            <w:left w:val="none" w:sz="0" w:space="0" w:color="auto"/>
            <w:bottom w:val="none" w:sz="0" w:space="0" w:color="auto"/>
            <w:right w:val="none" w:sz="0" w:space="0" w:color="auto"/>
          </w:divBdr>
          <w:divsChild>
            <w:div w:id="1233127633">
              <w:marLeft w:val="0"/>
              <w:marRight w:val="336"/>
              <w:marTop w:val="0"/>
              <w:marBottom w:val="0"/>
              <w:divBdr>
                <w:top w:val="none" w:sz="0" w:space="0" w:color="auto"/>
                <w:left w:val="none" w:sz="0" w:space="0" w:color="auto"/>
                <w:bottom w:val="none" w:sz="0" w:space="0" w:color="auto"/>
                <w:right w:val="none" w:sz="0" w:space="0" w:color="auto"/>
              </w:divBdr>
              <w:divsChild>
                <w:div w:id="588924918">
                  <w:marLeft w:val="0"/>
                  <w:marRight w:val="0"/>
                  <w:marTop w:val="0"/>
                  <w:marBottom w:val="0"/>
                  <w:divBdr>
                    <w:top w:val="none" w:sz="0" w:space="0" w:color="auto"/>
                    <w:left w:val="none" w:sz="0" w:space="0" w:color="auto"/>
                    <w:bottom w:val="none" w:sz="0" w:space="0" w:color="auto"/>
                    <w:right w:val="none" w:sz="0" w:space="0" w:color="auto"/>
                  </w:divBdr>
                  <w:divsChild>
                    <w:div w:id="1555509039">
                      <w:marLeft w:val="0"/>
                      <w:marRight w:val="0"/>
                      <w:marTop w:val="0"/>
                      <w:marBottom w:val="0"/>
                      <w:divBdr>
                        <w:top w:val="single" w:sz="4" w:space="6" w:color="E9E9E9"/>
                        <w:left w:val="single" w:sz="4" w:space="6" w:color="E9E9E9"/>
                        <w:bottom w:val="single" w:sz="4" w:space="6" w:color="E9E9E9"/>
                        <w:right w:val="single" w:sz="4" w:space="6" w:color="E9E9E9"/>
                      </w:divBdr>
                    </w:div>
                  </w:divsChild>
                </w:div>
              </w:divsChild>
            </w:div>
          </w:divsChild>
        </w:div>
      </w:divsChild>
    </w:div>
    <w:div w:id="1867788255">
      <w:bodyDiv w:val="1"/>
      <w:marLeft w:val="0"/>
      <w:marRight w:val="0"/>
      <w:marTop w:val="0"/>
      <w:marBottom w:val="0"/>
      <w:divBdr>
        <w:top w:val="none" w:sz="0" w:space="0" w:color="auto"/>
        <w:left w:val="none" w:sz="0" w:space="0" w:color="auto"/>
        <w:bottom w:val="none" w:sz="0" w:space="0" w:color="auto"/>
        <w:right w:val="none" w:sz="0" w:space="0" w:color="auto"/>
      </w:divBdr>
    </w:div>
    <w:div w:id="1916158455">
      <w:bodyDiv w:val="1"/>
      <w:marLeft w:val="0"/>
      <w:marRight w:val="0"/>
      <w:marTop w:val="0"/>
      <w:marBottom w:val="0"/>
      <w:divBdr>
        <w:top w:val="none" w:sz="0" w:space="0" w:color="auto"/>
        <w:left w:val="none" w:sz="0" w:space="0" w:color="auto"/>
        <w:bottom w:val="none" w:sz="0" w:space="0" w:color="auto"/>
        <w:right w:val="none" w:sz="0" w:space="0" w:color="auto"/>
      </w:divBdr>
      <w:divsChild>
        <w:div w:id="1968470294">
          <w:marLeft w:val="1800"/>
          <w:marRight w:val="0"/>
          <w:marTop w:val="96"/>
          <w:marBottom w:val="0"/>
          <w:divBdr>
            <w:top w:val="none" w:sz="0" w:space="0" w:color="auto"/>
            <w:left w:val="none" w:sz="0" w:space="0" w:color="auto"/>
            <w:bottom w:val="none" w:sz="0" w:space="0" w:color="auto"/>
            <w:right w:val="none" w:sz="0" w:space="0" w:color="auto"/>
          </w:divBdr>
        </w:div>
      </w:divsChild>
    </w:div>
    <w:div w:id="2094352865">
      <w:bodyDiv w:val="1"/>
      <w:marLeft w:val="0"/>
      <w:marRight w:val="0"/>
      <w:marTop w:val="0"/>
      <w:marBottom w:val="0"/>
      <w:divBdr>
        <w:top w:val="none" w:sz="0" w:space="0" w:color="auto"/>
        <w:left w:val="none" w:sz="0" w:space="0" w:color="auto"/>
        <w:bottom w:val="none" w:sz="0" w:space="0" w:color="auto"/>
        <w:right w:val="none" w:sz="0" w:space="0" w:color="auto"/>
      </w:divBdr>
      <w:divsChild>
        <w:div w:id="154167383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porate.ppg.com/Our-Company/Ethics.aspx" TargetMode="External"/><Relationship Id="rId18" Type="http://schemas.openxmlformats.org/officeDocument/2006/relationships/hyperlink" Target="https://one.web.ppg.com/na/ethics/en/Pages/Third-Party-Due-.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one.web.ppg.com/na/globalfinance/policies/Documents/CM.pdf" TargetMode="External"/><Relationship Id="rId17" Type="http://schemas.openxmlformats.org/officeDocument/2006/relationships/hyperlink" Target="https://one.web.ppg.com/na/globalfinance/policies/Documents/CM.pdf" TargetMode="External"/><Relationship Id="rId2" Type="http://schemas.openxmlformats.org/officeDocument/2006/relationships/customXml" Target="../customXml/item2.xml"/><Relationship Id="rId16" Type="http://schemas.openxmlformats.org/officeDocument/2006/relationships/hyperlink" Target="https://one.web.ppg.com/na/travel/TE/Policies/2018%20Policies/PPG%20Global%20Travel%20Policy%20030118.pdf" TargetMode="External"/><Relationship Id="rId20" Type="http://schemas.openxmlformats.org/officeDocument/2006/relationships/hyperlink" Target="https://app.convercent.com/en-us/LandingPage/ada23786-4d8b-e611-810b-000d3ab2fee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ppg.com/Our-Company/Ethics.aspx" TargetMode="External"/><Relationship Id="rId5" Type="http://schemas.openxmlformats.org/officeDocument/2006/relationships/styles" Target="styles.xml"/><Relationship Id="rId15" Type="http://schemas.openxmlformats.org/officeDocument/2006/relationships/hyperlink" Target="https://one.web.ppg.com/na/ethics/en/Pages/Due-Diligence-Policies-and-Procedures.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corporate.ppg.com/Our-Company/Eth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porate.ppg.com/Our-Company/Ethics.asp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239AD5C10548B01EB05D2CE458CF" ma:contentTypeVersion="4" ma:contentTypeDescription="Create a new document." ma:contentTypeScope="" ma:versionID="65fd16864e68018b9e3939b8f0f274a4">
  <xsd:schema xmlns:xsd="http://www.w3.org/2001/XMLSchema" xmlns:xs="http://www.w3.org/2001/XMLSchema" xmlns:p="http://schemas.microsoft.com/office/2006/metadata/properties" xmlns:ns1="http://schemas.microsoft.com/sharepoint/v3" xmlns:ns2="a78e3f42-8b58-4cf5-a404-787808b7749f" targetNamespace="http://schemas.microsoft.com/office/2006/metadata/properties" ma:root="true" ma:fieldsID="450291bc940ef47ead59f383331a6da3" ns1:_="" ns2:_="">
    <xsd:import namespace="http://schemas.microsoft.com/sharepoint/v3"/>
    <xsd:import namespace="a78e3f42-8b58-4cf5-a404-787808b7749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29663-5853-4DD1-8258-892CFC41AC7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94DA8A-4275-404A-8F87-31BF7314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8AC8B-8DD9-4129-AC12-EBA15D9F6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2019-11-26T20:23:00Z</dcterms:created>
  <dcterms:modified xsi:type="dcterms:W3CDTF">2020-01-21T16:10:00Z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0x01010096CC239AD5C10548B01EB05D2CE458CF</vt:lpwstr>
  </property>
  <property fmtid="{D5CDD505-2E9C-101B-9397-08002B2CF9AE}" pid="3" name="Order">
    <vt:r8>900</vt:r8>
  </property>
  <property fmtid="{D5CDD505-2E9C-101B-9397-08002B2CF9AE}" pid="4" name="xd_ProgID">
    <vt:lpwstr/>
  </property>
  <property fmtid="{D5CDD505-2E9C-101B-9397-08002B2CF9AE}" pid="5" name="TemplateUrl">
    <vt:lpwstr/>
  </property>
</Properties>
</file>