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D85C3" w14:textId="77777777" w:rsidR="0085042C" w:rsidRDefault="00D73F88">
      <w:pPr>
        <w:pStyle w:val="Default"/>
      </w:pPr>
      <w:r>
        <w:drawing>
          <wp:inline distT="0" distB="0" distL="0" distR="0" wp14:anchorId="20406005" wp14:editId="60B069B2">
            <wp:extent cx="9715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752475"/>
                    </a:xfrm>
                    <a:prstGeom prst="rect">
                      <a:avLst/>
                    </a:prstGeom>
                    <a:noFill/>
                  </pic:spPr>
                </pic:pic>
              </a:graphicData>
            </a:graphic>
          </wp:inline>
        </w:drawing>
      </w:r>
    </w:p>
    <w:p w14:paraId="629160D4" w14:textId="77777777" w:rsidR="0085042C" w:rsidRPr="00AA7101" w:rsidRDefault="002A0565">
      <w:pPr>
        <w:pStyle w:val="Default"/>
        <w:jc w:val="center"/>
        <w:rPr>
          <w:sz w:val="28"/>
          <w:szCs w:val="28"/>
        </w:rPr>
      </w:pPr>
      <w:r>
        <w:rPr>
          <w:b/>
          <w:bCs/>
          <w:sz w:val="28"/>
          <w:szCs w:val="28"/>
        </w:rPr>
        <w:t xml:space="preserve">POLITICA GLOBALĂ ANTI-CORUPȚIE A PPG</w:t>
      </w:r>
    </w:p>
    <w:p w14:paraId="7E3CA0CB" w14:textId="77777777" w:rsidR="0085042C" w:rsidRDefault="0085042C">
      <w:pPr>
        <w:pStyle w:val="Default"/>
        <w:rPr>
          <w:sz w:val="23"/>
          <w:szCs w:val="23"/>
        </w:rPr>
      </w:pPr>
    </w:p>
    <w:p w14:paraId="76F18EA5" w14:textId="77777777" w:rsidR="0085042C" w:rsidRDefault="002A0565" w:rsidP="00AA7101">
      <w:pPr>
        <w:pStyle w:val="Default"/>
        <w:jc w:val="center"/>
        <w:rPr>
          <w:b/>
          <w:sz w:val="22"/>
          <w:szCs w:val="22"/>
          <w:u w:val="single"/>
        </w:rPr>
      </w:pPr>
      <w:r>
        <w:rPr>
          <w:b/>
          <w:sz w:val="22"/>
          <w:szCs w:val="22"/>
          <w:u w:val="single"/>
        </w:rPr>
        <w:t xml:space="preserve">Introducere</w:t>
      </w:r>
    </w:p>
    <w:p w14:paraId="2BFA365F" w14:textId="77777777" w:rsidR="001B70A7" w:rsidRPr="003F5BF6" w:rsidRDefault="001B70A7" w:rsidP="00AA7101">
      <w:pPr>
        <w:pStyle w:val="Default"/>
        <w:jc w:val="center"/>
        <w:rPr>
          <w:b/>
          <w:sz w:val="22"/>
          <w:szCs w:val="22"/>
          <w:u w:val="single"/>
        </w:rPr>
      </w:pPr>
    </w:p>
    <w:p w14:paraId="390499AD" w14:textId="27E590B6" w:rsidR="0085042C" w:rsidRDefault="002A0565">
      <w:pPr>
        <w:pStyle w:val="Default"/>
        <w:rPr>
          <w:sz w:val="22"/>
          <w:szCs w:val="22"/>
          <w:rFonts w:asciiTheme="minorHAnsi" w:hAnsiTheme="minorHAnsi"/>
        </w:rPr>
      </w:pPr>
      <w:r>
        <w:rPr>
          <w:sz w:val="22"/>
          <w:szCs w:val="22"/>
          <w:rFonts w:asciiTheme="minorHAnsi" w:hAnsiTheme="minorHAnsi"/>
        </w:rPr>
        <w:t xml:space="preserve">Ca o companie globală care operează în peste 70 de țări, PPG trebuie să respecte o serie de legi și de reglementări.</w:t>
      </w:r>
      <w:r>
        <w:rPr>
          <w:sz w:val="22"/>
          <w:szCs w:val="22"/>
          <w:rFonts w:asciiTheme="minorHAnsi" w:hAnsiTheme="minorHAnsi"/>
        </w:rPr>
        <w:t xml:space="preserve"> </w:t>
      </w:r>
      <w:r>
        <w:rPr>
          <w:sz w:val="22"/>
          <w:szCs w:val="22"/>
          <w:rFonts w:asciiTheme="minorHAnsi" w:hAnsiTheme="minorHAnsi"/>
        </w:rPr>
        <w:t xml:space="preserve">Cele care reglementează luarea de mită și corupția sunt critice printre aceste legi și reglementări.</w:t>
      </w:r>
    </w:p>
    <w:p w14:paraId="00886069" w14:textId="77777777" w:rsidR="0085042C" w:rsidRDefault="002A0565">
      <w:pPr>
        <w:pStyle w:val="Default"/>
        <w:rPr>
          <w:sz w:val="22"/>
          <w:szCs w:val="22"/>
          <w:rFonts w:asciiTheme="minorHAnsi" w:hAnsiTheme="minorHAnsi"/>
        </w:rPr>
      </w:pPr>
      <w:r>
        <w:rPr>
          <w:sz w:val="22"/>
          <w:szCs w:val="22"/>
          <w:rFonts w:asciiTheme="minorHAnsi" w:hAnsiTheme="minorHAnsi"/>
        </w:rPr>
        <w:tab/>
      </w:r>
      <w:r>
        <w:rPr>
          <w:sz w:val="22"/>
          <w:szCs w:val="22"/>
          <w:rFonts w:asciiTheme="minorHAnsi" w:hAnsiTheme="minorHAnsi"/>
        </w:rPr>
        <w:t xml:space="preserve"> </w:t>
      </w:r>
    </w:p>
    <w:p w14:paraId="0AE75877" w14:textId="2FC8A6FF" w:rsidR="0085042C" w:rsidRDefault="002A0565">
      <w:pPr>
        <w:rPr>
          <w:sz w:val="22"/>
          <w:szCs w:val="22"/>
          <w:rFonts w:asciiTheme="minorHAnsi" w:hAnsiTheme="minorHAnsi"/>
        </w:rPr>
      </w:pPr>
      <w:r>
        <w:rPr>
          <w:sz w:val="22"/>
          <w:szCs w:val="22"/>
          <w:rFonts w:asciiTheme="minorHAnsi" w:hAnsiTheme="minorHAnsi"/>
        </w:rPr>
        <w:t xml:space="preserve">În recunoașterea acestor cerințe și pentru a sublinia angajamentul nostru în </w:t>
      </w:r>
      <w:hyperlink r:id="rId11" w:history="1">
        <w:r>
          <w:rPr>
            <w:rStyle w:val="Hyperlink"/>
            <w:sz w:val="22"/>
            <w:szCs w:val="22"/>
            <w:rFonts w:asciiTheme="minorHAnsi" w:hAnsiTheme="minorHAnsi"/>
          </w:rPr>
          <w:t xml:space="preserve">Global Code of Ethics [Codul global de etică]</w:t>
        </w:r>
      </w:hyperlink>
      <w:r>
        <w:rPr>
          <w:sz w:val="22"/>
          <w:szCs w:val="22"/>
          <w:rFonts w:asciiTheme="minorHAnsi" w:hAnsiTheme="minorHAnsi"/>
        </w:rPr>
        <w:t xml:space="preserve"> („Codul”)</w:t>
      </w:r>
      <w:r>
        <w:t xml:space="preserve"> </w:t>
      </w:r>
      <w:r>
        <w:rPr>
          <w:sz w:val="22"/>
          <w:szCs w:val="22"/>
          <w:rFonts w:asciiTheme="minorHAnsi" w:hAnsiTheme="minorHAnsi"/>
        </w:rPr>
        <w:t xml:space="preserve">de a acționa cu integritate și împotriva corupției, PPG menține o Politică globală anti-corupție („Politică”).</w:t>
      </w:r>
      <w:r>
        <w:rPr>
          <w:sz w:val="22"/>
          <w:szCs w:val="22"/>
          <w:rFonts w:asciiTheme="minorHAnsi" w:hAnsiTheme="minorHAnsi"/>
        </w:rPr>
        <w:t xml:space="preserve"> </w:t>
      </w:r>
      <w:r>
        <w:rPr>
          <w:sz w:val="22"/>
          <w:szCs w:val="22"/>
          <w:rFonts w:asciiTheme="minorHAnsi" w:hAnsiTheme="minorHAnsi"/>
        </w:rPr>
        <w:t xml:space="preserve">Politica se aplică PPG Industries, Inc. („PPG”) și filialelor sale deținute integral sau controlate („filiale”) din întreaga lume.</w:t>
      </w:r>
      <w:r>
        <w:rPr>
          <w:sz w:val="22"/>
          <w:szCs w:val="22"/>
          <w:rFonts w:asciiTheme="minorHAnsi" w:hAnsiTheme="minorHAnsi"/>
        </w:rPr>
        <w:t xml:space="preserve"> </w:t>
      </w:r>
      <w:r>
        <w:rPr>
          <w:sz w:val="22"/>
          <w:szCs w:val="22"/>
          <w:rFonts w:asciiTheme="minorHAnsi" w:hAnsiTheme="minorHAnsi"/>
        </w:rPr>
        <w:t xml:space="preserve">Această politică se bazează pe Codul nostru pentru a consolida numărul din ce în ce mai mare de standarde și de principii care ne guvernează conduita, pentru a se conforma cu legile riguroase anti-mită și anti-corupție în vigoare în întreaga lume.</w:t>
      </w:r>
      <w:r>
        <w:rPr>
          <w:sz w:val="22"/>
          <w:szCs w:val="22"/>
          <w:rFonts w:asciiTheme="minorHAnsi" w:hAnsiTheme="minorHAnsi"/>
        </w:rPr>
        <w:t xml:space="preserve"> </w:t>
      </w:r>
    </w:p>
    <w:p w14:paraId="6839892C" w14:textId="77777777" w:rsidR="0085042C" w:rsidRDefault="0085042C">
      <w:pPr>
        <w:pStyle w:val="Default"/>
        <w:rPr>
          <w:rFonts w:asciiTheme="minorHAnsi" w:hAnsiTheme="minorHAnsi"/>
          <w:sz w:val="22"/>
          <w:szCs w:val="22"/>
        </w:rPr>
      </w:pPr>
    </w:p>
    <w:p w14:paraId="70F27C33" w14:textId="422766A1" w:rsidR="004E1F0A" w:rsidRPr="004E1F0A" w:rsidRDefault="00D07999" w:rsidP="004E1F0A">
      <w:pPr>
        <w:pStyle w:val="Default"/>
        <w:spacing w:after="240"/>
        <w:rPr>
          <w:sz w:val="22"/>
          <w:szCs w:val="22"/>
          <w:rFonts w:asciiTheme="minorHAnsi" w:hAnsiTheme="minorHAnsi"/>
        </w:rPr>
      </w:pPr>
      <w:r>
        <w:rPr>
          <w:sz w:val="22"/>
          <w:szCs w:val="22"/>
          <w:rFonts w:asciiTheme="minorHAnsi" w:hAnsiTheme="minorHAnsi"/>
        </w:rPr>
        <w:t xml:space="preserve">Fiecare țară în care PPG operează este supusă uneia sau mai multora dintre aceste legi.</w:t>
      </w:r>
      <w:r>
        <w:rPr>
          <w:sz w:val="22"/>
          <w:szCs w:val="22"/>
          <w:rFonts w:asciiTheme="minorHAnsi" w:hAnsiTheme="minorHAnsi"/>
        </w:rPr>
        <w:t xml:space="preserve"> </w:t>
      </w:r>
      <w:r>
        <w:rPr>
          <w:sz w:val="22"/>
          <w:szCs w:val="22"/>
          <w:rFonts w:asciiTheme="minorHAnsi" w:hAnsiTheme="minorHAnsi"/>
        </w:rPr>
        <w:t xml:space="preserve">Printre exemple se numără Legea privind practicile de corupție din SUA (FCPA), legea Loi Sapin 2 în Franța, Sistemul național anti-corupție mexican, Legea corupției din U.K., Codul penal din China și Legea privind companiile curate din Brazilia.</w:t>
      </w:r>
      <w:r>
        <w:rPr>
          <w:sz w:val="22"/>
          <w:szCs w:val="22"/>
          <w:rFonts w:asciiTheme="minorHAnsi" w:hAnsiTheme="minorHAnsi"/>
        </w:rPr>
        <w:t xml:space="preserve"> </w:t>
      </w:r>
      <w:r>
        <w:rPr>
          <w:sz w:val="22"/>
          <w:szCs w:val="22"/>
          <w:rFonts w:asciiTheme="minorHAnsi" w:hAnsiTheme="minorHAnsi"/>
        </w:rPr>
        <w:t xml:space="preserve">Deși există unele diferențe între aceste legi, toate au fost adoptate pentru a elimina corupția și pentru a restabili încrederea publicului în integritatea pieței globale și pentru a promova un mediu comercial echitabil și competitiv în cadrul căruia să se desfășoare activitățile de afaceri.</w:t>
      </w:r>
      <w:r>
        <w:rPr>
          <w:sz w:val="22"/>
          <w:szCs w:val="22"/>
          <w:rFonts w:asciiTheme="minorHAnsi" w:hAnsiTheme="minorHAnsi"/>
        </w:rPr>
        <w:t xml:space="preserve">  </w:t>
      </w:r>
    </w:p>
    <w:p w14:paraId="2193A93D" w14:textId="77777777" w:rsidR="0085042C" w:rsidRPr="00D07999" w:rsidRDefault="00F30C7E" w:rsidP="00411E2B">
      <w:pPr>
        <w:spacing w:after="240"/>
        <w:jc w:val="center"/>
        <w:rPr>
          <w:b/>
          <w:sz w:val="22"/>
          <w:szCs w:val="22"/>
          <w:u w:val="single"/>
          <w:rFonts w:asciiTheme="minorHAnsi" w:hAnsiTheme="minorHAnsi"/>
        </w:rPr>
      </w:pPr>
      <w:r>
        <w:rPr>
          <w:b/>
          <w:sz w:val="22"/>
          <w:szCs w:val="22"/>
          <w:u w:val="single"/>
          <w:rFonts w:asciiTheme="minorHAnsi" w:hAnsiTheme="minorHAnsi"/>
        </w:rPr>
        <w:t xml:space="preserve">POLITICA</w:t>
      </w:r>
      <w:r>
        <w:rPr>
          <w:b/>
          <w:sz w:val="22"/>
          <w:szCs w:val="22"/>
          <w:u w:val="single"/>
          <w:rFonts w:asciiTheme="minorHAnsi" w:hAnsiTheme="minorHAnsi"/>
        </w:rPr>
        <w:t xml:space="preserve"> </w:t>
      </w:r>
    </w:p>
    <w:p w14:paraId="38D0549D" w14:textId="77777777" w:rsidR="0085042C" w:rsidRDefault="00915FB0">
      <w:pPr>
        <w:pStyle w:val="Default"/>
        <w:rPr>
          <w:sz w:val="22"/>
          <w:szCs w:val="22"/>
          <w:rFonts w:asciiTheme="minorHAnsi" w:hAnsiTheme="minorHAnsi"/>
        </w:rPr>
      </w:pPr>
      <w:r>
        <w:rPr>
          <w:sz w:val="22"/>
          <w:szCs w:val="22"/>
          <w:rFonts w:asciiTheme="minorHAnsi" w:hAnsiTheme="minorHAnsi"/>
        </w:rPr>
        <w:t xml:space="preserve">Politica noastră este:</w:t>
      </w:r>
    </w:p>
    <w:p w14:paraId="2B4AE181" w14:textId="77777777" w:rsidR="00915FB0" w:rsidRPr="00AA7101" w:rsidRDefault="002C4D14" w:rsidP="00AA7101">
      <w:pPr>
        <w:pStyle w:val="ListParagraph"/>
        <w:numPr>
          <w:ilvl w:val="0"/>
          <w:numId w:val="15"/>
        </w:numPr>
        <w:ind w:left="720"/>
        <w:rPr>
          <w:sz w:val="22"/>
          <w:szCs w:val="22"/>
          <w:rFonts w:asciiTheme="minorHAnsi" w:hAnsiTheme="minorHAnsi"/>
        </w:rPr>
      </w:pPr>
      <w:r>
        <w:rPr>
          <w:bCs/>
          <w:sz w:val="22"/>
          <w:szCs w:val="22"/>
          <w:rFonts w:asciiTheme="minorHAnsi" w:hAnsiTheme="minorHAnsi"/>
        </w:rPr>
        <w:t xml:space="preserve">Interzicem luarea de mită și corupția în toate relațiile noastre de afaceri din fiecare țară.</w:t>
      </w:r>
      <w:r>
        <w:rPr>
          <w:bCs/>
          <w:sz w:val="22"/>
          <w:szCs w:val="22"/>
          <w:rFonts w:asciiTheme="minorHAnsi" w:hAnsiTheme="minorHAnsi"/>
        </w:rPr>
        <w:t xml:space="preserve">   </w:t>
      </w:r>
    </w:p>
    <w:p w14:paraId="72B9DCDD" w14:textId="77777777" w:rsidR="00915FB0" w:rsidRPr="00AA7101" w:rsidRDefault="00915FB0" w:rsidP="00AA7101">
      <w:pPr>
        <w:pStyle w:val="ListParagraph"/>
        <w:numPr>
          <w:ilvl w:val="0"/>
          <w:numId w:val="15"/>
        </w:numPr>
        <w:ind w:left="720"/>
        <w:rPr>
          <w:sz w:val="22"/>
          <w:szCs w:val="22"/>
          <w:rFonts w:asciiTheme="minorHAnsi" w:hAnsiTheme="minorHAnsi"/>
        </w:rPr>
      </w:pPr>
      <w:r>
        <w:rPr>
          <w:bCs/>
          <w:sz w:val="22"/>
          <w:szCs w:val="22"/>
          <w:rFonts w:asciiTheme="minorHAnsi" w:hAnsiTheme="minorHAnsi"/>
        </w:rPr>
        <w:t xml:space="preserve">Niciun angajat al PPG sau nimeni care acționează în numele PPG nu poate să promită, să ofere, să dea sau să accepte mită sau cadouri în timpul desfășurării activității de afaceri a PPG.</w:t>
      </w:r>
      <w:r>
        <w:rPr>
          <w:bCs/>
          <w:sz w:val="22"/>
          <w:szCs w:val="22"/>
          <w:rFonts w:asciiTheme="minorHAnsi" w:hAnsiTheme="minorHAnsi"/>
        </w:rPr>
        <w:t xml:space="preserve"> </w:t>
      </w:r>
    </w:p>
    <w:p w14:paraId="5F5B03AB" w14:textId="77777777" w:rsidR="00D07999" w:rsidRDefault="00D07999" w:rsidP="00AA7101">
      <w:pPr>
        <w:pStyle w:val="ListParagraph"/>
        <w:numPr>
          <w:ilvl w:val="0"/>
          <w:numId w:val="15"/>
        </w:numPr>
        <w:ind w:left="720"/>
        <w:rPr>
          <w:sz w:val="22"/>
          <w:szCs w:val="22"/>
          <w:rFonts w:asciiTheme="minorHAnsi" w:hAnsiTheme="minorHAnsi"/>
        </w:rPr>
      </w:pPr>
      <w:r>
        <w:rPr>
          <w:sz w:val="22"/>
          <w:szCs w:val="22"/>
          <w:rFonts w:asciiTheme="minorHAnsi" w:hAnsiTheme="minorHAnsi"/>
        </w:rPr>
        <w:t xml:space="preserve">Interzicem orice tranzacții neînregistrate cu privire la intermediarii noștri terți, companii private, guverne sau respectiv agenții lor</w:t>
      </w:r>
    </w:p>
    <w:p w14:paraId="41A89ADA" w14:textId="77777777" w:rsidR="00915FB0" w:rsidRPr="00AA7101" w:rsidRDefault="002A0565" w:rsidP="00AA7101">
      <w:pPr>
        <w:pStyle w:val="ListParagraph"/>
        <w:numPr>
          <w:ilvl w:val="0"/>
          <w:numId w:val="15"/>
        </w:numPr>
        <w:ind w:left="720"/>
        <w:rPr>
          <w:sz w:val="22"/>
          <w:szCs w:val="22"/>
          <w:rFonts w:asciiTheme="minorHAnsi" w:hAnsiTheme="minorHAnsi"/>
        </w:rPr>
      </w:pPr>
      <w:r>
        <w:rPr>
          <w:sz w:val="22"/>
          <w:szCs w:val="22"/>
          <w:rFonts w:asciiTheme="minorHAnsi" w:hAnsiTheme="minorHAnsi"/>
        </w:rPr>
        <w:t xml:space="preserve">Aceste interdicții se aplică tuturor tranzacțiilor dintre PPG și orice altă parte - indiferent dacă este o entitate privată sau o persoană fizică sau o entitate de stat/publică/guvernamentală sau un funcționar.</w:t>
      </w:r>
    </w:p>
    <w:p w14:paraId="7C496DF7" w14:textId="77777777" w:rsidR="00A47E7A" w:rsidRPr="00AA7101" w:rsidRDefault="002C4D14" w:rsidP="00AA7101">
      <w:pPr>
        <w:pStyle w:val="ListParagraph"/>
        <w:numPr>
          <w:ilvl w:val="0"/>
          <w:numId w:val="15"/>
        </w:numPr>
        <w:ind w:left="720"/>
        <w:rPr>
          <w:sz w:val="22"/>
          <w:szCs w:val="22"/>
          <w:rFonts w:asciiTheme="minorHAnsi" w:hAnsiTheme="minorHAnsi"/>
        </w:rPr>
      </w:pPr>
      <w:r>
        <w:rPr>
          <w:sz w:val="22"/>
          <w:szCs w:val="22"/>
          <w:rFonts w:asciiTheme="minorHAnsi" w:hAnsiTheme="minorHAnsi"/>
        </w:rPr>
        <w:t xml:space="preserve">Vom dezvolta și vom menține registre și înregistrări complete cu detalii suficiente care să reflecte în mod exact și corect tranzacțiile companiei.</w:t>
      </w:r>
    </w:p>
    <w:p w14:paraId="280C9597" w14:textId="77777777" w:rsidR="00A47E7A" w:rsidRPr="00D07999" w:rsidRDefault="00A47E7A" w:rsidP="00D07999">
      <w:pPr>
        <w:pStyle w:val="ListParagraph"/>
        <w:numPr>
          <w:ilvl w:val="0"/>
          <w:numId w:val="15"/>
        </w:numPr>
        <w:ind w:left="720"/>
        <w:rPr>
          <w:sz w:val="22"/>
          <w:szCs w:val="22"/>
          <w:rFonts w:asciiTheme="minorHAnsi" w:hAnsiTheme="minorHAnsi"/>
        </w:rPr>
      </w:pPr>
      <w:r>
        <w:rPr>
          <w:sz w:val="22"/>
          <w:szCs w:val="22"/>
          <w:rFonts w:asciiTheme="minorHAnsi" w:hAnsiTheme="minorHAnsi"/>
        </w:rPr>
        <w:t xml:space="preserve"> Vom menține un sistem de controale contabile interne adecvate, așa cum este descris în </w:t>
      </w:r>
      <w:hyperlink r:id="rId12" w:anchor="search=controller%27s%20manual" w:history="1">
        <w:r>
          <w:rPr>
            <w:rStyle w:val="Hyperlink"/>
            <w:sz w:val="22"/>
            <w:szCs w:val="22"/>
            <w:rFonts w:asciiTheme="minorHAnsi" w:hAnsiTheme="minorHAnsi"/>
          </w:rPr>
          <w:t xml:space="preserve">PPG Controller’s Manual [Manualul controlorului PPG]</w:t>
        </w:r>
      </w:hyperlink>
      <w:r>
        <w:rPr>
          <w:sz w:val="22"/>
          <w:szCs w:val="22"/>
          <w:rFonts w:asciiTheme="minorHAnsi" w:hAnsiTheme="minorHAnsi"/>
        </w:rPr>
        <w:t xml:space="preserve">.</w:t>
      </w:r>
    </w:p>
    <w:p w14:paraId="05D39B40" w14:textId="77777777" w:rsidR="007802EF" w:rsidRDefault="007802EF" w:rsidP="00AA7101">
      <w:pPr>
        <w:ind w:left="90"/>
        <w:rPr>
          <w:rFonts w:asciiTheme="minorHAnsi" w:hAnsiTheme="minorHAnsi"/>
          <w:b/>
          <w:sz w:val="22"/>
          <w:szCs w:val="22"/>
        </w:rPr>
      </w:pPr>
    </w:p>
    <w:p w14:paraId="21F78E1D" w14:textId="33AE93E9" w:rsidR="0085042C" w:rsidRPr="00AA7101" w:rsidRDefault="007802EF" w:rsidP="00AA7101">
      <w:pPr>
        <w:ind w:left="90"/>
        <w:rPr>
          <w:sz w:val="22"/>
          <w:szCs w:val="22"/>
          <w:rFonts w:asciiTheme="minorHAnsi" w:hAnsiTheme="minorHAnsi"/>
        </w:rPr>
      </w:pPr>
      <w:r>
        <w:rPr>
          <w:sz w:val="22"/>
          <w:szCs w:val="22"/>
          <w:rFonts w:asciiTheme="minorHAnsi" w:hAnsiTheme="minorHAnsi"/>
        </w:rPr>
        <w:t xml:space="preserve">Această politică completează secțiunile </w:t>
      </w:r>
      <w:hyperlink r:id="rId13" w:history="1">
        <w:r>
          <w:rPr>
            <w:rStyle w:val="Hyperlink"/>
            <w:i/>
            <w:sz w:val="22"/>
            <w:szCs w:val="22"/>
            <w:rFonts w:asciiTheme="minorHAnsi" w:hAnsiTheme="minorHAnsi"/>
          </w:rPr>
          <w:t xml:space="preserve">Bribery and Corruption [Mită și corupție]</w:t>
        </w:r>
      </w:hyperlink>
      <w:r>
        <w:rPr>
          <w:sz w:val="22"/>
          <w:szCs w:val="22"/>
          <w:rFonts w:asciiTheme="minorHAnsi" w:hAnsiTheme="minorHAnsi"/>
        </w:rPr>
        <w:t xml:space="preserve"> și </w:t>
      </w:r>
      <w:hyperlink r:id="rId14" w:history="1">
        <w:r>
          <w:rPr>
            <w:rStyle w:val="Hyperlink"/>
            <w:i/>
            <w:sz w:val="22"/>
            <w:szCs w:val="22"/>
            <w:rFonts w:asciiTheme="minorHAnsi" w:hAnsiTheme="minorHAnsi"/>
          </w:rPr>
          <w:t xml:space="preserve">Business and Financial Records [Înregistrări comerciale și financiare]</w:t>
        </w:r>
      </w:hyperlink>
      <w:r>
        <w:rPr>
          <w:sz w:val="22"/>
          <w:szCs w:val="22"/>
          <w:rFonts w:asciiTheme="minorHAnsi" w:hAnsiTheme="minorHAnsi"/>
        </w:rPr>
        <w:t xml:space="preserve"> din Codul global de etică.</w:t>
      </w:r>
      <w:r>
        <w:rPr>
          <w:sz w:val="22"/>
          <w:szCs w:val="22"/>
          <w:rFonts w:asciiTheme="minorHAnsi" w:hAnsiTheme="minorHAnsi"/>
        </w:rPr>
        <w:t xml:space="preserve">  </w:t>
      </w:r>
      <w:r>
        <w:rPr>
          <w:sz w:val="22"/>
          <w:szCs w:val="22"/>
          <w:rFonts w:asciiTheme="minorHAnsi" w:hAnsiTheme="minorHAnsi"/>
        </w:rPr>
        <w:t xml:space="preserve">Această politică ne sprijină, de asemenea, </w:t>
      </w:r>
      <w:hyperlink r:id="rId15" w:history="1">
        <w:r>
          <w:rPr>
            <w:rStyle w:val="Hyperlink"/>
            <w:sz w:val="22"/>
            <w:szCs w:val="22"/>
            <w:rFonts w:asciiTheme="minorHAnsi" w:hAnsiTheme="minorHAnsi"/>
          </w:rPr>
          <w:t xml:space="preserve">Third Party Due Diligence Policy [Politica de diligență pentru terți]</w:t>
        </w:r>
      </w:hyperlink>
      <w:r>
        <w:rPr>
          <w:sz w:val="22"/>
          <w:szCs w:val="22"/>
          <w:rFonts w:asciiTheme="minorHAnsi" w:hAnsiTheme="minorHAnsi"/>
        </w:rPr>
        <w:t xml:space="preserve">.</w:t>
      </w:r>
    </w:p>
    <w:p w14:paraId="3113BA4A" w14:textId="77777777" w:rsidR="00D73F88" w:rsidRDefault="00D73F88">
      <w:pPr>
        <w:autoSpaceDE/>
        <w:autoSpaceDN/>
        <w:adjustRightInd/>
        <w:spacing w:before="0" w:after="200" w:line="276" w:lineRule="auto"/>
        <w:rPr>
          <w:rFonts w:asciiTheme="minorHAnsi" w:hAnsiTheme="minorHAnsi"/>
          <w:sz w:val="22"/>
          <w:szCs w:val="22"/>
        </w:rPr>
      </w:pPr>
    </w:p>
    <w:p w14:paraId="5CDE74DC" w14:textId="77777777" w:rsidR="0085042C" w:rsidRPr="0010137D" w:rsidRDefault="002A0565" w:rsidP="00411E2B">
      <w:pPr>
        <w:jc w:val="center"/>
        <w:rPr>
          <w:b/>
          <w:sz w:val="22"/>
          <w:szCs w:val="22"/>
          <w:u w:val="single"/>
          <w:rFonts w:asciiTheme="minorHAnsi" w:hAnsiTheme="minorHAnsi"/>
        </w:rPr>
      </w:pPr>
      <w:r>
        <w:rPr>
          <w:b/>
          <w:sz w:val="22"/>
          <w:szCs w:val="22"/>
          <w:u w:val="single"/>
          <w:rFonts w:asciiTheme="minorHAnsi" w:hAnsiTheme="minorHAnsi"/>
        </w:rPr>
        <w:t xml:space="preserve">Îndrumare</w:t>
      </w:r>
    </w:p>
    <w:p w14:paraId="5D35FCCD" w14:textId="4A3B9C21" w:rsidR="0085042C" w:rsidRDefault="002A0565">
      <w:pPr>
        <w:rPr>
          <w:sz w:val="22"/>
          <w:szCs w:val="22"/>
          <w:rFonts w:asciiTheme="minorHAnsi" w:hAnsiTheme="minorHAnsi"/>
        </w:rPr>
      </w:pPr>
      <w:r>
        <w:rPr>
          <w:sz w:val="22"/>
          <w:szCs w:val="22"/>
          <w:rFonts w:asciiTheme="minorHAnsi" w:hAnsiTheme="minorHAnsi"/>
        </w:rPr>
        <w:t xml:space="preserve">Ca angajat al PPG, este responsabilitatea dumneavoastră să înțelegeți următoarele aspecte:</w:t>
      </w:r>
    </w:p>
    <w:p w14:paraId="7B303F5A" w14:textId="77777777" w:rsidR="00D07999" w:rsidRDefault="00D07999">
      <w:pPr>
        <w:rPr>
          <w:rFonts w:asciiTheme="minorHAnsi" w:hAnsiTheme="minorHAnsi"/>
          <w:sz w:val="22"/>
          <w:szCs w:val="22"/>
        </w:rPr>
      </w:pPr>
    </w:p>
    <w:p w14:paraId="04FB5BB5" w14:textId="64178DD2" w:rsidR="00C613B2" w:rsidRDefault="00411E2B" w:rsidP="00B21148">
      <w:pPr>
        <w:pStyle w:val="ListParagraph"/>
        <w:numPr>
          <w:ilvl w:val="0"/>
          <w:numId w:val="16"/>
        </w:numPr>
        <w:spacing w:before="0"/>
        <w:ind w:left="540"/>
        <w:rPr>
          <w:sz w:val="22"/>
          <w:szCs w:val="22"/>
          <w:rFonts w:asciiTheme="minorHAnsi" w:hAnsiTheme="minorHAnsi"/>
        </w:rPr>
      </w:pPr>
      <w:r>
        <w:rPr>
          <w:sz w:val="22"/>
          <w:szCs w:val="22"/>
          <w:b/>
          <w:i/>
          <w:rFonts w:asciiTheme="minorHAnsi" w:hAnsiTheme="minorHAnsi"/>
        </w:rPr>
        <w:t xml:space="preserve">Mita nu se limitează doar la numerar.</w:t>
      </w:r>
      <w:r>
        <w:rPr>
          <w:sz w:val="22"/>
          <w:szCs w:val="22"/>
          <w:b/>
          <w:i/>
          <w:rFonts w:asciiTheme="minorHAnsi" w:hAnsiTheme="minorHAnsi"/>
        </w:rPr>
        <w:t xml:space="preserve"> </w:t>
      </w:r>
      <w:r>
        <w:rPr>
          <w:sz w:val="22"/>
          <w:szCs w:val="22"/>
          <w:rFonts w:asciiTheme="minorHAnsi" w:hAnsiTheme="minorHAnsi"/>
        </w:rPr>
        <w:t xml:space="preserve"> </w:t>
      </w:r>
      <w:r>
        <w:rPr>
          <w:sz w:val="22"/>
          <w:szCs w:val="22"/>
          <w:rFonts w:asciiTheme="minorHAnsi" w:hAnsiTheme="minorHAnsi"/>
        </w:rPr>
        <w:t xml:space="preserve">Mita include „orice valoare” destinată să influențeze în mod necorespunzător o decizie comercială sau de guvernare.</w:t>
      </w:r>
      <w:r>
        <w:rPr>
          <w:sz w:val="22"/>
          <w:szCs w:val="22"/>
          <w:rFonts w:asciiTheme="minorHAnsi" w:hAnsiTheme="minorHAnsi"/>
        </w:rPr>
        <w:t xml:space="preserve"> </w:t>
      </w:r>
      <w:r>
        <w:rPr>
          <w:sz w:val="22"/>
          <w:szCs w:val="22"/>
          <w:rFonts w:asciiTheme="minorHAnsi" w:hAnsiTheme="minorHAnsi"/>
        </w:rPr>
        <w:t xml:space="preserve">„Orice valoare” include numerar, echivalente pentru numerar, cadouri, mese, activități de divertisment, călătorii, proprietate personală, asumarea sau iertarea unei datorii, donații caritabile, sponsorizări, servicii, oferte de angajare sau alte prestații neloiale.</w:t>
      </w:r>
      <w:r>
        <w:rPr>
          <w:sz w:val="22"/>
          <w:szCs w:val="22"/>
          <w:rFonts w:asciiTheme="minorHAnsi" w:hAnsiTheme="minorHAnsi"/>
        </w:rPr>
        <w:t xml:space="preserve"> </w:t>
      </w:r>
      <w:r>
        <w:rPr>
          <w:sz w:val="22"/>
          <w:szCs w:val="22"/>
          <w:rFonts w:asciiTheme="minorHAnsi" w:hAnsiTheme="minorHAnsi"/>
        </w:rPr>
        <w:t xml:space="preserve">Obiectele cu valoare nominală redusă sau micile cadouri/simboluri ale stimei nu sunt considerate, în general, mită.</w:t>
      </w:r>
      <w:r>
        <w:rPr>
          <w:sz w:val="22"/>
          <w:szCs w:val="22"/>
          <w:rFonts w:asciiTheme="minorHAnsi" w:hAnsiTheme="minorHAnsi"/>
        </w:rPr>
        <w:t xml:space="preserve"> </w:t>
      </w:r>
    </w:p>
    <w:p w14:paraId="39F9D38B" w14:textId="77777777" w:rsidR="00C613B2" w:rsidRDefault="00C613B2" w:rsidP="00B21148">
      <w:pPr>
        <w:spacing w:before="0"/>
        <w:ind w:left="540" w:hanging="360"/>
        <w:rPr>
          <w:rFonts w:asciiTheme="minorHAnsi" w:hAnsiTheme="minorHAnsi"/>
          <w:sz w:val="22"/>
          <w:szCs w:val="22"/>
        </w:rPr>
      </w:pPr>
    </w:p>
    <w:p w14:paraId="40355C74" w14:textId="0448D6EE" w:rsidR="0085042C" w:rsidRPr="00AA7101" w:rsidRDefault="00B21148" w:rsidP="00B21148">
      <w:pPr>
        <w:spacing w:before="0"/>
        <w:ind w:left="540" w:hanging="360"/>
        <w:rPr>
          <w:sz w:val="22"/>
          <w:szCs w:val="22"/>
          <w:rFonts w:asciiTheme="minorHAnsi" w:hAnsiTheme="minorHAnsi"/>
        </w:rPr>
      </w:pPr>
      <w:r>
        <w:rPr>
          <w:sz w:val="22"/>
          <w:szCs w:val="22"/>
          <w:rFonts w:asciiTheme="minorHAnsi" w:hAnsiTheme="minorHAnsi"/>
        </w:rPr>
        <w:tab/>
      </w:r>
      <w:r>
        <w:rPr>
          <w:sz w:val="22"/>
          <w:szCs w:val="22"/>
          <w:rFonts w:asciiTheme="minorHAnsi" w:hAnsiTheme="minorHAnsi"/>
        </w:rPr>
        <w:t xml:space="preserve">Orice ospitalitate, călătorii, cadouri, divertisment și mese oferite de companie trebuie să fie proporționale cu ocazia și să respecte politicile PPG și legile și reglementările locale din țara în care se află destinatarul.</w:t>
      </w:r>
      <w:r>
        <w:t xml:space="preserve"> </w:t>
      </w:r>
      <w:r>
        <w:rPr>
          <w:sz w:val="22"/>
          <w:szCs w:val="22"/>
          <w:rFonts w:asciiTheme="minorHAnsi" w:hAnsiTheme="minorHAnsi"/>
        </w:rPr>
        <w:t xml:space="preserve">De exemplu, deși este adecvat și acceptabil să suportați costurile unei călătorii a unui client pentru a vizita o fabrică, un centru de cercetare sau o altă instalație a PPG pentru un scop comercial legitim, este obligatorie vigilența.</w:t>
      </w:r>
      <w:r>
        <w:rPr>
          <w:sz w:val="22"/>
          <w:szCs w:val="22"/>
          <w:rFonts w:asciiTheme="minorHAnsi" w:hAnsiTheme="minorHAnsi"/>
        </w:rPr>
        <w:t xml:space="preserve">  </w:t>
      </w:r>
      <w:r>
        <w:rPr>
          <w:sz w:val="22"/>
          <w:szCs w:val="22"/>
          <w:rFonts w:asciiTheme="minorHAnsi" w:hAnsiTheme="minorHAnsi"/>
        </w:rPr>
        <w:t xml:space="preserve">Durata vizitei trebuie să fie proporțională cu timpul necesar pentru satisfacerea scopului de afaceri, iar costul călătoriei trebuie să fie rezonabil și să acopere doar costurile reale legate de călătorie.</w:t>
      </w:r>
      <w:r>
        <w:rPr>
          <w:sz w:val="22"/>
          <w:szCs w:val="22"/>
          <w:rFonts w:asciiTheme="minorHAnsi" w:hAnsiTheme="minorHAnsi"/>
        </w:rPr>
        <w:t xml:space="preserve"> </w:t>
      </w:r>
      <w:r>
        <w:rPr>
          <w:sz w:val="22"/>
          <w:szCs w:val="22"/>
          <w:rFonts w:asciiTheme="minorHAnsi" w:hAnsiTheme="minorHAnsi"/>
        </w:rPr>
        <w:t xml:space="preserve">Orice costuri care nu au legătură, cum ar fi o prelungire a călătoriei, cumpărături, servicii, etc., trebuie să fie suportate de către client.</w:t>
      </w:r>
      <w:r>
        <w:rPr>
          <w:sz w:val="22"/>
          <w:szCs w:val="22"/>
          <w:rFonts w:asciiTheme="minorHAnsi" w:hAnsiTheme="minorHAnsi"/>
        </w:rPr>
        <w:t xml:space="preserve"> </w:t>
      </w:r>
      <w:r>
        <w:rPr>
          <w:sz w:val="22"/>
          <w:szCs w:val="22"/>
          <w:rFonts w:asciiTheme="minorHAnsi" w:hAnsiTheme="minorHAnsi"/>
        </w:rPr>
        <w:t xml:space="preserve">Vă rugăm să consultați </w:t>
      </w:r>
      <w:hyperlink r:id="rId16" w:history="1">
        <w:r>
          <w:rPr>
            <w:rStyle w:val="Hyperlink"/>
            <w:sz w:val="22"/>
            <w:szCs w:val="22"/>
            <w:rFonts w:asciiTheme="minorHAnsi" w:hAnsiTheme="minorHAnsi"/>
          </w:rPr>
          <w:t xml:space="preserve">PPG’s Global Travel Policy [Politica globală de călătorie a PPG]</w:t>
        </w:r>
      </w:hyperlink>
      <w:r>
        <w:rPr>
          <w:sz w:val="22"/>
          <w:szCs w:val="22"/>
          <w:rFonts w:asciiTheme="minorHAnsi" w:hAnsiTheme="minorHAnsi"/>
        </w:rPr>
        <w:t xml:space="preserve"> și </w:t>
      </w:r>
      <w:hyperlink r:id="rId17" w:anchor="search=controller%27s%20manual" w:history="1">
        <w:r>
          <w:rPr>
            <w:rStyle w:val="Hyperlink"/>
            <w:sz w:val="22"/>
            <w:szCs w:val="22"/>
            <w:rFonts w:asciiTheme="minorHAnsi" w:hAnsiTheme="minorHAnsi"/>
          </w:rPr>
          <w:t xml:space="preserve">Controller’s Manual [Manualul controlorului]</w:t>
        </w:r>
      </w:hyperlink>
      <w:r>
        <w:rPr>
          <w:sz w:val="22"/>
          <w:szCs w:val="22"/>
          <w:rFonts w:asciiTheme="minorHAnsi" w:hAnsiTheme="minorHAnsi"/>
        </w:rPr>
        <w:t xml:space="preserve"> </w:t>
      </w:r>
      <w:r>
        <w:rPr>
          <w:sz w:val="22"/>
          <w:szCs w:val="22"/>
          <w:sz w:val="22"/>
          <w:szCs w:val="22"/>
          <w:rFonts w:asciiTheme="minorHAnsi" w:hAnsiTheme="minorHAnsi"/>
        </w:rPr>
        <w:t xml:space="preserve">pentru informații suplimentare </w:t>
      </w:r>
      <w:r>
        <w:rPr>
          <w:sz w:val="22"/>
          <w:szCs w:val="22"/>
          <w:rFonts w:asciiTheme="minorHAnsi" w:hAnsiTheme="minorHAnsi"/>
        </w:rPr>
        <w:t xml:space="preserve">.</w:t>
      </w:r>
    </w:p>
    <w:p w14:paraId="5A28A9A0" w14:textId="77777777" w:rsidR="0085042C" w:rsidRDefault="0085042C" w:rsidP="00B21148">
      <w:pPr>
        <w:spacing w:before="0"/>
        <w:ind w:left="540" w:hanging="360"/>
        <w:rPr>
          <w:rFonts w:asciiTheme="minorHAnsi" w:hAnsiTheme="minorHAnsi"/>
          <w:sz w:val="22"/>
          <w:szCs w:val="22"/>
        </w:rPr>
      </w:pPr>
    </w:p>
    <w:p w14:paraId="65005702" w14:textId="22201CE8" w:rsidR="0085042C" w:rsidRDefault="00D93250" w:rsidP="00B21148">
      <w:pPr>
        <w:pStyle w:val="ListParagraph"/>
        <w:numPr>
          <w:ilvl w:val="0"/>
          <w:numId w:val="2"/>
        </w:numPr>
        <w:spacing w:before="0"/>
        <w:ind w:left="540"/>
        <w:rPr>
          <w:sz w:val="22"/>
          <w:szCs w:val="22"/>
          <w:rFonts w:asciiTheme="minorHAnsi" w:hAnsiTheme="minorHAnsi"/>
        </w:rPr>
      </w:pPr>
      <w:r>
        <w:rPr>
          <w:sz w:val="22"/>
          <w:szCs w:val="22"/>
          <w:b/>
          <w:i/>
          <w:rFonts w:asciiTheme="minorHAnsi" w:hAnsiTheme="minorHAnsi"/>
        </w:rPr>
        <w:t xml:space="preserve">Mita nu trebuie să fie acceptată sau să aibă succes pentru a încălca legea.</w:t>
      </w:r>
      <w:r>
        <w:rPr>
          <w:sz w:val="22"/>
          <w:szCs w:val="22"/>
          <w:rFonts w:asciiTheme="minorHAnsi" w:hAnsiTheme="minorHAnsi"/>
        </w:rPr>
        <w:t xml:space="preserve">  </w:t>
      </w:r>
      <w:r>
        <w:rPr>
          <w:sz w:val="22"/>
          <w:szCs w:val="22"/>
          <w:rFonts w:asciiTheme="minorHAnsi" w:hAnsiTheme="minorHAnsi"/>
        </w:rPr>
        <w:t xml:space="preserve">În conformitate cu legile din multe țări, PPG comite o încălcare chiar dacă oferta de plată sau de mită este respinsă.</w:t>
      </w:r>
      <w:r>
        <w:rPr>
          <w:sz w:val="22"/>
          <w:szCs w:val="22"/>
          <w:rFonts w:ascii="Tahoma" w:hAnsi="Tahoma"/>
        </w:rPr>
        <w:t xml:space="preserve"> </w:t>
      </w:r>
      <w:r>
        <w:rPr>
          <w:sz w:val="22"/>
          <w:szCs w:val="22"/>
          <w:rFonts w:asciiTheme="minorHAnsi" w:hAnsiTheme="minorHAnsi"/>
        </w:rPr>
        <w:t xml:space="preserve">De asemenea, nu contează dacă se efectuează o plată sau dacă destinatarul face de fapt ceva pentru dumneavoastră.</w:t>
      </w:r>
      <w:r>
        <w:rPr>
          <w:sz w:val="22"/>
          <w:szCs w:val="22"/>
          <w:rFonts w:asciiTheme="minorHAnsi" w:hAnsiTheme="minorHAnsi"/>
        </w:rPr>
        <w:t xml:space="preserve">  </w:t>
      </w:r>
      <w:r>
        <w:rPr>
          <w:sz w:val="22"/>
          <w:szCs w:val="22"/>
          <w:rFonts w:asciiTheme="minorHAnsi" w:hAnsiTheme="minorHAnsi"/>
        </w:rPr>
        <w:t xml:space="preserve">Încălcarea se produce în momentul în care se face o ofertă sau o plată necorespunzătoare.</w:t>
      </w:r>
    </w:p>
    <w:p w14:paraId="5916D98B" w14:textId="77777777" w:rsidR="0085042C" w:rsidRDefault="0085042C" w:rsidP="00B21148">
      <w:pPr>
        <w:pStyle w:val="ListParagraph"/>
        <w:spacing w:before="0"/>
        <w:ind w:left="540" w:hanging="360"/>
        <w:rPr>
          <w:rFonts w:asciiTheme="minorHAnsi" w:hAnsiTheme="minorHAnsi"/>
          <w:sz w:val="22"/>
          <w:szCs w:val="22"/>
        </w:rPr>
      </w:pPr>
    </w:p>
    <w:p w14:paraId="5CA47FF6" w14:textId="20EAF6B5" w:rsidR="00670AE0" w:rsidRPr="00670AE0" w:rsidRDefault="00670AE0" w:rsidP="00B21148">
      <w:pPr>
        <w:pStyle w:val="ListParagraph"/>
        <w:numPr>
          <w:ilvl w:val="0"/>
          <w:numId w:val="2"/>
        </w:numPr>
        <w:spacing w:before="0"/>
        <w:ind w:left="540"/>
        <w:rPr>
          <w:sz w:val="22"/>
          <w:szCs w:val="22"/>
          <w:rFonts w:asciiTheme="minorHAnsi" w:hAnsiTheme="minorHAnsi"/>
        </w:rPr>
      </w:pPr>
      <w:r>
        <w:rPr>
          <w:sz w:val="22"/>
          <w:szCs w:val="22"/>
          <w:b/>
          <w:i/>
          <w:rFonts w:asciiTheme="minorHAnsi" w:hAnsiTheme="minorHAnsi"/>
        </w:rPr>
        <w:t xml:space="preserve">Mituirile pentru obținerea de permise, de licențe, de produse și de alte aprobări etc. sunt, de asemenea, ilegale.</w:t>
      </w:r>
      <w:r>
        <w:rPr>
          <w:sz w:val="22"/>
          <w:szCs w:val="22"/>
          <w:b/>
          <w:i/>
          <w:rFonts w:asciiTheme="minorHAnsi" w:hAnsiTheme="minorHAnsi"/>
        </w:rPr>
        <w:t xml:space="preserve"> </w:t>
      </w:r>
      <w:r>
        <w:rPr>
          <w:sz w:val="22"/>
          <w:szCs w:val="22"/>
          <w:rFonts w:asciiTheme="minorHAnsi" w:hAnsiTheme="minorHAnsi"/>
        </w:rPr>
        <w:t xml:space="preserve">Majoritatea oamenilor asociază mita cu obținerea de afaceri de la un client.</w:t>
      </w:r>
      <w:r>
        <w:rPr>
          <w:sz w:val="22"/>
          <w:szCs w:val="22"/>
          <w:rFonts w:asciiTheme="minorHAnsi" w:hAnsiTheme="minorHAnsi"/>
        </w:rPr>
        <w:t xml:space="preserve">  </w:t>
      </w:r>
      <w:r>
        <w:rPr>
          <w:sz w:val="22"/>
          <w:szCs w:val="22"/>
          <w:rFonts w:asciiTheme="minorHAnsi" w:hAnsiTheme="minorHAnsi"/>
        </w:rPr>
        <w:t xml:space="preserve">Cu toate acestea, este la fel de ilegal să plătești o mită unui guvern sau unui oficial de reglementare pentru a obține alte beneficii, cum ar fi o autorizație de funcționare sau un permis EHS, o scutire de impozit, aprobarea sau certificarea unui produs, o licență pentru desfășurarea activității, etc.. Amintiți-vă, nu puteți plăti mită pentru a obține </w:t>
      </w:r>
      <w:r>
        <w:rPr>
          <w:sz w:val="22"/>
          <w:szCs w:val="22"/>
          <w:u w:val="single"/>
          <w:rFonts w:asciiTheme="minorHAnsi" w:hAnsiTheme="minorHAnsi"/>
        </w:rPr>
        <w:t xml:space="preserve">orice</w:t>
      </w:r>
      <w:r>
        <w:rPr>
          <w:sz w:val="22"/>
          <w:szCs w:val="22"/>
          <w:rFonts w:asciiTheme="minorHAnsi" w:hAnsiTheme="minorHAnsi"/>
        </w:rPr>
        <w:t xml:space="preserve"> avantaj comercial necorespunzător.</w:t>
      </w:r>
      <w:r>
        <w:rPr>
          <w:sz w:val="22"/>
          <w:szCs w:val="22"/>
          <w:rFonts w:asciiTheme="minorHAnsi" w:hAnsiTheme="minorHAnsi"/>
        </w:rPr>
        <w:t xml:space="preserve"> </w:t>
      </w:r>
    </w:p>
    <w:p w14:paraId="2DCDF1BC" w14:textId="77777777" w:rsidR="00670AE0" w:rsidRPr="00670AE0" w:rsidRDefault="00670AE0" w:rsidP="00B21148">
      <w:pPr>
        <w:pStyle w:val="ListParagraph"/>
        <w:ind w:left="540" w:hanging="360"/>
        <w:rPr>
          <w:rFonts w:asciiTheme="minorHAnsi" w:hAnsiTheme="minorHAnsi"/>
          <w:b/>
          <w:i/>
          <w:sz w:val="22"/>
          <w:szCs w:val="22"/>
        </w:rPr>
      </w:pPr>
    </w:p>
    <w:p w14:paraId="50BF8C51" w14:textId="77777777" w:rsidR="00844DDF" w:rsidRDefault="00301743" w:rsidP="00B21148">
      <w:pPr>
        <w:pStyle w:val="ListParagraph"/>
        <w:numPr>
          <w:ilvl w:val="0"/>
          <w:numId w:val="2"/>
        </w:numPr>
        <w:spacing w:before="0"/>
        <w:ind w:left="540"/>
        <w:rPr>
          <w:sz w:val="22"/>
          <w:szCs w:val="22"/>
          <w:rFonts w:asciiTheme="minorHAnsi" w:hAnsiTheme="minorHAnsi"/>
        </w:rPr>
      </w:pPr>
      <w:r>
        <w:rPr>
          <w:sz w:val="22"/>
          <w:szCs w:val="22"/>
          <w:b/>
          <w:i/>
          <w:rFonts w:asciiTheme="minorHAnsi" w:hAnsiTheme="minorHAnsi"/>
        </w:rPr>
        <w:t xml:space="preserve">Interdicții deosebit de stricte se aplică oricăror eforturi de a influența în mod necorespunzător funcționarii guvernamentali</w:t>
      </w:r>
      <w:r>
        <w:rPr>
          <w:sz w:val="22"/>
          <w:szCs w:val="22"/>
          <w:b/>
          <w:rFonts w:asciiTheme="minorHAnsi" w:hAnsiTheme="minorHAnsi"/>
        </w:rPr>
        <w:t xml:space="preserve">.</w:t>
      </w:r>
      <w:r>
        <w:rPr>
          <w:sz w:val="22"/>
          <w:szCs w:val="22"/>
          <w:b/>
          <w:rFonts w:asciiTheme="minorHAnsi" w:hAnsiTheme="minorHAnsi"/>
        </w:rPr>
        <w:t xml:space="preserve"> </w:t>
      </w:r>
      <w:r>
        <w:rPr>
          <w:sz w:val="22"/>
          <w:szCs w:val="22"/>
          <w:rFonts w:asciiTheme="minorHAnsi" w:hAnsiTheme="minorHAnsi"/>
        </w:rPr>
        <w:t xml:space="preserve">Politica noastră interzice luarea de mită și corupția între PPG și partenerii săi comerciali, pe lângă cele între PPG și entitățile guvernamentale/oficiali.</w:t>
      </w:r>
      <w:r>
        <w:rPr>
          <w:sz w:val="22"/>
          <w:szCs w:val="22"/>
          <w:rFonts w:asciiTheme="minorHAnsi" w:hAnsiTheme="minorHAnsi"/>
        </w:rPr>
        <w:t xml:space="preserve">  </w:t>
      </w:r>
      <w:r>
        <w:rPr>
          <w:sz w:val="22"/>
          <w:szCs w:val="22"/>
          <w:rFonts w:asciiTheme="minorHAnsi" w:hAnsiTheme="minorHAnsi"/>
        </w:rPr>
        <w:t xml:space="preserve">Cu toate acestea, unele legi, inclusiv FCPA din SUA, impun amenzi și penalități substanțiale </w:t>
      </w:r>
      <w:r>
        <w:rPr>
          <w:sz w:val="22"/>
          <w:szCs w:val="22"/>
          <w:u w:val="single"/>
          <w:rFonts w:asciiTheme="minorHAnsi" w:hAnsiTheme="minorHAnsi"/>
        </w:rPr>
        <w:t xml:space="preserve">în special</w:t>
      </w:r>
      <w:r>
        <w:rPr>
          <w:sz w:val="22"/>
          <w:szCs w:val="22"/>
          <w:rFonts w:asciiTheme="minorHAnsi" w:hAnsiTheme="minorHAnsi"/>
        </w:rPr>
        <w:t xml:space="preserve"> pentru luare de mită și plăți către oficiali guvernamentali străini.</w:t>
      </w:r>
      <w:r>
        <w:rPr>
          <w:sz w:val="22"/>
          <w:szCs w:val="22"/>
          <w:rFonts w:asciiTheme="minorHAnsi" w:hAnsiTheme="minorHAnsi"/>
        </w:rPr>
        <w:t xml:space="preserve">   </w:t>
      </w:r>
    </w:p>
    <w:p w14:paraId="5F76E327" w14:textId="77777777" w:rsidR="00844DDF" w:rsidRPr="00AA7101" w:rsidRDefault="00844DDF" w:rsidP="00B21148">
      <w:pPr>
        <w:pStyle w:val="ListParagraph"/>
        <w:ind w:left="540" w:hanging="360"/>
        <w:rPr>
          <w:rFonts w:asciiTheme="minorHAnsi" w:hAnsiTheme="minorHAnsi"/>
          <w:sz w:val="22"/>
          <w:szCs w:val="22"/>
        </w:rPr>
      </w:pPr>
    </w:p>
    <w:p w14:paraId="6EF5464D" w14:textId="051C7050" w:rsidR="0085042C" w:rsidRDefault="00844DDF" w:rsidP="00B21148">
      <w:pPr>
        <w:pStyle w:val="ListParagraph"/>
        <w:numPr>
          <w:ilvl w:val="0"/>
          <w:numId w:val="2"/>
        </w:numPr>
        <w:spacing w:before="0"/>
        <w:ind w:left="540"/>
        <w:rPr>
          <w:sz w:val="22"/>
          <w:szCs w:val="22"/>
          <w:rFonts w:asciiTheme="minorHAnsi" w:hAnsiTheme="minorHAnsi"/>
        </w:rPr>
      </w:pPr>
      <w:r>
        <w:rPr>
          <w:sz w:val="22"/>
          <w:szCs w:val="22"/>
          <w:b/>
          <w:i/>
          <w:rFonts w:asciiTheme="minorHAnsi" w:hAnsiTheme="minorHAnsi"/>
        </w:rPr>
        <w:t xml:space="preserve">Entitățile de stat (SOE) sunt considerate funcționari guvernamentali</w:t>
      </w:r>
      <w:r>
        <w:rPr>
          <w:sz w:val="22"/>
          <w:szCs w:val="22"/>
          <w:rFonts w:asciiTheme="minorHAnsi" w:hAnsiTheme="minorHAnsi"/>
        </w:rPr>
        <w:t xml:space="preserve"> </w:t>
      </w:r>
      <w:r>
        <w:rPr>
          <w:sz w:val="22"/>
          <w:szCs w:val="22"/>
          <w:rFonts w:asciiTheme="minorHAnsi" w:hAnsiTheme="minorHAnsi"/>
        </w:rPr>
        <w:t xml:space="preserve">În multe țări, guvernul poate avea un interes parțial de proprietate într-o companie - un SOE - cu care PPG alege să facă afaceri.</w:t>
      </w:r>
      <w:r>
        <w:rPr>
          <w:sz w:val="22"/>
          <w:szCs w:val="22"/>
          <w:rFonts w:asciiTheme="minorHAnsi" w:hAnsiTheme="minorHAnsi"/>
        </w:rPr>
        <w:t xml:space="preserve"> </w:t>
      </w:r>
      <w:r>
        <w:rPr>
          <w:sz w:val="22"/>
          <w:szCs w:val="22"/>
          <w:rFonts w:asciiTheme="minorHAnsi" w:hAnsiTheme="minorHAnsi"/>
        </w:rPr>
        <w:t xml:space="preserve">SOE sunt comune în întreaga lume și în special în China, Rusia, Emiratele Arabe Unite și Indonezia.</w:t>
      </w:r>
      <w:r>
        <w:rPr>
          <w:sz w:val="22"/>
          <w:szCs w:val="22"/>
          <w:rFonts w:asciiTheme="minorHAnsi" w:hAnsiTheme="minorHAnsi"/>
        </w:rPr>
        <w:t xml:space="preserve"> </w:t>
      </w:r>
      <w:r>
        <w:rPr>
          <w:sz w:val="22"/>
          <w:szCs w:val="22"/>
          <w:rFonts w:asciiTheme="minorHAnsi" w:hAnsiTheme="minorHAnsi"/>
        </w:rPr>
        <w:t xml:space="preserve">Întrucât nu va fi întotdeauna evident dacă o companie este exclusiv o societate privată sau are un anumit nivel de proprietate guvernamentală, este cu atât mai important ca asociații PPG să nu ofere sau să dea mită și/sau să nu facă plăți necorespunzătoare către nicio entitate.</w:t>
      </w:r>
      <w:r>
        <w:rPr>
          <w:sz w:val="22"/>
          <w:szCs w:val="22"/>
          <w:rFonts w:asciiTheme="minorHAnsi" w:hAnsiTheme="minorHAnsi"/>
        </w:rPr>
        <w:t xml:space="preserve"> </w:t>
      </w:r>
    </w:p>
    <w:p w14:paraId="5296F0D5" w14:textId="77777777" w:rsidR="0085042C" w:rsidRDefault="0085042C" w:rsidP="00B21148">
      <w:pPr>
        <w:spacing w:before="0"/>
        <w:ind w:left="540" w:hanging="360"/>
        <w:rPr>
          <w:rFonts w:asciiTheme="minorHAnsi" w:hAnsiTheme="minorHAnsi"/>
          <w:sz w:val="22"/>
          <w:szCs w:val="22"/>
        </w:rPr>
      </w:pPr>
    </w:p>
    <w:p w14:paraId="03A1F4C6" w14:textId="13CA9196" w:rsidR="0085042C" w:rsidRDefault="00A957D3" w:rsidP="00B21148">
      <w:pPr>
        <w:pStyle w:val="NormalWeb"/>
        <w:numPr>
          <w:ilvl w:val="0"/>
          <w:numId w:val="2"/>
        </w:numPr>
        <w:spacing w:before="0" w:beforeAutospacing="0" w:after="0" w:afterAutospacing="0"/>
        <w:ind w:left="540"/>
        <w:rPr>
          <w:sz w:val="22"/>
          <w:szCs w:val="22"/>
          <w:rFonts w:asciiTheme="minorHAnsi" w:hAnsiTheme="minorHAnsi"/>
        </w:rPr>
      </w:pPr>
      <w:r>
        <w:rPr>
          <w:sz w:val="22"/>
          <w:szCs w:val="22"/>
          <w:b/>
          <w:i/>
          <w:rFonts w:asciiTheme="minorHAnsi" w:hAnsiTheme="minorHAnsi"/>
        </w:rPr>
        <w:t xml:space="preserve">PPG poate fi responsabilă dacă agenții noștri și alți intermediari plătesc mită în numele nostru</w:t>
      </w:r>
      <w:r>
        <w:rPr>
          <w:sz w:val="22"/>
          <w:szCs w:val="22"/>
          <w:rFonts w:asciiTheme="minorHAnsi" w:hAnsiTheme="minorHAnsi"/>
        </w:rPr>
        <w:t xml:space="preserve">.</w:t>
      </w:r>
      <w:r>
        <w:rPr>
          <w:sz w:val="22"/>
          <w:szCs w:val="22"/>
          <w:rFonts w:asciiTheme="minorHAnsi" w:hAnsiTheme="minorHAnsi"/>
        </w:rPr>
        <w:t xml:space="preserve"> </w:t>
      </w:r>
      <w:r>
        <w:rPr>
          <w:sz w:val="22"/>
          <w:szCs w:val="22"/>
          <w:rFonts w:asciiTheme="minorHAnsi" w:hAnsiTheme="minorHAnsi"/>
        </w:rPr>
        <w:t xml:space="preserve">PPG depinde de terții din multe țări pentru a ne vinde produsele și serviciile.</w:t>
      </w:r>
      <w:r>
        <w:rPr>
          <w:sz w:val="22"/>
          <w:szCs w:val="22"/>
          <w:rFonts w:asciiTheme="minorHAnsi" w:hAnsiTheme="minorHAnsi"/>
        </w:rPr>
        <w:t xml:space="preserve"> </w:t>
      </w:r>
      <w:r>
        <w:rPr>
          <w:sz w:val="22"/>
          <w:szCs w:val="22"/>
          <w:rFonts w:asciiTheme="minorHAnsi" w:hAnsiTheme="minorHAnsi"/>
        </w:rPr>
        <w:t xml:space="preserve">Interdicția de a oferi și de a da mită și de a face plăți se aplică în mod egal acestor tipuri de intermediari.</w:t>
      </w:r>
      <w:r>
        <w:rPr>
          <w:sz w:val="22"/>
          <w:szCs w:val="22"/>
          <w:rFonts w:asciiTheme="minorHAnsi" w:hAnsiTheme="minorHAnsi"/>
        </w:rPr>
        <w:t xml:space="preserve"> </w:t>
      </w:r>
      <w:r>
        <w:rPr>
          <w:sz w:val="22"/>
          <w:szCs w:val="22"/>
          <w:rFonts w:asciiTheme="minorHAnsi" w:hAnsiTheme="minorHAnsi"/>
        </w:rPr>
        <w:t xml:space="preserve">De asemenea, plățile sau mita necorespunzătoare nu pot fi făcute către/date prietenilor sau rudelor unei persoane angajate de către client sau unui funcționar guvernamental, dacă PPG știe sau crede cu tărie că de plată va beneficia clientul sau funcționarul guvernamental într-un scop necorespunzător.</w:t>
      </w:r>
    </w:p>
    <w:p w14:paraId="7737F7CA" w14:textId="77777777" w:rsidR="0085042C" w:rsidRDefault="0085042C" w:rsidP="00B21148">
      <w:pPr>
        <w:pStyle w:val="Default"/>
        <w:ind w:left="540" w:hanging="360"/>
        <w:rPr>
          <w:rFonts w:asciiTheme="minorHAnsi" w:hAnsiTheme="minorHAnsi" w:cs="Times New Roman"/>
          <w:i/>
          <w:sz w:val="22"/>
          <w:szCs w:val="22"/>
        </w:rPr>
      </w:pPr>
    </w:p>
    <w:p w14:paraId="3929F280" w14:textId="22B446E8" w:rsidR="00AC350E" w:rsidRDefault="00B21148" w:rsidP="00B21148">
      <w:pPr>
        <w:spacing w:after="240"/>
        <w:ind w:left="540" w:hanging="360"/>
        <w:rPr>
          <w:sz w:val="22"/>
          <w:szCs w:val="22"/>
          <w:rFonts w:asciiTheme="minorHAnsi" w:hAnsiTheme="minorHAnsi"/>
        </w:rPr>
      </w:pPr>
      <w:r>
        <w:rPr>
          <w:sz w:val="22"/>
          <w:szCs w:val="22"/>
          <w:rFonts w:asciiTheme="minorHAnsi" w:hAnsiTheme="minorHAnsi"/>
        </w:rPr>
        <w:tab/>
      </w:r>
      <w:r>
        <w:rPr>
          <w:sz w:val="22"/>
          <w:szCs w:val="22"/>
          <w:rFonts w:asciiTheme="minorHAnsi" w:hAnsiTheme="minorHAnsi"/>
        </w:rPr>
        <w:t xml:space="preserve">PPG a dezvoltat și menține un program robust de diligență pentru terțe părți pentru validarea și pentru gestionarea agenților și a intermediarilor săi.</w:t>
      </w:r>
      <w:r>
        <w:rPr>
          <w:sz w:val="22"/>
          <w:szCs w:val="22"/>
          <w:rFonts w:asciiTheme="minorHAnsi" w:hAnsiTheme="minorHAnsi"/>
        </w:rPr>
        <w:t xml:space="preserve"> </w:t>
      </w:r>
      <w:r>
        <w:rPr>
          <w:sz w:val="22"/>
          <w:szCs w:val="22"/>
          <w:rFonts w:asciiTheme="minorHAnsi" w:hAnsiTheme="minorHAnsi"/>
        </w:rPr>
        <w:t xml:space="preserve">Vă rugăm să consultați informațiile de pe acest site pentru mai multe detalii:</w:t>
      </w:r>
      <w:r>
        <w:rPr>
          <w:sz w:val="22"/>
          <w:szCs w:val="22"/>
          <w:rFonts w:asciiTheme="minorHAnsi" w:hAnsiTheme="minorHAnsi"/>
        </w:rPr>
        <w:t xml:space="preserve"> </w:t>
      </w:r>
      <w:hyperlink r:id="rId18" w:history="1">
        <w:r>
          <w:rPr>
            <w:rStyle w:val="Hyperlink"/>
            <w:sz w:val="22"/>
            <w:szCs w:val="22"/>
            <w:rFonts w:asciiTheme="minorHAnsi" w:hAnsiTheme="minorHAnsi"/>
          </w:rPr>
          <w:t xml:space="preserve">PPG Third Party Due Diligence [Diligență pentru terțe părți ale PPG]</w:t>
        </w:r>
      </w:hyperlink>
      <w:r>
        <w:rPr>
          <w:sz w:val="22"/>
          <w:szCs w:val="22"/>
          <w:rFonts w:asciiTheme="minorHAnsi" w:hAnsiTheme="minorHAnsi"/>
        </w:rPr>
        <w:t xml:space="preserve">.</w:t>
      </w:r>
    </w:p>
    <w:p w14:paraId="1948E48E" w14:textId="4DD92C42" w:rsidR="0085042C" w:rsidRDefault="002A0565" w:rsidP="00B21148">
      <w:pPr>
        <w:spacing w:after="240"/>
        <w:ind w:left="540" w:hanging="360"/>
        <w:rPr>
          <w:sz w:val="22"/>
          <w:szCs w:val="22"/>
          <w:rFonts w:asciiTheme="minorHAnsi" w:hAnsiTheme="minorHAnsi"/>
        </w:rPr>
      </w:pPr>
      <w:r>
        <w:rPr>
          <w:sz w:val="22"/>
          <w:szCs w:val="22"/>
          <w:rFonts w:asciiTheme="minorHAnsi" w:hAnsiTheme="minorHAnsi"/>
        </w:rPr>
        <w:t xml:space="preserve">De asemenea, trebuie să aplicăm o diligență adecvată atunci când ne selectăm partenerii în asocieri, candidații pentru achiziții și, respectiv, agenții și reprezentanții lor.</w:t>
      </w:r>
      <w:r>
        <w:rPr>
          <w:sz w:val="22"/>
          <w:szCs w:val="22"/>
          <w:rFonts w:asciiTheme="minorHAnsi" w:hAnsiTheme="minorHAnsi"/>
        </w:rPr>
        <w:t xml:space="preserve"> </w:t>
      </w:r>
      <w:r>
        <w:rPr>
          <w:sz w:val="22"/>
          <w:szCs w:val="22"/>
          <w:rFonts w:asciiTheme="minorHAnsi" w:hAnsiTheme="minorHAnsi"/>
        </w:rPr>
        <w:t xml:space="preserve">PPG ar putea fi ținut responsabil pentru activitățile necorespunzătoare desfășurate de o companie pe care o dobândește, sau de către partenerii săi dintr-o asociere, dacă nu reușește (i) să efectueze o revizuire atentă și la timp a potențialelor zone de risc; (ii) să implementeze un program de conformitate efectiv la entitățile respective; sau (iii) să oprească, altfel, o astfel de activitate necorespunzătoare.</w:t>
      </w:r>
    </w:p>
    <w:p w14:paraId="1C74DD13" w14:textId="4CF21B5C" w:rsidR="0085042C" w:rsidRDefault="00AC350E" w:rsidP="00B21148">
      <w:pPr>
        <w:pStyle w:val="ListParagraph"/>
        <w:numPr>
          <w:ilvl w:val="0"/>
          <w:numId w:val="2"/>
        </w:numPr>
        <w:spacing w:before="0"/>
        <w:ind w:left="540"/>
        <w:rPr>
          <w:sz w:val="22"/>
          <w:szCs w:val="22"/>
          <w:rFonts w:asciiTheme="minorHAnsi" w:hAnsiTheme="minorHAnsi"/>
        </w:rPr>
      </w:pPr>
      <w:r>
        <w:rPr>
          <w:sz w:val="22"/>
          <w:szCs w:val="22"/>
          <w:b/>
          <w:i/>
          <w:rFonts w:asciiTheme="minorHAnsi" w:hAnsiTheme="minorHAnsi"/>
        </w:rPr>
        <w:t xml:space="preserve">Fiți atent(ă) la rabaturi, avansuri și reduceri.</w:t>
      </w:r>
      <w:r>
        <w:rPr>
          <w:sz w:val="22"/>
          <w:szCs w:val="22"/>
          <w:b/>
          <w:i/>
          <w:rFonts w:asciiTheme="minorHAnsi" w:hAnsiTheme="minorHAnsi"/>
        </w:rPr>
        <w:t xml:space="preserve">  </w:t>
      </w:r>
      <w:r>
        <w:rPr>
          <w:sz w:val="22"/>
          <w:szCs w:val="22"/>
          <w:rFonts w:asciiTheme="minorHAnsi" w:hAnsiTheme="minorHAnsi"/>
        </w:rPr>
        <w:t xml:space="preserve">La fel ca multe companii,</w:t>
      </w:r>
      <w:r>
        <w:rPr>
          <w:sz w:val="22"/>
          <w:szCs w:val="22"/>
          <w:b/>
          <w:i/>
          <w:rFonts w:asciiTheme="minorHAnsi" w:hAnsiTheme="minorHAnsi"/>
        </w:rPr>
        <w:t xml:space="preserve"> </w:t>
      </w:r>
      <w:r>
        <w:rPr>
          <w:sz w:val="22"/>
          <w:szCs w:val="22"/>
          <w:rFonts w:asciiTheme="minorHAnsi" w:hAnsiTheme="minorHAnsi"/>
        </w:rPr>
        <w:t xml:space="preserve">PPG oferă ocazional rabaturi, avansuri și plăți similare, sau reduceri clienților pentru a obține sau pentru a păstra contracte sau afaceri ca parte a unui acord comercial negociat.</w:t>
      </w:r>
      <w:r>
        <w:rPr>
          <w:sz w:val="22"/>
          <w:szCs w:val="22"/>
          <w:rFonts w:asciiTheme="minorHAnsi" w:hAnsiTheme="minorHAnsi"/>
        </w:rPr>
        <w:t xml:space="preserve"> </w:t>
      </w:r>
      <w:r>
        <w:rPr>
          <w:sz w:val="22"/>
          <w:szCs w:val="22"/>
          <w:rFonts w:asciiTheme="minorHAnsi" w:hAnsiTheme="minorHAnsi"/>
        </w:rPr>
        <w:t xml:space="preserve">Aceste plăți nu sunt „necorespunzătoare” dacă sunt prevăzute în mod expres în contract, sunt rezonabile și sunt în concordanță cu practica continuă a SBU-urilor, nu sunt plătite în numerar, sunt plătite direct entității client, mai degrabă decât către sau prin intermediul unei persoane fizice, sunt în mod corespunzător evidențiate în registrele și înregistrările noastre, și, în alt mod, sunt conforme cu cerințele contractului.</w:t>
      </w:r>
    </w:p>
    <w:p w14:paraId="4A51F24D" w14:textId="77777777" w:rsidR="00C613B2" w:rsidRDefault="00C613B2" w:rsidP="00B21148">
      <w:pPr>
        <w:pStyle w:val="ListParagraph"/>
        <w:spacing w:before="0"/>
        <w:ind w:left="540" w:hanging="360"/>
        <w:rPr>
          <w:rFonts w:asciiTheme="minorHAnsi" w:hAnsiTheme="minorHAnsi"/>
          <w:sz w:val="22"/>
          <w:szCs w:val="22"/>
        </w:rPr>
      </w:pPr>
    </w:p>
    <w:p w14:paraId="44C949FE" w14:textId="77777777" w:rsidR="0085042C" w:rsidRDefault="00C613B2" w:rsidP="00B21148">
      <w:pPr>
        <w:pStyle w:val="ListParagraph"/>
        <w:numPr>
          <w:ilvl w:val="0"/>
          <w:numId w:val="2"/>
        </w:numPr>
        <w:spacing w:before="0"/>
        <w:ind w:left="540"/>
        <w:rPr>
          <w:sz w:val="22"/>
          <w:szCs w:val="22"/>
          <w:rFonts w:asciiTheme="minorHAnsi" w:hAnsiTheme="minorHAnsi"/>
        </w:rPr>
      </w:pPr>
      <w:r>
        <w:rPr>
          <w:sz w:val="22"/>
          <w:szCs w:val="22"/>
          <w:b/>
          <w:i/>
          <w:rFonts w:asciiTheme="minorHAnsi" w:hAnsiTheme="minorHAnsi"/>
        </w:rPr>
        <w:t xml:space="preserve">Registrele și înregistrările exacte și transparente și regulile contabile interne adecvate sunt esențiale.</w:t>
      </w:r>
      <w:r>
        <w:rPr>
          <w:sz w:val="22"/>
          <w:szCs w:val="22"/>
          <w:b/>
          <w:i/>
          <w:rFonts w:asciiTheme="minorHAnsi" w:hAnsiTheme="minorHAnsi"/>
        </w:rPr>
        <w:t xml:space="preserve">  </w:t>
      </w:r>
      <w:r>
        <w:rPr>
          <w:sz w:val="22"/>
          <w:szCs w:val="22"/>
          <w:rFonts w:asciiTheme="minorHAnsi" w:hAnsiTheme="minorHAnsi"/>
        </w:rPr>
        <w:t xml:space="preserve">Nu este niciodată adecvat să deturnăm tranzacțiile din registrele și din înregistrările noastre.</w:t>
      </w:r>
      <w:r>
        <w:rPr>
          <w:sz w:val="22"/>
          <w:szCs w:val="22"/>
          <w:rFonts w:asciiTheme="minorHAnsi" w:hAnsiTheme="minorHAnsi"/>
        </w:rPr>
        <w:t xml:space="preserve"> </w:t>
      </w:r>
      <w:r>
        <w:rPr>
          <w:sz w:val="22"/>
          <w:szCs w:val="22"/>
          <w:rFonts w:asciiTheme="minorHAnsi" w:hAnsiTheme="minorHAnsi"/>
        </w:rPr>
        <w:t xml:space="preserve">Mita este adesea ascunsă sub pretextul plăților legitime, cum ar fi comisioane sau tarife pentru consultanță.</w:t>
      </w:r>
      <w:r>
        <w:rPr>
          <w:sz w:val="22"/>
          <w:szCs w:val="22"/>
          <w:rFonts w:asciiTheme="minorHAnsi" w:hAnsiTheme="minorHAnsi"/>
        </w:rPr>
        <w:t xml:space="preserve">  </w:t>
      </w:r>
      <w:r>
        <w:rPr>
          <w:sz w:val="22"/>
          <w:szCs w:val="22"/>
          <w:rFonts w:asciiTheme="minorHAnsi" w:hAnsiTheme="minorHAnsi"/>
        </w:rPr>
        <w:t xml:space="preserve">În multe cazuri, companiile sunt acuzate de încălcarea legilor anti-corupție, chiar și atunci când nu există dovezi de mită - totul pentru că plățile necorespunzătoare au fost înregistrate inexact sau pentru că aveau controale interne slabe care le expun unui risc de corupție.</w:t>
      </w:r>
      <w:r>
        <w:rPr>
          <w:sz w:val="22"/>
          <w:szCs w:val="22"/>
          <w:rFonts w:asciiTheme="minorHAnsi" w:hAnsiTheme="minorHAnsi"/>
        </w:rPr>
        <w:t xml:space="preserve"> </w:t>
      </w:r>
    </w:p>
    <w:p w14:paraId="79285CD4" w14:textId="77777777" w:rsidR="005F19D4" w:rsidRPr="00AA7101" w:rsidRDefault="005F19D4" w:rsidP="00B21148">
      <w:pPr>
        <w:spacing w:before="0"/>
        <w:ind w:left="540" w:hanging="360"/>
        <w:rPr>
          <w:rFonts w:asciiTheme="minorHAnsi" w:hAnsiTheme="minorHAnsi"/>
          <w:sz w:val="22"/>
          <w:szCs w:val="22"/>
        </w:rPr>
      </w:pPr>
    </w:p>
    <w:p w14:paraId="1C7E1CC4" w14:textId="57864599" w:rsidR="0085042C" w:rsidRDefault="00B21148" w:rsidP="00B21148">
      <w:pPr>
        <w:pStyle w:val="NormalWeb"/>
        <w:spacing w:before="0" w:beforeAutospacing="0" w:after="0" w:afterAutospacing="0"/>
        <w:ind w:left="540" w:hanging="360"/>
        <w:rPr>
          <w:sz w:val="22"/>
          <w:szCs w:val="22"/>
          <w:rFonts w:asciiTheme="minorHAnsi" w:hAnsiTheme="minorHAnsi"/>
        </w:rPr>
      </w:pPr>
      <w:r>
        <w:rPr>
          <w:sz w:val="22"/>
          <w:szCs w:val="22"/>
          <w:rFonts w:asciiTheme="minorHAnsi" w:hAnsiTheme="minorHAnsi"/>
        </w:rPr>
        <w:tab/>
      </w:r>
      <w:r>
        <w:rPr>
          <w:sz w:val="22"/>
          <w:szCs w:val="22"/>
          <w:rFonts w:asciiTheme="minorHAnsi" w:hAnsiTheme="minorHAnsi"/>
        </w:rPr>
        <w:t xml:space="preserve">În plus, costurile suportate și activitățile întreprinse ca parte a ospitalității, a călătoriilor, a cadourilor, a divertismentului și a meselor trebuie să fie transparente - asta înseamnă că și conturile care dovedesc aceste costuri și activități trebuie să facă referire la persoanele implicate, să identifice un scop de afaceri clar, să descrie activitatea, să precizeze suma de bani cheltuită, etc.</w:t>
      </w:r>
      <w:r>
        <w:rPr>
          <w:sz w:val="22"/>
          <w:szCs w:val="22"/>
          <w:rFonts w:asciiTheme="minorHAnsi" w:hAnsiTheme="minorHAnsi"/>
        </w:rPr>
        <w:t xml:space="preserve"> </w:t>
      </w:r>
    </w:p>
    <w:p w14:paraId="2D224679" w14:textId="77777777" w:rsidR="0085042C" w:rsidRDefault="0085042C" w:rsidP="00B21148">
      <w:pPr>
        <w:pStyle w:val="NormalWeb"/>
        <w:spacing w:before="0" w:beforeAutospacing="0" w:after="0" w:afterAutospacing="0"/>
        <w:ind w:left="540" w:hanging="360"/>
        <w:rPr>
          <w:rFonts w:asciiTheme="minorHAnsi" w:hAnsiTheme="minorHAnsi"/>
          <w:sz w:val="22"/>
          <w:szCs w:val="22"/>
        </w:rPr>
      </w:pPr>
    </w:p>
    <w:p w14:paraId="16F65D70" w14:textId="10B5F6D8" w:rsidR="0085042C" w:rsidRDefault="002A0565" w:rsidP="00B21148">
      <w:pPr>
        <w:pStyle w:val="NormalWeb"/>
        <w:numPr>
          <w:ilvl w:val="0"/>
          <w:numId w:val="10"/>
        </w:numPr>
        <w:spacing w:before="0" w:beforeAutospacing="0" w:after="0" w:afterAutospacing="0"/>
        <w:ind w:left="540"/>
        <w:rPr>
          <w:sz w:val="22"/>
          <w:szCs w:val="22"/>
          <w:rFonts w:asciiTheme="minorHAnsi" w:hAnsiTheme="minorHAnsi"/>
        </w:rPr>
      </w:pPr>
      <w:r>
        <w:rPr>
          <w:sz w:val="22"/>
          <w:szCs w:val="22"/>
          <w:b/>
          <w:i/>
          <w:rFonts w:asciiTheme="minorHAnsi" w:hAnsiTheme="minorHAnsi"/>
        </w:rPr>
        <w:t xml:space="preserve">Contribuțiile caritabile pot fi, uneori, considerate mită.</w:t>
      </w:r>
      <w:r>
        <w:rPr>
          <w:sz w:val="22"/>
          <w:szCs w:val="22"/>
          <w:b/>
          <w:i/>
          <w:rFonts w:asciiTheme="minorHAnsi" w:hAnsiTheme="minorHAnsi"/>
        </w:rPr>
        <w:t xml:space="preserve">  </w:t>
      </w:r>
      <w:r>
        <w:rPr>
          <w:sz w:val="22"/>
          <w:szCs w:val="22"/>
          <w:rFonts w:asciiTheme="minorHAnsi" w:hAnsiTheme="minorHAnsi"/>
        </w:rPr>
        <w:t xml:space="preserve">Mulți angajați sunt surprinși să afle că și contribuțiile caritabile, și sponsorizările pot prezenta riscul de a încălca legile și reglementările anti-mită sau anti-corupție.</w:t>
      </w:r>
    </w:p>
    <w:p w14:paraId="046B3E20" w14:textId="597B138A" w:rsidR="0085042C" w:rsidRDefault="00B21148" w:rsidP="00B21148">
      <w:pPr>
        <w:pStyle w:val="NormalWeb"/>
        <w:spacing w:before="0"/>
        <w:ind w:left="540" w:hanging="360"/>
        <w:rPr>
          <w:sz w:val="22"/>
          <w:szCs w:val="22"/>
          <w:rFonts w:asciiTheme="minorHAnsi" w:hAnsiTheme="minorHAnsi"/>
        </w:rPr>
      </w:pPr>
      <w:r>
        <w:rPr>
          <w:sz w:val="22"/>
          <w:szCs w:val="22"/>
          <w:rFonts w:asciiTheme="minorHAnsi" w:hAnsiTheme="minorHAnsi"/>
        </w:rPr>
        <w:tab/>
      </w:r>
      <w:r>
        <w:rPr>
          <w:sz w:val="22"/>
          <w:szCs w:val="22"/>
          <w:rFonts w:asciiTheme="minorHAnsi" w:hAnsiTheme="minorHAnsi"/>
        </w:rPr>
        <w:t xml:space="preserve">Ca exemplu, un partener de afaceri al PPG sau un funcționar guvernamental poate susține activ sau poate face parte din consiliul de administrație al unei organizații caritabile.</w:t>
      </w:r>
      <w:r>
        <w:rPr>
          <w:sz w:val="22"/>
          <w:szCs w:val="22"/>
          <w:rFonts w:asciiTheme="minorHAnsi" w:hAnsiTheme="minorHAnsi"/>
        </w:rPr>
        <w:t xml:space="preserve"> </w:t>
      </w:r>
      <w:r>
        <w:rPr>
          <w:sz w:val="22"/>
          <w:szCs w:val="22"/>
          <w:rFonts w:asciiTheme="minorHAnsi" w:hAnsiTheme="minorHAnsi"/>
        </w:rPr>
        <w:t xml:space="preserve">Așa cum este descris în continuare în secțiunea </w:t>
      </w:r>
      <w:hyperlink r:id="rId19" w:history="1">
        <w:r>
          <w:rPr>
            <w:rStyle w:val="Hyperlink"/>
            <w:i/>
            <w:sz w:val="22"/>
            <w:szCs w:val="22"/>
            <w:rFonts w:asciiTheme="minorHAnsi" w:hAnsiTheme="minorHAnsi"/>
          </w:rPr>
          <w:t xml:space="preserve">Charitable Contributions [Contribuții caritabile]</w:t>
        </w:r>
      </w:hyperlink>
      <w:r>
        <w:rPr>
          <w:sz w:val="22"/>
          <w:szCs w:val="22"/>
          <w:rFonts w:asciiTheme="minorHAnsi" w:hAnsiTheme="minorHAnsi"/>
        </w:rPr>
        <w:t xml:space="preserve"> din Codul nostru, PPG nu poate utiliza o donație pentru acea organizație de caritate pentru a încerca să influențeze partenerul sau oficialul să facă afaceri cu noi, să obțineți o aprobare sau să obțineți orice alt avantaj comercial necorespunzător.</w:t>
      </w:r>
      <w:r>
        <w:rPr>
          <w:sz w:val="22"/>
          <w:szCs w:val="22"/>
          <w:rFonts w:asciiTheme="minorHAnsi" w:hAnsiTheme="minorHAnsi"/>
        </w:rPr>
        <w:t xml:space="preserve">  </w:t>
      </w:r>
    </w:p>
    <w:p w14:paraId="213AFA17" w14:textId="2A969EE2" w:rsidR="0085042C" w:rsidRDefault="002A0565" w:rsidP="00B21148">
      <w:pPr>
        <w:pStyle w:val="NormalWeb"/>
        <w:numPr>
          <w:ilvl w:val="0"/>
          <w:numId w:val="13"/>
        </w:numPr>
        <w:spacing w:before="0" w:beforeAutospacing="0" w:after="0" w:afterAutospacing="0"/>
        <w:ind w:left="540"/>
        <w:rPr>
          <w:sz w:val="22"/>
          <w:szCs w:val="22"/>
          <w:rFonts w:ascii="Calibri" w:hAnsi="Calibri"/>
        </w:rPr>
      </w:pPr>
      <w:r>
        <w:rPr>
          <w:sz w:val="22"/>
          <w:szCs w:val="22"/>
          <w:b/>
          <w:bCs/>
          <w:i/>
          <w:rFonts w:ascii="Calibri" w:hAnsi="Calibri"/>
        </w:rPr>
        <w:t xml:space="preserve">Contribuții politice</w:t>
      </w:r>
      <w:r>
        <w:rPr>
          <w:sz w:val="22"/>
          <w:szCs w:val="22"/>
          <w:rFonts w:ascii="Calibri" w:hAnsi="Calibri"/>
        </w:rPr>
        <w:t xml:space="preserve">.</w:t>
      </w:r>
      <w:r>
        <w:rPr>
          <w:sz w:val="22"/>
          <w:szCs w:val="22"/>
          <w:rFonts w:ascii="Calibri" w:hAnsi="Calibri"/>
        </w:rPr>
        <w:t xml:space="preserve"> </w:t>
      </w:r>
      <w:r>
        <w:rPr>
          <w:sz w:val="22"/>
          <w:szCs w:val="22"/>
          <w:rFonts w:ascii="Calibri" w:hAnsi="Calibri"/>
        </w:rPr>
        <w:t xml:space="preserve">PPG sprijină candidații politici prin structuri aprobate de companie în conformitate cu cerințele legilor locale și cu aprobarea Guvernării afacerilor PPG.</w:t>
      </w:r>
      <w:r>
        <w:rPr>
          <w:sz w:val="22"/>
          <w:szCs w:val="22"/>
          <w:rFonts w:ascii="Calibri" w:hAnsi="Calibri"/>
        </w:rPr>
        <w:t xml:space="preserve"> </w:t>
      </w:r>
      <w:r>
        <w:rPr>
          <w:sz w:val="22"/>
          <w:szCs w:val="22"/>
          <w:rFonts w:ascii="Calibri" w:hAnsi="Calibri"/>
        </w:rPr>
        <w:t xml:space="preserve">Similar cu riscul prezentat de contribuțiile caritabile, există o preocupare clară dacă contribuțiile oferite unui candidat sau unui partid politic ar influența în mod necorespunzător acel oficial guvernamental sau un partener de afaceri.</w:t>
      </w:r>
      <w:r>
        <w:rPr>
          <w:sz w:val="22"/>
          <w:szCs w:val="22"/>
          <w:rFonts w:ascii="Calibri" w:hAnsi="Calibri"/>
        </w:rPr>
        <w:t xml:space="preserve">  </w:t>
      </w:r>
      <w:r>
        <w:rPr>
          <w:sz w:val="22"/>
          <w:szCs w:val="22"/>
          <w:rFonts w:ascii="Calibri" w:hAnsi="Calibri"/>
        </w:rPr>
        <w:t xml:space="preserve">Orice angajat care este solicitat să efectueze o plată, în afară de o contribuție voluntară personală la campanie, către un oficial guvernamental, trebuie să ia legătura cu Responsabilul Șef privind conformitatea al PPG și cu Guvernarea afacerilor PPG</w:t>
      </w:r>
    </w:p>
    <w:p w14:paraId="6E98FB20" w14:textId="77777777" w:rsidR="0085042C" w:rsidRDefault="0085042C" w:rsidP="00B21148">
      <w:pPr>
        <w:pStyle w:val="NormalWeb"/>
        <w:spacing w:before="0" w:beforeAutospacing="0" w:after="0" w:afterAutospacing="0"/>
        <w:ind w:left="540" w:hanging="360"/>
        <w:rPr>
          <w:rFonts w:ascii="Calibri" w:hAnsi="Calibri"/>
          <w:sz w:val="22"/>
          <w:szCs w:val="22"/>
        </w:rPr>
      </w:pPr>
    </w:p>
    <w:p w14:paraId="7DE6F25B" w14:textId="77777777" w:rsidR="0085042C" w:rsidRDefault="0085042C">
      <w:pPr>
        <w:spacing w:before="0"/>
        <w:rPr>
          <w:rFonts w:asciiTheme="minorHAnsi" w:hAnsiTheme="minorHAnsi"/>
          <w:sz w:val="22"/>
          <w:szCs w:val="22"/>
          <w:u w:val="single"/>
        </w:rPr>
      </w:pPr>
    </w:p>
    <w:p w14:paraId="1FEC9774" w14:textId="77777777" w:rsidR="0085042C" w:rsidRDefault="002A0565" w:rsidP="00411E2B">
      <w:pPr>
        <w:spacing w:before="0"/>
        <w:jc w:val="center"/>
        <w:rPr>
          <w:b/>
          <w:sz w:val="22"/>
          <w:szCs w:val="22"/>
          <w:u w:val="single"/>
          <w:rFonts w:asciiTheme="minorHAnsi" w:hAnsiTheme="minorHAnsi"/>
        </w:rPr>
      </w:pPr>
      <w:r>
        <w:rPr>
          <w:b/>
          <w:sz w:val="22"/>
          <w:szCs w:val="22"/>
          <w:u w:val="single"/>
          <w:rFonts w:asciiTheme="minorHAnsi" w:hAnsiTheme="minorHAnsi"/>
        </w:rPr>
        <w:t xml:space="preserve">Consecințe</w:t>
      </w:r>
    </w:p>
    <w:p w14:paraId="527B037F" w14:textId="77777777" w:rsidR="00AF084C" w:rsidRPr="00A55EC2" w:rsidRDefault="00AF084C" w:rsidP="00411E2B">
      <w:pPr>
        <w:spacing w:before="0"/>
        <w:jc w:val="center"/>
        <w:rPr>
          <w:rFonts w:asciiTheme="minorHAnsi" w:hAnsiTheme="minorHAnsi"/>
          <w:b/>
          <w:sz w:val="22"/>
          <w:szCs w:val="22"/>
          <w:u w:val="single"/>
        </w:rPr>
      </w:pPr>
    </w:p>
    <w:p w14:paraId="54420E7B" w14:textId="396E532C" w:rsidR="0085042C" w:rsidRDefault="002A0565" w:rsidP="008C3EBA">
      <w:pPr>
        <w:spacing w:before="0"/>
        <w:jc w:val="both"/>
        <w:rPr>
          <w:sz w:val="22"/>
          <w:szCs w:val="22"/>
          <w:rFonts w:asciiTheme="minorHAnsi" w:hAnsiTheme="minorHAnsi"/>
        </w:rPr>
      </w:pPr>
      <w:r>
        <w:rPr>
          <w:sz w:val="22"/>
          <w:szCs w:val="22"/>
          <w:rFonts w:asciiTheme="minorHAnsi" w:hAnsiTheme="minorHAnsi"/>
        </w:rPr>
        <w:t xml:space="preserve">Încălcările acestei politici și a legilor și a reglementărilor anti-mită și anti-corupție pot duce la sancțiuni penale și/sau civile severe atât pentru companie, cât și pentru persoanele implicate.</w:t>
      </w:r>
      <w:r>
        <w:rPr>
          <w:sz w:val="22"/>
          <w:szCs w:val="22"/>
          <w:rFonts w:asciiTheme="minorHAnsi" w:hAnsiTheme="minorHAnsi"/>
        </w:rPr>
        <w:t xml:space="preserve">  </w:t>
      </w:r>
      <w:r>
        <w:rPr>
          <w:sz w:val="22"/>
          <w:szCs w:val="22"/>
          <w:rFonts w:asciiTheme="minorHAnsi" w:hAnsiTheme="minorHAnsi"/>
        </w:rPr>
        <w:t xml:space="preserve">Este important să acționați întotdeauna într-o manieră care să evite chiar și apariția unei potențiale încălcări a acestor restricții.</w:t>
      </w:r>
      <w:r>
        <w:rPr>
          <w:sz w:val="22"/>
          <w:szCs w:val="22"/>
          <w:rFonts w:asciiTheme="minorHAnsi" w:hAnsiTheme="minorHAnsi"/>
        </w:rPr>
        <w:t xml:space="preserve"> </w:t>
      </w:r>
      <w:r>
        <w:rPr>
          <w:sz w:val="22"/>
          <w:szCs w:val="22"/>
          <w:rFonts w:asciiTheme="minorHAnsi" w:hAnsiTheme="minorHAnsi"/>
        </w:rPr>
        <w:t xml:space="preserve">Sancțiunile financiare în conformitate cu anumite legi sunt nelimitate și depășesc frecvent câteva milioane de dolari.</w:t>
      </w:r>
      <w:r>
        <w:rPr>
          <w:sz w:val="22"/>
          <w:szCs w:val="22"/>
          <w:rFonts w:asciiTheme="minorHAnsi" w:hAnsiTheme="minorHAnsi"/>
        </w:rPr>
        <w:t xml:space="preserve"> </w:t>
      </w:r>
      <w:r>
        <w:rPr>
          <w:sz w:val="22"/>
          <w:szCs w:val="22"/>
          <w:rFonts w:asciiTheme="minorHAnsi" w:hAnsiTheme="minorHAnsi"/>
        </w:rPr>
        <w:t xml:space="preserve">Sancțiunile penale pentru persoane fizice pot fi de zece ani sau mai mult de închisoare, plus amenzi personale pe care PPG nu le poate plăti în numele dumneavoastră.</w:t>
      </w:r>
    </w:p>
    <w:p w14:paraId="05325B61" w14:textId="77777777" w:rsidR="008C3EBA" w:rsidRDefault="008C3EBA" w:rsidP="008C3EBA">
      <w:pPr>
        <w:jc w:val="both"/>
        <w:rPr>
          <w:rFonts w:asciiTheme="minorHAnsi" w:hAnsiTheme="minorHAnsi"/>
          <w:sz w:val="22"/>
          <w:szCs w:val="22"/>
        </w:rPr>
      </w:pPr>
    </w:p>
    <w:p w14:paraId="77E851C8" w14:textId="77777777" w:rsidR="0085042C" w:rsidRDefault="002A0565" w:rsidP="008C3EBA">
      <w:pPr>
        <w:jc w:val="both"/>
        <w:rPr>
          <w:sz w:val="22"/>
          <w:szCs w:val="22"/>
          <w:rFonts w:asciiTheme="minorHAnsi" w:hAnsiTheme="minorHAnsi"/>
        </w:rPr>
      </w:pPr>
      <w:r>
        <w:rPr>
          <w:sz w:val="22"/>
          <w:szCs w:val="22"/>
          <w:rFonts w:asciiTheme="minorHAnsi" w:hAnsiTheme="minorHAnsi"/>
        </w:rPr>
        <w:t xml:space="preserve">Orice încălcare a prezentei politici sau a acestor legi și regulamente poate duce la acțiuni disciplinare din partea companiei, până la încetarea angajării.</w:t>
      </w:r>
      <w:r>
        <w:rPr>
          <w:sz w:val="22"/>
          <w:szCs w:val="22"/>
          <w:rFonts w:asciiTheme="minorHAnsi" w:hAnsiTheme="minorHAnsi"/>
        </w:rPr>
        <w:t xml:space="preserve">  </w:t>
      </w:r>
    </w:p>
    <w:p w14:paraId="269652AE" w14:textId="77777777" w:rsidR="0085042C" w:rsidRDefault="0085042C">
      <w:pPr>
        <w:pStyle w:val="Default"/>
        <w:rPr>
          <w:rFonts w:asciiTheme="minorHAnsi" w:hAnsiTheme="minorHAnsi"/>
          <w:i/>
          <w:sz w:val="22"/>
          <w:szCs w:val="22"/>
        </w:rPr>
      </w:pPr>
    </w:p>
    <w:p w14:paraId="6FEE9BC6" w14:textId="77777777" w:rsidR="0085042C" w:rsidRDefault="002A0565" w:rsidP="00411E2B">
      <w:pPr>
        <w:pStyle w:val="Default"/>
        <w:jc w:val="center"/>
        <w:rPr>
          <w:b/>
          <w:sz w:val="22"/>
          <w:szCs w:val="22"/>
          <w:u w:val="single"/>
          <w:rFonts w:asciiTheme="minorHAnsi" w:hAnsiTheme="minorHAnsi"/>
        </w:rPr>
      </w:pPr>
      <w:r>
        <w:rPr>
          <w:b/>
          <w:sz w:val="22"/>
          <w:szCs w:val="22"/>
          <w:u w:val="single"/>
          <w:rFonts w:asciiTheme="minorHAnsi" w:hAnsiTheme="minorHAnsi"/>
        </w:rPr>
        <w:t xml:space="preserve">Monitorizare și revizuire</w:t>
      </w:r>
    </w:p>
    <w:p w14:paraId="2FDAEE78" w14:textId="77777777" w:rsidR="00AF084C" w:rsidRPr="00A55EC2" w:rsidRDefault="00AF084C" w:rsidP="00411E2B">
      <w:pPr>
        <w:pStyle w:val="Default"/>
        <w:jc w:val="center"/>
        <w:rPr>
          <w:rFonts w:asciiTheme="minorHAnsi" w:hAnsiTheme="minorHAnsi"/>
          <w:b/>
          <w:sz w:val="22"/>
          <w:szCs w:val="22"/>
          <w:u w:val="single"/>
        </w:rPr>
      </w:pPr>
    </w:p>
    <w:p w14:paraId="7CFB4F07" w14:textId="6FB41C95" w:rsidR="0085042C" w:rsidRDefault="00AF084C">
      <w:pPr>
        <w:pStyle w:val="Default"/>
        <w:rPr>
          <w:b/>
          <w:sz w:val="22"/>
          <w:szCs w:val="22"/>
          <w:u w:val="single"/>
          <w:rFonts w:asciiTheme="minorHAnsi" w:hAnsiTheme="minorHAnsi"/>
        </w:rPr>
      </w:pPr>
      <w:r>
        <w:rPr>
          <w:sz w:val="22"/>
          <w:szCs w:val="22"/>
          <w:rFonts w:asciiTheme="minorHAnsi" w:hAnsiTheme="minorHAnsi"/>
        </w:rPr>
        <w:t xml:space="preserve">Conducerea este responsabilă de stabilirea controalelor pentru a se asigura că activitățile sale se desfășoară la nivel global în conformitate cu politicile PPG și cu toate legile și reglementările aplicabile.</w:t>
      </w:r>
      <w:r>
        <w:rPr>
          <w:sz w:val="22"/>
          <w:szCs w:val="22"/>
          <w:rFonts w:asciiTheme="minorHAnsi" w:hAnsiTheme="minorHAnsi"/>
        </w:rPr>
        <w:t xml:space="preserve"> </w:t>
      </w:r>
      <w:r>
        <w:rPr>
          <w:sz w:val="22"/>
          <w:szCs w:val="22"/>
          <w:rFonts w:asciiTheme="minorHAnsi" w:hAnsiTheme="minorHAnsi"/>
        </w:rPr>
        <w:t xml:space="preserve">Serviciile de audit corporativ ale PPG vor monitoriza și vor revizui în mod regulat respectarea de către angajați a acestei politici, a procedurilor aferente și a legilor și a reglementărilor la care se face referire.</w:t>
      </w:r>
      <w:r>
        <w:rPr>
          <w:sz w:val="22"/>
          <w:szCs w:val="22"/>
          <w:rFonts w:asciiTheme="minorHAnsi" w:hAnsiTheme="minorHAnsi"/>
        </w:rPr>
        <w:t xml:space="preserve"> </w:t>
      </w:r>
    </w:p>
    <w:p w14:paraId="5013ACCA" w14:textId="77777777" w:rsidR="0085042C" w:rsidRDefault="0085042C">
      <w:pPr>
        <w:pStyle w:val="Default"/>
        <w:rPr>
          <w:rFonts w:asciiTheme="minorHAnsi" w:hAnsiTheme="minorHAnsi"/>
          <w:b/>
          <w:sz w:val="22"/>
          <w:szCs w:val="22"/>
          <w:u w:val="single"/>
        </w:rPr>
      </w:pPr>
    </w:p>
    <w:p w14:paraId="1DD894EE" w14:textId="77777777" w:rsidR="0085042C" w:rsidRPr="00A55EC2" w:rsidRDefault="002A0565" w:rsidP="00411E2B">
      <w:pPr>
        <w:pStyle w:val="Default"/>
        <w:jc w:val="center"/>
        <w:rPr>
          <w:b/>
          <w:sz w:val="22"/>
          <w:szCs w:val="22"/>
          <w:u w:val="single"/>
          <w:rFonts w:asciiTheme="minorHAnsi" w:hAnsiTheme="minorHAnsi"/>
        </w:rPr>
      </w:pPr>
      <w:r>
        <w:rPr>
          <w:b/>
          <w:sz w:val="22"/>
          <w:szCs w:val="22"/>
          <w:u w:val="single"/>
          <w:rFonts w:asciiTheme="minorHAnsi" w:hAnsiTheme="minorHAnsi"/>
        </w:rPr>
        <w:t xml:space="preserve">Raportarea</w:t>
      </w:r>
    </w:p>
    <w:p w14:paraId="18D6363F" w14:textId="77777777" w:rsidR="0085042C" w:rsidRDefault="002A0565">
      <w:pPr>
        <w:pStyle w:val="Default"/>
        <w:rPr>
          <w:sz w:val="22"/>
          <w:szCs w:val="22"/>
        </w:rPr>
      </w:pPr>
      <w:r>
        <w:t xml:space="preserve">Orice director, ofițer sau angajat al PPG și ale filialelor sale care suspectează sau care știe despre o încălcare a acestei politici sau a acestor legi și reglementări trebuie să raporteze informațiile către Responsabilul Șef privind conformitatea al PPG, Consilierul corporativ al PPG, Etica globală &amp; Conformitatea, o altă resursă identificată mai jos sau prin intermediul anonimului „</w:t>
      </w:r>
      <w:hyperlink r:id="rId20" w:history="1">
        <w:r>
          <w:rPr>
            <w:rStyle w:val="Hyperlink"/>
            <w:sz w:val="22"/>
            <w:szCs w:val="22"/>
          </w:rPr>
          <w:t xml:space="preserve">Ethics Helpline</w:t>
        </w:r>
      </w:hyperlink>
      <w:r>
        <w:rPr>
          <w:sz w:val="22"/>
          <w:szCs w:val="22"/>
        </w:rPr>
        <w:t xml:space="preserve">”.</w:t>
      </w:r>
      <w:r>
        <w:rPr>
          <w:sz w:val="22"/>
          <w:szCs w:val="22"/>
        </w:rPr>
        <w:t xml:space="preserve">  </w:t>
      </w:r>
    </w:p>
    <w:p w14:paraId="6CEBC2CF" w14:textId="77777777" w:rsidR="0085042C" w:rsidRDefault="0085042C">
      <w:pPr>
        <w:pStyle w:val="Default"/>
        <w:rPr>
          <w:rFonts w:asciiTheme="minorHAnsi" w:hAnsiTheme="minorHAnsi"/>
          <w:i/>
          <w:sz w:val="22"/>
          <w:szCs w:val="22"/>
        </w:rPr>
      </w:pPr>
    </w:p>
    <w:p w14:paraId="2B9D7AAF" w14:textId="77777777" w:rsidR="0085042C" w:rsidRDefault="002A0565">
      <w:pPr>
        <w:pStyle w:val="Default"/>
        <w:rPr>
          <w:b/>
          <w:sz w:val="22"/>
          <w:szCs w:val="22"/>
          <w:u w:val="single"/>
          <w:rFonts w:asciiTheme="minorHAnsi" w:hAnsiTheme="minorHAnsi"/>
        </w:rPr>
      </w:pPr>
      <w:r>
        <w:rPr>
          <w:b/>
          <w:sz w:val="22"/>
          <w:szCs w:val="22"/>
          <w:u w:val="single"/>
          <w:rFonts w:asciiTheme="minorHAnsi" w:hAnsiTheme="minorHAnsi"/>
        </w:rPr>
        <w:t xml:space="preserve">Resurse</w:t>
      </w:r>
    </w:p>
    <w:p w14:paraId="53784C3D" w14:textId="77777777" w:rsidR="0085042C" w:rsidRDefault="002A0565">
      <w:pPr>
        <w:pStyle w:val="Default"/>
        <w:rPr>
          <w:sz w:val="22"/>
          <w:szCs w:val="22"/>
          <w:rFonts w:asciiTheme="minorHAnsi" w:hAnsiTheme="minorHAnsi"/>
        </w:rPr>
      </w:pPr>
      <w:r>
        <w:rPr>
          <w:sz w:val="22"/>
          <w:szCs w:val="22"/>
          <w:rFonts w:asciiTheme="minorHAnsi" w:hAnsiTheme="minorHAnsi"/>
        </w:rPr>
        <w:t xml:space="preserve">Dacă aveți întrebări cu privire la această politică sau la legile și reglementările menționate, vă rugăm să contactați:</w:t>
      </w:r>
    </w:p>
    <w:p w14:paraId="491190A2" w14:textId="77777777" w:rsidR="008C3EBA" w:rsidRPr="008C3EBA" w:rsidRDefault="002A0565" w:rsidP="008C3EBA">
      <w:pPr>
        <w:pStyle w:val="Default"/>
        <w:numPr>
          <w:ilvl w:val="0"/>
          <w:numId w:val="2"/>
        </w:numPr>
        <w:ind w:left="763"/>
        <w:contextualSpacing/>
        <w:rPr>
          <w:b/>
          <w:sz w:val="22"/>
          <w:szCs w:val="22"/>
          <w:u w:val="single"/>
          <w:rFonts w:asciiTheme="minorHAnsi" w:hAnsiTheme="minorHAnsi"/>
        </w:rPr>
      </w:pPr>
      <w:r>
        <w:rPr>
          <w:i/>
          <w:sz w:val="22"/>
          <w:szCs w:val="22"/>
          <w:rFonts w:asciiTheme="minorHAnsi" w:hAnsiTheme="minorHAnsi"/>
        </w:rPr>
        <w:t xml:space="preserve">PPG’s Chief Compliance Officer – U.S. (412.434.3200)</w:t>
      </w:r>
    </w:p>
    <w:p w14:paraId="41E673D6" w14:textId="77777777" w:rsidR="00411E2B" w:rsidRPr="00411E2B" w:rsidRDefault="00411E2B" w:rsidP="008C3EBA">
      <w:pPr>
        <w:pStyle w:val="ListParagraph"/>
        <w:numPr>
          <w:ilvl w:val="0"/>
          <w:numId w:val="2"/>
        </w:numPr>
        <w:spacing w:before="0"/>
        <w:ind w:left="763"/>
        <w:rPr>
          <w:i/>
          <w:color w:val="000000"/>
          <w:sz w:val="22"/>
          <w:szCs w:val="22"/>
          <w:rFonts w:asciiTheme="minorHAnsi" w:eastAsiaTheme="minorHAnsi" w:hAnsiTheme="minorHAnsi" w:cs="Calibri"/>
        </w:rPr>
      </w:pPr>
      <w:r>
        <w:rPr>
          <w:i/>
          <w:color w:val="000000"/>
          <w:sz w:val="22"/>
          <w:szCs w:val="22"/>
          <w:rFonts w:asciiTheme="minorHAnsi" w:hAnsiTheme="minorHAnsi"/>
        </w:rPr>
        <w:t xml:space="preserve">PPG’s Corporate Counsel, Global Ethics &amp; Compliance (412.434.2434)</w:t>
      </w:r>
    </w:p>
    <w:p w14:paraId="40F6C28B" w14:textId="77777777" w:rsidR="0085042C" w:rsidRDefault="002A0565" w:rsidP="008C3EBA">
      <w:pPr>
        <w:pStyle w:val="Default"/>
        <w:numPr>
          <w:ilvl w:val="0"/>
          <w:numId w:val="2"/>
        </w:numPr>
        <w:contextualSpacing/>
        <w:rPr>
          <w:b/>
          <w:sz w:val="22"/>
          <w:szCs w:val="22"/>
          <w:u w:val="single"/>
          <w:rFonts w:asciiTheme="minorHAnsi" w:hAnsiTheme="minorHAnsi"/>
        </w:rPr>
      </w:pPr>
      <w:r>
        <w:rPr>
          <w:i/>
          <w:sz w:val="22"/>
          <w:szCs w:val="22"/>
          <w:rFonts w:asciiTheme="minorHAnsi" w:hAnsiTheme="minorHAnsi"/>
        </w:rPr>
        <w:t xml:space="preserve">PPG’s Senior V.P. and General Counsel – U.S. (412.434.2471)</w:t>
      </w:r>
    </w:p>
    <w:p w14:paraId="55921441" w14:textId="77777777" w:rsidR="0085042C" w:rsidRDefault="002A0565">
      <w:pPr>
        <w:pStyle w:val="Default"/>
        <w:numPr>
          <w:ilvl w:val="0"/>
          <w:numId w:val="2"/>
        </w:numPr>
        <w:rPr>
          <w:b/>
          <w:sz w:val="22"/>
          <w:szCs w:val="22"/>
          <w:u w:val="single"/>
          <w:rFonts w:asciiTheme="minorHAnsi" w:hAnsiTheme="minorHAnsi"/>
        </w:rPr>
      </w:pPr>
      <w:r>
        <w:rPr>
          <w:i/>
          <w:sz w:val="22"/>
          <w:szCs w:val="22"/>
          <w:rFonts w:asciiTheme="minorHAnsi" w:hAnsiTheme="minorHAnsi"/>
        </w:rPr>
        <w:t xml:space="preserve">PPG’s regional counsel [Consiliul regional al PPG]:</w:t>
      </w:r>
    </w:p>
    <w:p w14:paraId="601FDF92" w14:textId="77777777" w:rsidR="0085042C" w:rsidRDefault="002A0565" w:rsidP="003270D8">
      <w:pPr>
        <w:pStyle w:val="Default"/>
        <w:numPr>
          <w:ilvl w:val="1"/>
          <w:numId w:val="17"/>
        </w:numPr>
        <w:rPr>
          <w:b/>
          <w:sz w:val="22"/>
          <w:szCs w:val="22"/>
          <w:u w:val="single"/>
          <w:rFonts w:asciiTheme="minorHAnsi" w:hAnsiTheme="minorHAnsi"/>
        </w:rPr>
      </w:pPr>
      <w:r>
        <w:rPr>
          <w:i/>
          <w:sz w:val="22"/>
          <w:szCs w:val="22"/>
          <w:rFonts w:asciiTheme="minorHAnsi" w:hAnsiTheme="minorHAnsi"/>
        </w:rPr>
        <w:t xml:space="preserve">General Counsel – Asia Pacific (852.2860.4569)</w:t>
      </w:r>
    </w:p>
    <w:p w14:paraId="41D0DBB3" w14:textId="77777777" w:rsidR="0085042C" w:rsidRDefault="002A0565" w:rsidP="003270D8">
      <w:pPr>
        <w:pStyle w:val="Default"/>
        <w:numPr>
          <w:ilvl w:val="1"/>
          <w:numId w:val="17"/>
        </w:numPr>
        <w:rPr>
          <w:i/>
          <w:sz w:val="22"/>
          <w:szCs w:val="22"/>
          <w:rFonts w:asciiTheme="minorHAnsi" w:hAnsiTheme="minorHAnsi"/>
        </w:rPr>
      </w:pPr>
      <w:r>
        <w:rPr>
          <w:i/>
          <w:sz w:val="22"/>
          <w:szCs w:val="22"/>
          <w:rFonts w:asciiTheme="minorHAnsi" w:hAnsiTheme="minorHAnsi"/>
        </w:rPr>
        <w:t xml:space="preserve">General Counsel – EMEA (41.21.822.3011)</w:t>
      </w:r>
    </w:p>
    <w:p w14:paraId="36FDEF75" w14:textId="77777777" w:rsidR="0030096A" w:rsidRDefault="0030096A" w:rsidP="003270D8">
      <w:pPr>
        <w:pStyle w:val="Default"/>
        <w:numPr>
          <w:ilvl w:val="1"/>
          <w:numId w:val="17"/>
        </w:numPr>
        <w:rPr>
          <w:i/>
          <w:sz w:val="22"/>
          <w:szCs w:val="22"/>
          <w:rFonts w:asciiTheme="minorHAnsi" w:hAnsiTheme="minorHAnsi"/>
        </w:rPr>
      </w:pPr>
      <w:r>
        <w:rPr>
          <w:i/>
          <w:sz w:val="22"/>
          <w:szCs w:val="22"/>
          <w:rFonts w:asciiTheme="minorHAnsi" w:hAnsiTheme="minorHAnsi"/>
        </w:rPr>
        <w:t xml:space="preserve">Law Director – South America (55 19 2103.6082)</w:t>
      </w:r>
    </w:p>
    <w:p w14:paraId="04893EF1" w14:textId="4EAFDFD6" w:rsidR="0085042C" w:rsidRDefault="003270D8" w:rsidP="003270D8">
      <w:pPr>
        <w:pStyle w:val="Default"/>
        <w:numPr>
          <w:ilvl w:val="1"/>
          <w:numId w:val="17"/>
        </w:numPr>
        <w:rPr>
          <w:i/>
          <w:sz w:val="22"/>
          <w:szCs w:val="22"/>
          <w:rFonts w:asciiTheme="minorHAnsi" w:hAnsiTheme="minorHAnsi"/>
        </w:rPr>
      </w:pPr>
      <w:r>
        <w:rPr>
          <w:i/>
          <w:sz w:val="22"/>
          <w:szCs w:val="22"/>
          <w:rFonts w:asciiTheme="minorHAnsi" w:hAnsiTheme="minorHAnsi"/>
        </w:rPr>
        <w:t xml:space="preserve">Law and Compliance Director – Latin America North (52 55 5284.1779)</w:t>
      </w:r>
    </w:p>
    <w:sectPr w:rsidR="0085042C" w:rsidSect="0085042C">
      <w:footerReference w:type="default" r:id="rId21"/>
      <w:pgSz w:w="12240" w:h="15840"/>
      <w:pgMar w:top="135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A2004" w14:textId="77777777" w:rsidR="003E2ED3" w:rsidRDefault="003E2ED3">
      <w:pPr>
        <w:spacing w:before="0"/>
      </w:pPr>
      <w:r>
        <w:separator/>
      </w:r>
    </w:p>
  </w:endnote>
  <w:endnote w:type="continuationSeparator" w:id="0">
    <w:p w14:paraId="12B886E1" w14:textId="77777777" w:rsidR="003E2ED3" w:rsidRDefault="003E2ED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Courier New"/>
    <w:panose1 w:val="02020603050405020304"/>
    <w:charset w:val="00"/>
    <w:family w:val="roman"/>
    <w:pitch w:val="variable"/>
    <w:sig w:usb0="E0002AFF" w:usb1="C0007841" w:usb2="00000009" w:usb3="00000000" w:csb0="000001FF" w:csb1="00000000"/>
  </w:font>
  <w:font w:name="Courier New">
    <w:altName w:val="?l?r ???fc"/>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9A841" w14:textId="7FDC14AA" w:rsidR="004C79DC" w:rsidRDefault="00ED53A3">
    <w:pPr>
      <w:pStyle w:val="Footer"/>
      <w:pBdr>
        <w:top w:val="thinThickSmallGap" w:sz="24" w:space="1" w:color="622423" w:themeColor="accent2" w:themeShade="7F"/>
      </w:pBdr>
      <w:rPr>
        <w:rFonts w:asciiTheme="majorHAnsi" w:hAnsiTheme="majorHAnsi"/>
      </w:rPr>
    </w:pPr>
    <w:r>
      <w:rPr>
        <w:rFonts w:asciiTheme="majorHAnsi" w:hAnsiTheme="majorHAnsi"/>
      </w:rPr>
      <w:t xml:space="preserve">Rev 12/19</w:t>
    </w:r>
    <w:r>
      <w:rPr>
        <w:rFonts w:asciiTheme="majorHAnsi" w:hAnsiTheme="majorHAnsi"/>
      </w:rPr>
      <w:ptab w:relativeTo="margin" w:alignment="right" w:leader="none"/>
    </w:r>
    <w:r>
      <w:rPr>
        <w:rFonts w:asciiTheme="majorHAnsi" w:hAnsiTheme="majorHAnsi"/>
      </w:rPr>
      <w:t xml:space="preserve">Pagina </w:t>
    </w:r>
    <w:r w:rsidR="004C79DC">
      <w:fldChar w:fldCharType="begin"/>
    </w:r>
    <w:r w:rsidR="004C79DC">
      <w:instrText xml:space="preserve"> PAGE   \* MERGEFORMAT </w:instrText>
    </w:r>
    <w:r w:rsidR="004C79DC">
      <w:fldChar w:fldCharType="separate"/>
    </w:r>
    <w:r w:rsidR="005A6891" w:rsidRPr="005A6891">
      <w:rPr>
        <w:rFonts w:asciiTheme="majorHAnsi" w:hAnsiTheme="majorHAnsi"/>
      </w:rPr>
      <w:t>4</w:t>
    </w:r>
    <w:r w:rsidR="004C79DC">
      <w:rPr>
        <w:rFonts w:asciiTheme="majorHAnsi" w:hAnsiTheme="maj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B5613" w14:textId="77777777" w:rsidR="003E2ED3" w:rsidRDefault="003E2ED3">
      <w:pPr>
        <w:spacing w:before="0"/>
      </w:pPr>
      <w:r>
        <w:separator/>
      </w:r>
    </w:p>
  </w:footnote>
  <w:footnote w:type="continuationSeparator" w:id="0">
    <w:p w14:paraId="3596777B" w14:textId="77777777" w:rsidR="003E2ED3" w:rsidRDefault="003E2ED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15pt;height:9.15pt" o:bullet="t">
        <v:imagedata r:id="rId1" o:title="art8ED"/>
      </v:shape>
    </w:pict>
  </w:numPicBullet>
  <w:abstractNum w:abstractNumId="0" w15:restartNumberingAfterBreak="0">
    <w:nsid w:val="08D62D33"/>
    <w:multiLevelType w:val="hybridMultilevel"/>
    <w:tmpl w:val="718C95D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07E42C1"/>
    <w:multiLevelType w:val="hybridMultilevel"/>
    <w:tmpl w:val="63809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C1D5C5A"/>
    <w:multiLevelType w:val="hybridMultilevel"/>
    <w:tmpl w:val="75D00B10"/>
    <w:lvl w:ilvl="0" w:tplc="CEA088DA">
      <w:start w:val="1"/>
      <w:numFmt w:val="bullet"/>
      <w:lvlText w:val="◦"/>
      <w:lvlJc w:val="left"/>
      <w:pPr>
        <w:tabs>
          <w:tab w:val="num" w:pos="720"/>
        </w:tabs>
        <w:ind w:left="720" w:hanging="360"/>
      </w:pPr>
      <w:rPr>
        <w:rFonts w:ascii="Verdana" w:hAnsi="Verdana" w:hint="default"/>
      </w:rPr>
    </w:lvl>
    <w:lvl w:ilvl="1" w:tplc="878A24A0">
      <w:start w:val="1"/>
      <w:numFmt w:val="bullet"/>
      <w:lvlText w:val="◦"/>
      <w:lvlJc w:val="left"/>
      <w:pPr>
        <w:tabs>
          <w:tab w:val="num" w:pos="1440"/>
        </w:tabs>
        <w:ind w:left="1440" w:hanging="360"/>
      </w:pPr>
      <w:rPr>
        <w:rFonts w:ascii="Verdana" w:hAnsi="Verdana" w:hint="default"/>
      </w:rPr>
    </w:lvl>
    <w:lvl w:ilvl="2" w:tplc="76A2A024" w:tentative="1">
      <w:start w:val="1"/>
      <w:numFmt w:val="bullet"/>
      <w:lvlText w:val="◦"/>
      <w:lvlJc w:val="left"/>
      <w:pPr>
        <w:tabs>
          <w:tab w:val="num" w:pos="2160"/>
        </w:tabs>
        <w:ind w:left="2160" w:hanging="360"/>
      </w:pPr>
      <w:rPr>
        <w:rFonts w:ascii="Verdana" w:hAnsi="Verdana" w:hint="default"/>
      </w:rPr>
    </w:lvl>
    <w:lvl w:ilvl="3" w:tplc="02E2DE54" w:tentative="1">
      <w:start w:val="1"/>
      <w:numFmt w:val="bullet"/>
      <w:lvlText w:val="◦"/>
      <w:lvlJc w:val="left"/>
      <w:pPr>
        <w:tabs>
          <w:tab w:val="num" w:pos="2880"/>
        </w:tabs>
        <w:ind w:left="2880" w:hanging="360"/>
      </w:pPr>
      <w:rPr>
        <w:rFonts w:ascii="Verdana" w:hAnsi="Verdana" w:hint="default"/>
      </w:rPr>
    </w:lvl>
    <w:lvl w:ilvl="4" w:tplc="FDDA35CC" w:tentative="1">
      <w:start w:val="1"/>
      <w:numFmt w:val="bullet"/>
      <w:lvlText w:val="◦"/>
      <w:lvlJc w:val="left"/>
      <w:pPr>
        <w:tabs>
          <w:tab w:val="num" w:pos="3600"/>
        </w:tabs>
        <w:ind w:left="3600" w:hanging="360"/>
      </w:pPr>
      <w:rPr>
        <w:rFonts w:ascii="Verdana" w:hAnsi="Verdana" w:hint="default"/>
      </w:rPr>
    </w:lvl>
    <w:lvl w:ilvl="5" w:tplc="59DE1134" w:tentative="1">
      <w:start w:val="1"/>
      <w:numFmt w:val="bullet"/>
      <w:lvlText w:val="◦"/>
      <w:lvlJc w:val="left"/>
      <w:pPr>
        <w:tabs>
          <w:tab w:val="num" w:pos="4320"/>
        </w:tabs>
        <w:ind w:left="4320" w:hanging="360"/>
      </w:pPr>
      <w:rPr>
        <w:rFonts w:ascii="Verdana" w:hAnsi="Verdana" w:hint="default"/>
      </w:rPr>
    </w:lvl>
    <w:lvl w:ilvl="6" w:tplc="3E78EF92" w:tentative="1">
      <w:start w:val="1"/>
      <w:numFmt w:val="bullet"/>
      <w:lvlText w:val="◦"/>
      <w:lvlJc w:val="left"/>
      <w:pPr>
        <w:tabs>
          <w:tab w:val="num" w:pos="5040"/>
        </w:tabs>
        <w:ind w:left="5040" w:hanging="360"/>
      </w:pPr>
      <w:rPr>
        <w:rFonts w:ascii="Verdana" w:hAnsi="Verdana" w:hint="default"/>
      </w:rPr>
    </w:lvl>
    <w:lvl w:ilvl="7" w:tplc="48A2E1D6" w:tentative="1">
      <w:start w:val="1"/>
      <w:numFmt w:val="bullet"/>
      <w:lvlText w:val="◦"/>
      <w:lvlJc w:val="left"/>
      <w:pPr>
        <w:tabs>
          <w:tab w:val="num" w:pos="5760"/>
        </w:tabs>
        <w:ind w:left="5760" w:hanging="360"/>
      </w:pPr>
      <w:rPr>
        <w:rFonts w:ascii="Verdana" w:hAnsi="Verdana" w:hint="default"/>
      </w:rPr>
    </w:lvl>
    <w:lvl w:ilvl="8" w:tplc="57B42F8E" w:tentative="1">
      <w:start w:val="1"/>
      <w:numFmt w:val="bullet"/>
      <w:lvlText w:val="◦"/>
      <w:lvlJc w:val="left"/>
      <w:pPr>
        <w:tabs>
          <w:tab w:val="num" w:pos="6480"/>
        </w:tabs>
        <w:ind w:left="6480" w:hanging="360"/>
      </w:pPr>
      <w:rPr>
        <w:rFonts w:ascii="Verdana" w:hAnsi="Verdana" w:hint="default"/>
      </w:rPr>
    </w:lvl>
  </w:abstractNum>
  <w:abstractNum w:abstractNumId="3" w15:restartNumberingAfterBreak="0">
    <w:nsid w:val="3F9E530B"/>
    <w:multiLevelType w:val="hybridMultilevel"/>
    <w:tmpl w:val="1B1C5306"/>
    <w:lvl w:ilvl="0" w:tplc="A1C0F5B0">
      <w:start w:val="1"/>
      <w:numFmt w:val="bullet"/>
      <w:lvlText w:val=""/>
      <w:lvlPicBulletId w:val="0"/>
      <w:lvlJc w:val="left"/>
      <w:pPr>
        <w:tabs>
          <w:tab w:val="num" w:pos="720"/>
        </w:tabs>
        <w:ind w:left="720" w:hanging="360"/>
      </w:pPr>
      <w:rPr>
        <w:rFonts w:ascii="Symbol" w:hAnsi="Symbol" w:hint="default"/>
      </w:rPr>
    </w:lvl>
    <w:lvl w:ilvl="1" w:tplc="E90E77A6">
      <w:start w:val="1"/>
      <w:numFmt w:val="bullet"/>
      <w:lvlText w:val=""/>
      <w:lvlPicBulletId w:val="0"/>
      <w:lvlJc w:val="left"/>
      <w:pPr>
        <w:tabs>
          <w:tab w:val="num" w:pos="1440"/>
        </w:tabs>
        <w:ind w:left="1440" w:hanging="360"/>
      </w:pPr>
      <w:rPr>
        <w:rFonts w:ascii="Symbol" w:hAnsi="Symbol" w:hint="default"/>
      </w:rPr>
    </w:lvl>
    <w:lvl w:ilvl="2" w:tplc="96FCC26C" w:tentative="1">
      <w:start w:val="1"/>
      <w:numFmt w:val="bullet"/>
      <w:lvlText w:val=""/>
      <w:lvlPicBulletId w:val="0"/>
      <w:lvlJc w:val="left"/>
      <w:pPr>
        <w:tabs>
          <w:tab w:val="num" w:pos="2160"/>
        </w:tabs>
        <w:ind w:left="2160" w:hanging="360"/>
      </w:pPr>
      <w:rPr>
        <w:rFonts w:ascii="Symbol" w:hAnsi="Symbol" w:hint="default"/>
      </w:rPr>
    </w:lvl>
    <w:lvl w:ilvl="3" w:tplc="297AA23C" w:tentative="1">
      <w:start w:val="1"/>
      <w:numFmt w:val="bullet"/>
      <w:lvlText w:val=""/>
      <w:lvlPicBulletId w:val="0"/>
      <w:lvlJc w:val="left"/>
      <w:pPr>
        <w:tabs>
          <w:tab w:val="num" w:pos="2880"/>
        </w:tabs>
        <w:ind w:left="2880" w:hanging="360"/>
      </w:pPr>
      <w:rPr>
        <w:rFonts w:ascii="Symbol" w:hAnsi="Symbol" w:hint="default"/>
      </w:rPr>
    </w:lvl>
    <w:lvl w:ilvl="4" w:tplc="5AF02C30" w:tentative="1">
      <w:start w:val="1"/>
      <w:numFmt w:val="bullet"/>
      <w:lvlText w:val=""/>
      <w:lvlPicBulletId w:val="0"/>
      <w:lvlJc w:val="left"/>
      <w:pPr>
        <w:tabs>
          <w:tab w:val="num" w:pos="3600"/>
        </w:tabs>
        <w:ind w:left="3600" w:hanging="360"/>
      </w:pPr>
      <w:rPr>
        <w:rFonts w:ascii="Symbol" w:hAnsi="Symbol" w:hint="default"/>
      </w:rPr>
    </w:lvl>
    <w:lvl w:ilvl="5" w:tplc="B7642A72" w:tentative="1">
      <w:start w:val="1"/>
      <w:numFmt w:val="bullet"/>
      <w:lvlText w:val=""/>
      <w:lvlPicBulletId w:val="0"/>
      <w:lvlJc w:val="left"/>
      <w:pPr>
        <w:tabs>
          <w:tab w:val="num" w:pos="4320"/>
        </w:tabs>
        <w:ind w:left="4320" w:hanging="360"/>
      </w:pPr>
      <w:rPr>
        <w:rFonts w:ascii="Symbol" w:hAnsi="Symbol" w:hint="default"/>
      </w:rPr>
    </w:lvl>
    <w:lvl w:ilvl="6" w:tplc="C2A85CE2" w:tentative="1">
      <w:start w:val="1"/>
      <w:numFmt w:val="bullet"/>
      <w:lvlText w:val=""/>
      <w:lvlPicBulletId w:val="0"/>
      <w:lvlJc w:val="left"/>
      <w:pPr>
        <w:tabs>
          <w:tab w:val="num" w:pos="5040"/>
        </w:tabs>
        <w:ind w:left="5040" w:hanging="360"/>
      </w:pPr>
      <w:rPr>
        <w:rFonts w:ascii="Symbol" w:hAnsi="Symbol" w:hint="default"/>
      </w:rPr>
    </w:lvl>
    <w:lvl w:ilvl="7" w:tplc="E18A06B6" w:tentative="1">
      <w:start w:val="1"/>
      <w:numFmt w:val="bullet"/>
      <w:lvlText w:val=""/>
      <w:lvlPicBulletId w:val="0"/>
      <w:lvlJc w:val="left"/>
      <w:pPr>
        <w:tabs>
          <w:tab w:val="num" w:pos="5760"/>
        </w:tabs>
        <w:ind w:left="5760" w:hanging="360"/>
      </w:pPr>
      <w:rPr>
        <w:rFonts w:ascii="Symbol" w:hAnsi="Symbol" w:hint="default"/>
      </w:rPr>
    </w:lvl>
    <w:lvl w:ilvl="8" w:tplc="DC6A83A6"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4D5D3908"/>
    <w:multiLevelType w:val="hybridMultilevel"/>
    <w:tmpl w:val="2AD0B15C"/>
    <w:lvl w:ilvl="0" w:tplc="AD7E4664">
      <w:start w:val="1"/>
      <w:numFmt w:val="bullet"/>
      <w:lvlText w:val="o"/>
      <w:lvlJc w:val="left"/>
      <w:pPr>
        <w:ind w:left="720" w:hanging="360"/>
      </w:pPr>
      <w:rPr>
        <w:rFonts w:ascii="Courier New" w:hAnsi="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1E2891"/>
    <w:multiLevelType w:val="hybridMultilevel"/>
    <w:tmpl w:val="60B69E38"/>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 w15:restartNumberingAfterBreak="0">
    <w:nsid w:val="55C8311B"/>
    <w:multiLevelType w:val="hybridMultilevel"/>
    <w:tmpl w:val="127443C2"/>
    <w:lvl w:ilvl="0" w:tplc="E5BAB14A">
      <w:start w:val="1"/>
      <w:numFmt w:val="bullet"/>
      <w:lvlText w:val="•"/>
      <w:lvlJc w:val="left"/>
      <w:pPr>
        <w:tabs>
          <w:tab w:val="num" w:pos="720"/>
        </w:tabs>
        <w:ind w:left="720" w:hanging="360"/>
      </w:pPr>
      <w:rPr>
        <w:rFonts w:ascii="Times New Roman" w:hAnsi="Times New Roman" w:hint="default"/>
      </w:rPr>
    </w:lvl>
    <w:lvl w:ilvl="1" w:tplc="0D3E8562" w:tentative="1">
      <w:start w:val="1"/>
      <w:numFmt w:val="bullet"/>
      <w:lvlText w:val="•"/>
      <w:lvlJc w:val="left"/>
      <w:pPr>
        <w:tabs>
          <w:tab w:val="num" w:pos="1440"/>
        </w:tabs>
        <w:ind w:left="1440" w:hanging="360"/>
      </w:pPr>
      <w:rPr>
        <w:rFonts w:ascii="Times New Roman" w:hAnsi="Times New Roman" w:hint="default"/>
      </w:rPr>
    </w:lvl>
    <w:lvl w:ilvl="2" w:tplc="740C906C">
      <w:start w:val="1"/>
      <w:numFmt w:val="bullet"/>
      <w:lvlText w:val="•"/>
      <w:lvlJc w:val="left"/>
      <w:pPr>
        <w:tabs>
          <w:tab w:val="num" w:pos="2160"/>
        </w:tabs>
        <w:ind w:left="2160" w:hanging="360"/>
      </w:pPr>
      <w:rPr>
        <w:rFonts w:ascii="Times New Roman" w:hAnsi="Times New Roman" w:hint="default"/>
      </w:rPr>
    </w:lvl>
    <w:lvl w:ilvl="3" w:tplc="FF48FB78" w:tentative="1">
      <w:start w:val="1"/>
      <w:numFmt w:val="bullet"/>
      <w:lvlText w:val="•"/>
      <w:lvlJc w:val="left"/>
      <w:pPr>
        <w:tabs>
          <w:tab w:val="num" w:pos="2880"/>
        </w:tabs>
        <w:ind w:left="2880" w:hanging="360"/>
      </w:pPr>
      <w:rPr>
        <w:rFonts w:ascii="Times New Roman" w:hAnsi="Times New Roman" w:hint="default"/>
      </w:rPr>
    </w:lvl>
    <w:lvl w:ilvl="4" w:tplc="B3C2A850" w:tentative="1">
      <w:start w:val="1"/>
      <w:numFmt w:val="bullet"/>
      <w:lvlText w:val="•"/>
      <w:lvlJc w:val="left"/>
      <w:pPr>
        <w:tabs>
          <w:tab w:val="num" w:pos="3600"/>
        </w:tabs>
        <w:ind w:left="3600" w:hanging="360"/>
      </w:pPr>
      <w:rPr>
        <w:rFonts w:ascii="Times New Roman" w:hAnsi="Times New Roman" w:hint="default"/>
      </w:rPr>
    </w:lvl>
    <w:lvl w:ilvl="5" w:tplc="A18E6A48" w:tentative="1">
      <w:start w:val="1"/>
      <w:numFmt w:val="bullet"/>
      <w:lvlText w:val="•"/>
      <w:lvlJc w:val="left"/>
      <w:pPr>
        <w:tabs>
          <w:tab w:val="num" w:pos="4320"/>
        </w:tabs>
        <w:ind w:left="4320" w:hanging="360"/>
      </w:pPr>
      <w:rPr>
        <w:rFonts w:ascii="Times New Roman" w:hAnsi="Times New Roman" w:hint="default"/>
      </w:rPr>
    </w:lvl>
    <w:lvl w:ilvl="6" w:tplc="C2269FEC" w:tentative="1">
      <w:start w:val="1"/>
      <w:numFmt w:val="bullet"/>
      <w:lvlText w:val="•"/>
      <w:lvlJc w:val="left"/>
      <w:pPr>
        <w:tabs>
          <w:tab w:val="num" w:pos="5040"/>
        </w:tabs>
        <w:ind w:left="5040" w:hanging="360"/>
      </w:pPr>
      <w:rPr>
        <w:rFonts w:ascii="Times New Roman" w:hAnsi="Times New Roman" w:hint="default"/>
      </w:rPr>
    </w:lvl>
    <w:lvl w:ilvl="7" w:tplc="C276E484" w:tentative="1">
      <w:start w:val="1"/>
      <w:numFmt w:val="bullet"/>
      <w:lvlText w:val="•"/>
      <w:lvlJc w:val="left"/>
      <w:pPr>
        <w:tabs>
          <w:tab w:val="num" w:pos="5760"/>
        </w:tabs>
        <w:ind w:left="5760" w:hanging="360"/>
      </w:pPr>
      <w:rPr>
        <w:rFonts w:ascii="Times New Roman" w:hAnsi="Times New Roman" w:hint="default"/>
      </w:rPr>
    </w:lvl>
    <w:lvl w:ilvl="8" w:tplc="3F262A6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C73743D"/>
    <w:multiLevelType w:val="hybridMultilevel"/>
    <w:tmpl w:val="2050E47E"/>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8" w15:restartNumberingAfterBreak="0">
    <w:nsid w:val="5C9A51AB"/>
    <w:multiLevelType w:val="hybridMultilevel"/>
    <w:tmpl w:val="A4887D18"/>
    <w:lvl w:ilvl="0" w:tplc="80DA89A2">
      <w:start w:val="1"/>
      <w:numFmt w:val="bullet"/>
      <w:lvlText w:val=""/>
      <w:lvlPicBulletId w:val="0"/>
      <w:lvlJc w:val="left"/>
      <w:pPr>
        <w:tabs>
          <w:tab w:val="num" w:pos="720"/>
        </w:tabs>
        <w:ind w:left="720" w:hanging="360"/>
      </w:pPr>
      <w:rPr>
        <w:rFonts w:ascii="Symbol" w:hAnsi="Symbol" w:hint="default"/>
      </w:rPr>
    </w:lvl>
    <w:lvl w:ilvl="1" w:tplc="A99C3C62">
      <w:start w:val="1"/>
      <w:numFmt w:val="bullet"/>
      <w:lvlText w:val=""/>
      <w:lvlPicBulletId w:val="0"/>
      <w:lvlJc w:val="left"/>
      <w:pPr>
        <w:tabs>
          <w:tab w:val="num" w:pos="1440"/>
        </w:tabs>
        <w:ind w:left="1440" w:hanging="360"/>
      </w:pPr>
      <w:rPr>
        <w:rFonts w:ascii="Symbol" w:hAnsi="Symbol" w:hint="default"/>
      </w:rPr>
    </w:lvl>
    <w:lvl w:ilvl="2" w:tplc="E3D61570" w:tentative="1">
      <w:start w:val="1"/>
      <w:numFmt w:val="bullet"/>
      <w:lvlText w:val=""/>
      <w:lvlPicBulletId w:val="0"/>
      <w:lvlJc w:val="left"/>
      <w:pPr>
        <w:tabs>
          <w:tab w:val="num" w:pos="2160"/>
        </w:tabs>
        <w:ind w:left="2160" w:hanging="360"/>
      </w:pPr>
      <w:rPr>
        <w:rFonts w:ascii="Symbol" w:hAnsi="Symbol" w:hint="default"/>
      </w:rPr>
    </w:lvl>
    <w:lvl w:ilvl="3" w:tplc="D5B61DDE" w:tentative="1">
      <w:start w:val="1"/>
      <w:numFmt w:val="bullet"/>
      <w:lvlText w:val=""/>
      <w:lvlPicBulletId w:val="0"/>
      <w:lvlJc w:val="left"/>
      <w:pPr>
        <w:tabs>
          <w:tab w:val="num" w:pos="2880"/>
        </w:tabs>
        <w:ind w:left="2880" w:hanging="360"/>
      </w:pPr>
      <w:rPr>
        <w:rFonts w:ascii="Symbol" w:hAnsi="Symbol" w:hint="default"/>
      </w:rPr>
    </w:lvl>
    <w:lvl w:ilvl="4" w:tplc="441A03AE" w:tentative="1">
      <w:start w:val="1"/>
      <w:numFmt w:val="bullet"/>
      <w:lvlText w:val=""/>
      <w:lvlPicBulletId w:val="0"/>
      <w:lvlJc w:val="left"/>
      <w:pPr>
        <w:tabs>
          <w:tab w:val="num" w:pos="3600"/>
        </w:tabs>
        <w:ind w:left="3600" w:hanging="360"/>
      </w:pPr>
      <w:rPr>
        <w:rFonts w:ascii="Symbol" w:hAnsi="Symbol" w:hint="default"/>
      </w:rPr>
    </w:lvl>
    <w:lvl w:ilvl="5" w:tplc="80467C92" w:tentative="1">
      <w:start w:val="1"/>
      <w:numFmt w:val="bullet"/>
      <w:lvlText w:val=""/>
      <w:lvlPicBulletId w:val="0"/>
      <w:lvlJc w:val="left"/>
      <w:pPr>
        <w:tabs>
          <w:tab w:val="num" w:pos="4320"/>
        </w:tabs>
        <w:ind w:left="4320" w:hanging="360"/>
      </w:pPr>
      <w:rPr>
        <w:rFonts w:ascii="Symbol" w:hAnsi="Symbol" w:hint="default"/>
      </w:rPr>
    </w:lvl>
    <w:lvl w:ilvl="6" w:tplc="56C40046" w:tentative="1">
      <w:start w:val="1"/>
      <w:numFmt w:val="bullet"/>
      <w:lvlText w:val=""/>
      <w:lvlPicBulletId w:val="0"/>
      <w:lvlJc w:val="left"/>
      <w:pPr>
        <w:tabs>
          <w:tab w:val="num" w:pos="5040"/>
        </w:tabs>
        <w:ind w:left="5040" w:hanging="360"/>
      </w:pPr>
      <w:rPr>
        <w:rFonts w:ascii="Symbol" w:hAnsi="Symbol" w:hint="default"/>
      </w:rPr>
    </w:lvl>
    <w:lvl w:ilvl="7" w:tplc="CE5076F6" w:tentative="1">
      <w:start w:val="1"/>
      <w:numFmt w:val="bullet"/>
      <w:lvlText w:val=""/>
      <w:lvlPicBulletId w:val="0"/>
      <w:lvlJc w:val="left"/>
      <w:pPr>
        <w:tabs>
          <w:tab w:val="num" w:pos="5760"/>
        </w:tabs>
        <w:ind w:left="5760" w:hanging="360"/>
      </w:pPr>
      <w:rPr>
        <w:rFonts w:ascii="Symbol" w:hAnsi="Symbol" w:hint="default"/>
      </w:rPr>
    </w:lvl>
    <w:lvl w:ilvl="8" w:tplc="55A65964"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5FBB48F6"/>
    <w:multiLevelType w:val="hybridMultilevel"/>
    <w:tmpl w:val="9C66A0A2"/>
    <w:lvl w:ilvl="0" w:tplc="F77875A2">
      <w:start w:val="1"/>
      <w:numFmt w:val="bullet"/>
      <w:lvlText w:val="◦"/>
      <w:lvlJc w:val="left"/>
      <w:pPr>
        <w:tabs>
          <w:tab w:val="num" w:pos="720"/>
        </w:tabs>
        <w:ind w:left="720" w:hanging="360"/>
      </w:pPr>
      <w:rPr>
        <w:rFonts w:ascii="Verdana" w:hAnsi="Verdana" w:hint="default"/>
      </w:rPr>
    </w:lvl>
    <w:lvl w:ilvl="1" w:tplc="397488FA">
      <w:start w:val="1"/>
      <w:numFmt w:val="bullet"/>
      <w:lvlText w:val="◦"/>
      <w:lvlJc w:val="left"/>
      <w:pPr>
        <w:tabs>
          <w:tab w:val="num" w:pos="1440"/>
        </w:tabs>
        <w:ind w:left="1440" w:hanging="360"/>
      </w:pPr>
      <w:rPr>
        <w:rFonts w:ascii="Verdana" w:hAnsi="Verdana" w:hint="default"/>
      </w:rPr>
    </w:lvl>
    <w:lvl w:ilvl="2" w:tplc="7B9EEFE4" w:tentative="1">
      <w:start w:val="1"/>
      <w:numFmt w:val="bullet"/>
      <w:lvlText w:val="◦"/>
      <w:lvlJc w:val="left"/>
      <w:pPr>
        <w:tabs>
          <w:tab w:val="num" w:pos="2160"/>
        </w:tabs>
        <w:ind w:left="2160" w:hanging="360"/>
      </w:pPr>
      <w:rPr>
        <w:rFonts w:ascii="Verdana" w:hAnsi="Verdana" w:hint="default"/>
      </w:rPr>
    </w:lvl>
    <w:lvl w:ilvl="3" w:tplc="97ECDD54" w:tentative="1">
      <w:start w:val="1"/>
      <w:numFmt w:val="bullet"/>
      <w:lvlText w:val="◦"/>
      <w:lvlJc w:val="left"/>
      <w:pPr>
        <w:tabs>
          <w:tab w:val="num" w:pos="2880"/>
        </w:tabs>
        <w:ind w:left="2880" w:hanging="360"/>
      </w:pPr>
      <w:rPr>
        <w:rFonts w:ascii="Verdana" w:hAnsi="Verdana" w:hint="default"/>
      </w:rPr>
    </w:lvl>
    <w:lvl w:ilvl="4" w:tplc="A492EFD0" w:tentative="1">
      <w:start w:val="1"/>
      <w:numFmt w:val="bullet"/>
      <w:lvlText w:val="◦"/>
      <w:lvlJc w:val="left"/>
      <w:pPr>
        <w:tabs>
          <w:tab w:val="num" w:pos="3600"/>
        </w:tabs>
        <w:ind w:left="3600" w:hanging="360"/>
      </w:pPr>
      <w:rPr>
        <w:rFonts w:ascii="Verdana" w:hAnsi="Verdana" w:hint="default"/>
      </w:rPr>
    </w:lvl>
    <w:lvl w:ilvl="5" w:tplc="B5981B6C" w:tentative="1">
      <w:start w:val="1"/>
      <w:numFmt w:val="bullet"/>
      <w:lvlText w:val="◦"/>
      <w:lvlJc w:val="left"/>
      <w:pPr>
        <w:tabs>
          <w:tab w:val="num" w:pos="4320"/>
        </w:tabs>
        <w:ind w:left="4320" w:hanging="360"/>
      </w:pPr>
      <w:rPr>
        <w:rFonts w:ascii="Verdana" w:hAnsi="Verdana" w:hint="default"/>
      </w:rPr>
    </w:lvl>
    <w:lvl w:ilvl="6" w:tplc="8460BD02" w:tentative="1">
      <w:start w:val="1"/>
      <w:numFmt w:val="bullet"/>
      <w:lvlText w:val="◦"/>
      <w:lvlJc w:val="left"/>
      <w:pPr>
        <w:tabs>
          <w:tab w:val="num" w:pos="5040"/>
        </w:tabs>
        <w:ind w:left="5040" w:hanging="360"/>
      </w:pPr>
      <w:rPr>
        <w:rFonts w:ascii="Verdana" w:hAnsi="Verdana" w:hint="default"/>
      </w:rPr>
    </w:lvl>
    <w:lvl w:ilvl="7" w:tplc="6BE82642" w:tentative="1">
      <w:start w:val="1"/>
      <w:numFmt w:val="bullet"/>
      <w:lvlText w:val="◦"/>
      <w:lvlJc w:val="left"/>
      <w:pPr>
        <w:tabs>
          <w:tab w:val="num" w:pos="5760"/>
        </w:tabs>
        <w:ind w:left="5760" w:hanging="360"/>
      </w:pPr>
      <w:rPr>
        <w:rFonts w:ascii="Verdana" w:hAnsi="Verdana" w:hint="default"/>
      </w:rPr>
    </w:lvl>
    <w:lvl w:ilvl="8" w:tplc="3FE81E12" w:tentative="1">
      <w:start w:val="1"/>
      <w:numFmt w:val="bullet"/>
      <w:lvlText w:val="◦"/>
      <w:lvlJc w:val="left"/>
      <w:pPr>
        <w:tabs>
          <w:tab w:val="num" w:pos="6480"/>
        </w:tabs>
        <w:ind w:left="6480" w:hanging="360"/>
      </w:pPr>
      <w:rPr>
        <w:rFonts w:ascii="Verdana" w:hAnsi="Verdana" w:hint="default"/>
      </w:rPr>
    </w:lvl>
  </w:abstractNum>
  <w:abstractNum w:abstractNumId="10" w15:restartNumberingAfterBreak="0">
    <w:nsid w:val="69F1114A"/>
    <w:multiLevelType w:val="hybridMultilevel"/>
    <w:tmpl w:val="DB2E2CDE"/>
    <w:lvl w:ilvl="0" w:tplc="C1F2F4F8">
      <w:start w:val="1"/>
      <w:numFmt w:val="bullet"/>
      <w:lvlText w:val=""/>
      <w:lvlJc w:val="left"/>
      <w:pPr>
        <w:tabs>
          <w:tab w:val="num" w:pos="720"/>
        </w:tabs>
        <w:ind w:left="720" w:hanging="360"/>
      </w:pPr>
      <w:rPr>
        <w:rFonts w:ascii="Wingdings 3" w:hAnsi="Wingdings 3" w:hint="default"/>
      </w:rPr>
    </w:lvl>
    <w:lvl w:ilvl="1" w:tplc="8DD832F6" w:tentative="1">
      <w:start w:val="1"/>
      <w:numFmt w:val="bullet"/>
      <w:lvlText w:val=""/>
      <w:lvlJc w:val="left"/>
      <w:pPr>
        <w:tabs>
          <w:tab w:val="num" w:pos="1440"/>
        </w:tabs>
        <w:ind w:left="1440" w:hanging="360"/>
      </w:pPr>
      <w:rPr>
        <w:rFonts w:ascii="Wingdings 3" w:hAnsi="Wingdings 3" w:hint="default"/>
      </w:rPr>
    </w:lvl>
    <w:lvl w:ilvl="2" w:tplc="789A0D6C" w:tentative="1">
      <w:start w:val="1"/>
      <w:numFmt w:val="bullet"/>
      <w:lvlText w:val=""/>
      <w:lvlJc w:val="left"/>
      <w:pPr>
        <w:tabs>
          <w:tab w:val="num" w:pos="2160"/>
        </w:tabs>
        <w:ind w:left="2160" w:hanging="360"/>
      </w:pPr>
      <w:rPr>
        <w:rFonts w:ascii="Wingdings 3" w:hAnsi="Wingdings 3" w:hint="default"/>
      </w:rPr>
    </w:lvl>
    <w:lvl w:ilvl="3" w:tplc="4120F36E" w:tentative="1">
      <w:start w:val="1"/>
      <w:numFmt w:val="bullet"/>
      <w:lvlText w:val=""/>
      <w:lvlJc w:val="left"/>
      <w:pPr>
        <w:tabs>
          <w:tab w:val="num" w:pos="2880"/>
        </w:tabs>
        <w:ind w:left="2880" w:hanging="360"/>
      </w:pPr>
      <w:rPr>
        <w:rFonts w:ascii="Wingdings 3" w:hAnsi="Wingdings 3" w:hint="default"/>
      </w:rPr>
    </w:lvl>
    <w:lvl w:ilvl="4" w:tplc="6A3CE210" w:tentative="1">
      <w:start w:val="1"/>
      <w:numFmt w:val="bullet"/>
      <w:lvlText w:val=""/>
      <w:lvlJc w:val="left"/>
      <w:pPr>
        <w:tabs>
          <w:tab w:val="num" w:pos="3600"/>
        </w:tabs>
        <w:ind w:left="3600" w:hanging="360"/>
      </w:pPr>
      <w:rPr>
        <w:rFonts w:ascii="Wingdings 3" w:hAnsi="Wingdings 3" w:hint="default"/>
      </w:rPr>
    </w:lvl>
    <w:lvl w:ilvl="5" w:tplc="13FADC70" w:tentative="1">
      <w:start w:val="1"/>
      <w:numFmt w:val="bullet"/>
      <w:lvlText w:val=""/>
      <w:lvlJc w:val="left"/>
      <w:pPr>
        <w:tabs>
          <w:tab w:val="num" w:pos="4320"/>
        </w:tabs>
        <w:ind w:left="4320" w:hanging="360"/>
      </w:pPr>
      <w:rPr>
        <w:rFonts w:ascii="Wingdings 3" w:hAnsi="Wingdings 3" w:hint="default"/>
      </w:rPr>
    </w:lvl>
    <w:lvl w:ilvl="6" w:tplc="40FA3886" w:tentative="1">
      <w:start w:val="1"/>
      <w:numFmt w:val="bullet"/>
      <w:lvlText w:val=""/>
      <w:lvlJc w:val="left"/>
      <w:pPr>
        <w:tabs>
          <w:tab w:val="num" w:pos="5040"/>
        </w:tabs>
        <w:ind w:left="5040" w:hanging="360"/>
      </w:pPr>
      <w:rPr>
        <w:rFonts w:ascii="Wingdings 3" w:hAnsi="Wingdings 3" w:hint="default"/>
      </w:rPr>
    </w:lvl>
    <w:lvl w:ilvl="7" w:tplc="BE320A02" w:tentative="1">
      <w:start w:val="1"/>
      <w:numFmt w:val="bullet"/>
      <w:lvlText w:val=""/>
      <w:lvlJc w:val="left"/>
      <w:pPr>
        <w:tabs>
          <w:tab w:val="num" w:pos="5760"/>
        </w:tabs>
        <w:ind w:left="5760" w:hanging="360"/>
      </w:pPr>
      <w:rPr>
        <w:rFonts w:ascii="Wingdings 3" w:hAnsi="Wingdings 3" w:hint="default"/>
      </w:rPr>
    </w:lvl>
    <w:lvl w:ilvl="8" w:tplc="458A39B8"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72C366AB"/>
    <w:multiLevelType w:val="hybridMultilevel"/>
    <w:tmpl w:val="00E25980"/>
    <w:lvl w:ilvl="0" w:tplc="3D9C144C">
      <w:numFmt w:val="bullet"/>
      <w:lvlText w:val="-"/>
      <w:lvlJc w:val="left"/>
      <w:pPr>
        <w:ind w:left="720" w:hanging="360"/>
      </w:pPr>
      <w:rPr>
        <w:rFonts w:ascii="Tahoma" w:eastAsia="Calibri" w:hAnsi="Tahoma" w:cs="Tahom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78D2606"/>
    <w:multiLevelType w:val="hybridMultilevel"/>
    <w:tmpl w:val="FD3C8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9FD2C5D"/>
    <w:multiLevelType w:val="hybridMultilevel"/>
    <w:tmpl w:val="65642658"/>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num w:numId="1">
    <w:abstractNumId w:val="7"/>
  </w:num>
  <w:num w:numId="2">
    <w:abstractNumId w:val="5"/>
  </w:num>
  <w:num w:numId="3">
    <w:abstractNumId w:val="6"/>
  </w:num>
  <w:num w:numId="4">
    <w:abstractNumId w:val="10"/>
  </w:num>
  <w:num w:numId="5">
    <w:abstractNumId w:val="8"/>
  </w:num>
  <w:num w:numId="6">
    <w:abstractNumId w:val="3"/>
  </w:num>
  <w:num w:numId="7">
    <w:abstractNumId w:val="2"/>
  </w:num>
  <w:num w:numId="8">
    <w:abstractNumId w:val="9"/>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2"/>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dirty"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42C"/>
    <w:rsid w:val="0010137D"/>
    <w:rsid w:val="001023E7"/>
    <w:rsid w:val="001B70A7"/>
    <w:rsid w:val="001F44D4"/>
    <w:rsid w:val="001F59D3"/>
    <w:rsid w:val="002009CC"/>
    <w:rsid w:val="00201E84"/>
    <w:rsid w:val="002A0565"/>
    <w:rsid w:val="002C4D14"/>
    <w:rsid w:val="002C689C"/>
    <w:rsid w:val="002F6302"/>
    <w:rsid w:val="0030096A"/>
    <w:rsid w:val="00301743"/>
    <w:rsid w:val="00302DF2"/>
    <w:rsid w:val="003270D8"/>
    <w:rsid w:val="003477D5"/>
    <w:rsid w:val="0034795A"/>
    <w:rsid w:val="003821E3"/>
    <w:rsid w:val="003B7A3B"/>
    <w:rsid w:val="003E2ED3"/>
    <w:rsid w:val="003F53E9"/>
    <w:rsid w:val="003F5BF6"/>
    <w:rsid w:val="00411E2B"/>
    <w:rsid w:val="004534BC"/>
    <w:rsid w:val="004A7148"/>
    <w:rsid w:val="004C79DC"/>
    <w:rsid w:val="004E1F0A"/>
    <w:rsid w:val="004E359F"/>
    <w:rsid w:val="00504F8B"/>
    <w:rsid w:val="005A6891"/>
    <w:rsid w:val="005B3B81"/>
    <w:rsid w:val="005F19D4"/>
    <w:rsid w:val="00670AE0"/>
    <w:rsid w:val="00764DF4"/>
    <w:rsid w:val="007802EF"/>
    <w:rsid w:val="007B5071"/>
    <w:rsid w:val="00815680"/>
    <w:rsid w:val="00844DDF"/>
    <w:rsid w:val="0085042C"/>
    <w:rsid w:val="008C3EBA"/>
    <w:rsid w:val="00902A82"/>
    <w:rsid w:val="00915FB0"/>
    <w:rsid w:val="00985CFB"/>
    <w:rsid w:val="009F420F"/>
    <w:rsid w:val="00A47E7A"/>
    <w:rsid w:val="00A55EC2"/>
    <w:rsid w:val="00A957D3"/>
    <w:rsid w:val="00AA7101"/>
    <w:rsid w:val="00AC350E"/>
    <w:rsid w:val="00AC37DC"/>
    <w:rsid w:val="00AD5545"/>
    <w:rsid w:val="00AF084C"/>
    <w:rsid w:val="00B05D5A"/>
    <w:rsid w:val="00B21148"/>
    <w:rsid w:val="00B5431E"/>
    <w:rsid w:val="00BF33FD"/>
    <w:rsid w:val="00C54B31"/>
    <w:rsid w:val="00C613B2"/>
    <w:rsid w:val="00D07999"/>
    <w:rsid w:val="00D10839"/>
    <w:rsid w:val="00D73F88"/>
    <w:rsid w:val="00D93250"/>
    <w:rsid w:val="00DA425F"/>
    <w:rsid w:val="00DB76C7"/>
    <w:rsid w:val="00E00542"/>
    <w:rsid w:val="00E05FB7"/>
    <w:rsid w:val="00E95A14"/>
    <w:rsid w:val="00EB7D4D"/>
    <w:rsid w:val="00ED53A3"/>
    <w:rsid w:val="00F30C7E"/>
    <w:rsid w:val="00FF3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F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42C"/>
    <w:pPr>
      <w:autoSpaceDE w:val="0"/>
      <w:autoSpaceDN w:val="0"/>
      <w:adjustRightInd w:val="0"/>
      <w:spacing w:before="80"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042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5042C"/>
    <w:pPr>
      <w:autoSpaceDE/>
      <w:autoSpaceDN/>
      <w:adjustRightInd/>
      <w:spacing w:before="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5042C"/>
    <w:rPr>
      <w:rFonts w:ascii="Tahoma" w:hAnsi="Tahoma" w:cs="Tahoma"/>
      <w:sz w:val="16"/>
      <w:szCs w:val="16"/>
    </w:rPr>
  </w:style>
  <w:style w:type="paragraph" w:styleId="NormalWeb">
    <w:name w:val="Normal (Web)"/>
    <w:basedOn w:val="Normal"/>
    <w:uiPriority w:val="99"/>
    <w:unhideWhenUsed/>
    <w:rsid w:val="0085042C"/>
    <w:pPr>
      <w:autoSpaceDE/>
      <w:autoSpaceDN/>
      <w:adjustRightInd/>
      <w:spacing w:before="100" w:beforeAutospacing="1" w:after="100" w:afterAutospacing="1"/>
    </w:pPr>
    <w:rPr>
      <w:sz w:val="24"/>
      <w:szCs w:val="24"/>
    </w:rPr>
  </w:style>
  <w:style w:type="paragraph" w:styleId="ListParagraph">
    <w:name w:val="List Paragraph"/>
    <w:basedOn w:val="Normal"/>
    <w:uiPriority w:val="34"/>
    <w:qFormat/>
    <w:rsid w:val="0085042C"/>
    <w:pPr>
      <w:ind w:left="720"/>
      <w:contextualSpacing/>
    </w:pPr>
  </w:style>
  <w:style w:type="paragraph" w:styleId="Header">
    <w:name w:val="header"/>
    <w:basedOn w:val="Normal"/>
    <w:link w:val="HeaderChar"/>
    <w:uiPriority w:val="99"/>
    <w:unhideWhenUsed/>
    <w:rsid w:val="0085042C"/>
    <w:pPr>
      <w:tabs>
        <w:tab w:val="center" w:pos="4680"/>
        <w:tab w:val="right" w:pos="9360"/>
      </w:tabs>
      <w:spacing w:before="0"/>
    </w:pPr>
  </w:style>
  <w:style w:type="character" w:customStyle="1" w:styleId="HeaderChar">
    <w:name w:val="Header Char"/>
    <w:basedOn w:val="DefaultParagraphFont"/>
    <w:link w:val="Header"/>
    <w:uiPriority w:val="99"/>
    <w:rsid w:val="0085042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5042C"/>
    <w:pPr>
      <w:tabs>
        <w:tab w:val="center" w:pos="4680"/>
        <w:tab w:val="right" w:pos="9360"/>
      </w:tabs>
      <w:spacing w:before="0"/>
    </w:pPr>
  </w:style>
  <w:style w:type="character" w:customStyle="1" w:styleId="FooterChar">
    <w:name w:val="Footer Char"/>
    <w:basedOn w:val="DefaultParagraphFont"/>
    <w:link w:val="Footer"/>
    <w:uiPriority w:val="99"/>
    <w:rsid w:val="0085042C"/>
    <w:rPr>
      <w:rFonts w:ascii="Times New Roman" w:eastAsia="Times New Roman" w:hAnsi="Times New Roman" w:cs="Times New Roman"/>
      <w:sz w:val="20"/>
      <w:szCs w:val="20"/>
    </w:rPr>
  </w:style>
  <w:style w:type="character" w:styleId="Hyperlink">
    <w:name w:val="Hyperlink"/>
    <w:basedOn w:val="DefaultParagraphFont"/>
    <w:uiPriority w:val="99"/>
    <w:unhideWhenUsed/>
    <w:rsid w:val="0085042C"/>
    <w:rPr>
      <w:color w:val="0000FF" w:themeColor="hyperlink"/>
      <w:u w:val="single"/>
    </w:rPr>
  </w:style>
  <w:style w:type="character" w:styleId="CommentReference">
    <w:name w:val="annotation reference"/>
    <w:basedOn w:val="DefaultParagraphFont"/>
    <w:uiPriority w:val="99"/>
    <w:semiHidden/>
    <w:unhideWhenUsed/>
    <w:rsid w:val="001F44D4"/>
    <w:rPr>
      <w:sz w:val="16"/>
      <w:szCs w:val="16"/>
    </w:rPr>
  </w:style>
  <w:style w:type="paragraph" w:styleId="CommentText">
    <w:name w:val="annotation text"/>
    <w:basedOn w:val="Normal"/>
    <w:link w:val="CommentTextChar"/>
    <w:uiPriority w:val="99"/>
    <w:semiHidden/>
    <w:unhideWhenUsed/>
    <w:rsid w:val="001F44D4"/>
  </w:style>
  <w:style w:type="character" w:customStyle="1" w:styleId="CommentTextChar">
    <w:name w:val="Comment Text Char"/>
    <w:basedOn w:val="DefaultParagraphFont"/>
    <w:link w:val="CommentText"/>
    <w:uiPriority w:val="99"/>
    <w:semiHidden/>
    <w:rsid w:val="001F44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44D4"/>
    <w:rPr>
      <w:b/>
      <w:bCs/>
    </w:rPr>
  </w:style>
  <w:style w:type="character" w:customStyle="1" w:styleId="CommentSubjectChar">
    <w:name w:val="Comment Subject Char"/>
    <w:basedOn w:val="CommentTextChar"/>
    <w:link w:val="CommentSubject"/>
    <w:uiPriority w:val="99"/>
    <w:semiHidden/>
    <w:rsid w:val="001F44D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477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04244">
      <w:bodyDiv w:val="1"/>
      <w:marLeft w:val="0"/>
      <w:marRight w:val="0"/>
      <w:marTop w:val="0"/>
      <w:marBottom w:val="0"/>
      <w:divBdr>
        <w:top w:val="none" w:sz="0" w:space="0" w:color="auto"/>
        <w:left w:val="none" w:sz="0" w:space="0" w:color="auto"/>
        <w:bottom w:val="none" w:sz="0" w:space="0" w:color="auto"/>
        <w:right w:val="none" w:sz="0" w:space="0" w:color="auto"/>
      </w:divBdr>
      <w:divsChild>
        <w:div w:id="1831827221">
          <w:marLeft w:val="576"/>
          <w:marRight w:val="0"/>
          <w:marTop w:val="80"/>
          <w:marBottom w:val="0"/>
          <w:divBdr>
            <w:top w:val="none" w:sz="0" w:space="0" w:color="auto"/>
            <w:left w:val="none" w:sz="0" w:space="0" w:color="auto"/>
            <w:bottom w:val="none" w:sz="0" w:space="0" w:color="auto"/>
            <w:right w:val="none" w:sz="0" w:space="0" w:color="auto"/>
          </w:divBdr>
        </w:div>
      </w:divsChild>
    </w:div>
    <w:div w:id="100609189">
      <w:bodyDiv w:val="1"/>
      <w:marLeft w:val="0"/>
      <w:marRight w:val="0"/>
      <w:marTop w:val="0"/>
      <w:marBottom w:val="0"/>
      <w:divBdr>
        <w:top w:val="none" w:sz="0" w:space="0" w:color="auto"/>
        <w:left w:val="none" w:sz="0" w:space="0" w:color="auto"/>
        <w:bottom w:val="none" w:sz="0" w:space="0" w:color="auto"/>
        <w:right w:val="none" w:sz="0" w:space="0" w:color="auto"/>
      </w:divBdr>
      <w:divsChild>
        <w:div w:id="101999375">
          <w:marLeft w:val="1166"/>
          <w:marRight w:val="0"/>
          <w:marTop w:val="115"/>
          <w:marBottom w:val="0"/>
          <w:divBdr>
            <w:top w:val="none" w:sz="0" w:space="0" w:color="auto"/>
            <w:left w:val="none" w:sz="0" w:space="0" w:color="auto"/>
            <w:bottom w:val="none" w:sz="0" w:space="0" w:color="auto"/>
            <w:right w:val="none" w:sz="0" w:space="0" w:color="auto"/>
          </w:divBdr>
        </w:div>
        <w:div w:id="1392078678">
          <w:marLeft w:val="1166"/>
          <w:marRight w:val="0"/>
          <w:marTop w:val="115"/>
          <w:marBottom w:val="0"/>
          <w:divBdr>
            <w:top w:val="none" w:sz="0" w:space="0" w:color="auto"/>
            <w:left w:val="none" w:sz="0" w:space="0" w:color="auto"/>
            <w:bottom w:val="none" w:sz="0" w:space="0" w:color="auto"/>
            <w:right w:val="none" w:sz="0" w:space="0" w:color="auto"/>
          </w:divBdr>
        </w:div>
        <w:div w:id="1724787161">
          <w:marLeft w:val="1166"/>
          <w:marRight w:val="0"/>
          <w:marTop w:val="115"/>
          <w:marBottom w:val="0"/>
          <w:divBdr>
            <w:top w:val="none" w:sz="0" w:space="0" w:color="auto"/>
            <w:left w:val="none" w:sz="0" w:space="0" w:color="auto"/>
            <w:bottom w:val="none" w:sz="0" w:space="0" w:color="auto"/>
            <w:right w:val="none" w:sz="0" w:space="0" w:color="auto"/>
          </w:divBdr>
        </w:div>
      </w:divsChild>
    </w:div>
    <w:div w:id="111439933">
      <w:bodyDiv w:val="1"/>
      <w:marLeft w:val="0"/>
      <w:marRight w:val="0"/>
      <w:marTop w:val="0"/>
      <w:marBottom w:val="0"/>
      <w:divBdr>
        <w:top w:val="none" w:sz="0" w:space="0" w:color="auto"/>
        <w:left w:val="none" w:sz="0" w:space="0" w:color="auto"/>
        <w:bottom w:val="none" w:sz="0" w:space="0" w:color="auto"/>
        <w:right w:val="none" w:sz="0" w:space="0" w:color="auto"/>
      </w:divBdr>
    </w:div>
    <w:div w:id="282156485">
      <w:bodyDiv w:val="1"/>
      <w:marLeft w:val="0"/>
      <w:marRight w:val="0"/>
      <w:marTop w:val="0"/>
      <w:marBottom w:val="0"/>
      <w:divBdr>
        <w:top w:val="none" w:sz="0" w:space="0" w:color="auto"/>
        <w:left w:val="none" w:sz="0" w:space="0" w:color="auto"/>
        <w:bottom w:val="none" w:sz="0" w:space="0" w:color="auto"/>
        <w:right w:val="none" w:sz="0" w:space="0" w:color="auto"/>
      </w:divBdr>
    </w:div>
    <w:div w:id="416363728">
      <w:bodyDiv w:val="1"/>
      <w:marLeft w:val="0"/>
      <w:marRight w:val="0"/>
      <w:marTop w:val="0"/>
      <w:marBottom w:val="0"/>
      <w:divBdr>
        <w:top w:val="none" w:sz="0" w:space="0" w:color="auto"/>
        <w:left w:val="none" w:sz="0" w:space="0" w:color="auto"/>
        <w:bottom w:val="none" w:sz="0" w:space="0" w:color="auto"/>
        <w:right w:val="none" w:sz="0" w:space="0" w:color="auto"/>
      </w:divBdr>
    </w:div>
    <w:div w:id="530074562">
      <w:bodyDiv w:val="1"/>
      <w:marLeft w:val="0"/>
      <w:marRight w:val="0"/>
      <w:marTop w:val="0"/>
      <w:marBottom w:val="0"/>
      <w:divBdr>
        <w:top w:val="none" w:sz="0" w:space="0" w:color="auto"/>
        <w:left w:val="none" w:sz="0" w:space="0" w:color="auto"/>
        <w:bottom w:val="none" w:sz="0" w:space="0" w:color="auto"/>
        <w:right w:val="none" w:sz="0" w:space="0" w:color="auto"/>
      </w:divBdr>
      <w:divsChild>
        <w:div w:id="1519387636">
          <w:marLeft w:val="1166"/>
          <w:marRight w:val="0"/>
          <w:marTop w:val="115"/>
          <w:marBottom w:val="0"/>
          <w:divBdr>
            <w:top w:val="none" w:sz="0" w:space="0" w:color="auto"/>
            <w:left w:val="none" w:sz="0" w:space="0" w:color="auto"/>
            <w:bottom w:val="none" w:sz="0" w:space="0" w:color="auto"/>
            <w:right w:val="none" w:sz="0" w:space="0" w:color="auto"/>
          </w:divBdr>
        </w:div>
      </w:divsChild>
    </w:div>
    <w:div w:id="862204084">
      <w:bodyDiv w:val="1"/>
      <w:marLeft w:val="0"/>
      <w:marRight w:val="0"/>
      <w:marTop w:val="0"/>
      <w:marBottom w:val="0"/>
      <w:divBdr>
        <w:top w:val="none" w:sz="0" w:space="0" w:color="auto"/>
        <w:left w:val="none" w:sz="0" w:space="0" w:color="auto"/>
        <w:bottom w:val="none" w:sz="0" w:space="0" w:color="auto"/>
        <w:right w:val="none" w:sz="0" w:space="0" w:color="auto"/>
      </w:divBdr>
    </w:div>
    <w:div w:id="927621002">
      <w:bodyDiv w:val="1"/>
      <w:marLeft w:val="0"/>
      <w:marRight w:val="0"/>
      <w:marTop w:val="0"/>
      <w:marBottom w:val="0"/>
      <w:divBdr>
        <w:top w:val="none" w:sz="0" w:space="0" w:color="auto"/>
        <w:left w:val="none" w:sz="0" w:space="0" w:color="auto"/>
        <w:bottom w:val="none" w:sz="0" w:space="0" w:color="auto"/>
        <w:right w:val="none" w:sz="0" w:space="0" w:color="auto"/>
      </w:divBdr>
      <w:divsChild>
        <w:div w:id="1411930927">
          <w:marLeft w:val="979"/>
          <w:marRight w:val="0"/>
          <w:marTop w:val="65"/>
          <w:marBottom w:val="0"/>
          <w:divBdr>
            <w:top w:val="none" w:sz="0" w:space="0" w:color="auto"/>
            <w:left w:val="none" w:sz="0" w:space="0" w:color="auto"/>
            <w:bottom w:val="none" w:sz="0" w:space="0" w:color="auto"/>
            <w:right w:val="none" w:sz="0" w:space="0" w:color="auto"/>
          </w:divBdr>
        </w:div>
      </w:divsChild>
    </w:div>
    <w:div w:id="1102457419">
      <w:bodyDiv w:val="1"/>
      <w:marLeft w:val="0"/>
      <w:marRight w:val="0"/>
      <w:marTop w:val="0"/>
      <w:marBottom w:val="0"/>
      <w:divBdr>
        <w:top w:val="none" w:sz="0" w:space="0" w:color="auto"/>
        <w:left w:val="none" w:sz="0" w:space="0" w:color="auto"/>
        <w:bottom w:val="none" w:sz="0" w:space="0" w:color="auto"/>
        <w:right w:val="none" w:sz="0" w:space="0" w:color="auto"/>
      </w:divBdr>
    </w:div>
    <w:div w:id="1106970207">
      <w:bodyDiv w:val="1"/>
      <w:marLeft w:val="0"/>
      <w:marRight w:val="0"/>
      <w:marTop w:val="0"/>
      <w:marBottom w:val="0"/>
      <w:divBdr>
        <w:top w:val="none" w:sz="0" w:space="0" w:color="auto"/>
        <w:left w:val="none" w:sz="0" w:space="0" w:color="auto"/>
        <w:bottom w:val="none" w:sz="0" w:space="0" w:color="auto"/>
        <w:right w:val="none" w:sz="0" w:space="0" w:color="auto"/>
      </w:divBdr>
    </w:div>
    <w:div w:id="1454205528">
      <w:bodyDiv w:val="1"/>
      <w:marLeft w:val="0"/>
      <w:marRight w:val="0"/>
      <w:marTop w:val="0"/>
      <w:marBottom w:val="0"/>
      <w:divBdr>
        <w:top w:val="none" w:sz="0" w:space="0" w:color="auto"/>
        <w:left w:val="none" w:sz="0" w:space="0" w:color="auto"/>
        <w:bottom w:val="none" w:sz="0" w:space="0" w:color="auto"/>
        <w:right w:val="none" w:sz="0" w:space="0" w:color="auto"/>
      </w:divBdr>
      <w:divsChild>
        <w:div w:id="1825655428">
          <w:marLeft w:val="979"/>
          <w:marRight w:val="0"/>
          <w:marTop w:val="65"/>
          <w:marBottom w:val="0"/>
          <w:divBdr>
            <w:top w:val="none" w:sz="0" w:space="0" w:color="auto"/>
            <w:left w:val="none" w:sz="0" w:space="0" w:color="auto"/>
            <w:bottom w:val="none" w:sz="0" w:space="0" w:color="auto"/>
            <w:right w:val="none" w:sz="0" w:space="0" w:color="auto"/>
          </w:divBdr>
        </w:div>
        <w:div w:id="1159923214">
          <w:marLeft w:val="979"/>
          <w:marRight w:val="0"/>
          <w:marTop w:val="65"/>
          <w:marBottom w:val="0"/>
          <w:divBdr>
            <w:top w:val="none" w:sz="0" w:space="0" w:color="auto"/>
            <w:left w:val="none" w:sz="0" w:space="0" w:color="auto"/>
            <w:bottom w:val="none" w:sz="0" w:space="0" w:color="auto"/>
            <w:right w:val="none" w:sz="0" w:space="0" w:color="auto"/>
          </w:divBdr>
        </w:div>
      </w:divsChild>
    </w:div>
    <w:div w:id="1540849153">
      <w:bodyDiv w:val="1"/>
      <w:marLeft w:val="0"/>
      <w:marRight w:val="0"/>
      <w:marTop w:val="0"/>
      <w:marBottom w:val="0"/>
      <w:divBdr>
        <w:top w:val="none" w:sz="0" w:space="0" w:color="auto"/>
        <w:left w:val="none" w:sz="0" w:space="0" w:color="auto"/>
        <w:bottom w:val="none" w:sz="0" w:space="0" w:color="auto"/>
        <w:right w:val="none" w:sz="0" w:space="0" w:color="auto"/>
      </w:divBdr>
    </w:div>
    <w:div w:id="1666785190">
      <w:bodyDiv w:val="1"/>
      <w:marLeft w:val="0"/>
      <w:marRight w:val="0"/>
      <w:marTop w:val="0"/>
      <w:marBottom w:val="0"/>
      <w:divBdr>
        <w:top w:val="none" w:sz="0" w:space="0" w:color="auto"/>
        <w:left w:val="none" w:sz="0" w:space="0" w:color="auto"/>
        <w:bottom w:val="none" w:sz="0" w:space="0" w:color="auto"/>
        <w:right w:val="none" w:sz="0" w:space="0" w:color="auto"/>
      </w:divBdr>
    </w:div>
    <w:div w:id="1717464006">
      <w:bodyDiv w:val="1"/>
      <w:marLeft w:val="0"/>
      <w:marRight w:val="0"/>
      <w:marTop w:val="0"/>
      <w:marBottom w:val="0"/>
      <w:divBdr>
        <w:top w:val="none" w:sz="0" w:space="0" w:color="auto"/>
        <w:left w:val="none" w:sz="0" w:space="0" w:color="auto"/>
        <w:bottom w:val="none" w:sz="0" w:space="0" w:color="auto"/>
        <w:right w:val="none" w:sz="0" w:space="0" w:color="auto"/>
      </w:divBdr>
    </w:div>
    <w:div w:id="1802723161">
      <w:bodyDiv w:val="1"/>
      <w:marLeft w:val="0"/>
      <w:marRight w:val="0"/>
      <w:marTop w:val="0"/>
      <w:marBottom w:val="0"/>
      <w:divBdr>
        <w:top w:val="none" w:sz="0" w:space="0" w:color="auto"/>
        <w:left w:val="none" w:sz="0" w:space="0" w:color="auto"/>
        <w:bottom w:val="none" w:sz="0" w:space="0" w:color="auto"/>
        <w:right w:val="none" w:sz="0" w:space="0" w:color="auto"/>
      </w:divBdr>
    </w:div>
    <w:div w:id="1840923710">
      <w:bodyDiv w:val="1"/>
      <w:marLeft w:val="0"/>
      <w:marRight w:val="0"/>
      <w:marTop w:val="0"/>
      <w:marBottom w:val="0"/>
      <w:divBdr>
        <w:top w:val="none" w:sz="0" w:space="0" w:color="auto"/>
        <w:left w:val="none" w:sz="0" w:space="0" w:color="auto"/>
        <w:bottom w:val="none" w:sz="0" w:space="0" w:color="auto"/>
        <w:right w:val="none" w:sz="0" w:space="0" w:color="auto"/>
      </w:divBdr>
      <w:divsChild>
        <w:div w:id="1098595225">
          <w:marLeft w:val="0"/>
          <w:marRight w:val="0"/>
          <w:marTop w:val="0"/>
          <w:marBottom w:val="0"/>
          <w:divBdr>
            <w:top w:val="none" w:sz="0" w:space="0" w:color="auto"/>
            <w:left w:val="none" w:sz="0" w:space="0" w:color="auto"/>
            <w:bottom w:val="none" w:sz="0" w:space="0" w:color="auto"/>
            <w:right w:val="none" w:sz="0" w:space="0" w:color="auto"/>
          </w:divBdr>
          <w:divsChild>
            <w:div w:id="1233127633">
              <w:marLeft w:val="0"/>
              <w:marRight w:val="336"/>
              <w:marTop w:val="0"/>
              <w:marBottom w:val="0"/>
              <w:divBdr>
                <w:top w:val="none" w:sz="0" w:space="0" w:color="auto"/>
                <w:left w:val="none" w:sz="0" w:space="0" w:color="auto"/>
                <w:bottom w:val="none" w:sz="0" w:space="0" w:color="auto"/>
                <w:right w:val="none" w:sz="0" w:space="0" w:color="auto"/>
              </w:divBdr>
              <w:divsChild>
                <w:div w:id="588924918">
                  <w:marLeft w:val="0"/>
                  <w:marRight w:val="0"/>
                  <w:marTop w:val="0"/>
                  <w:marBottom w:val="0"/>
                  <w:divBdr>
                    <w:top w:val="none" w:sz="0" w:space="0" w:color="auto"/>
                    <w:left w:val="none" w:sz="0" w:space="0" w:color="auto"/>
                    <w:bottom w:val="none" w:sz="0" w:space="0" w:color="auto"/>
                    <w:right w:val="none" w:sz="0" w:space="0" w:color="auto"/>
                  </w:divBdr>
                  <w:divsChild>
                    <w:div w:id="1555509039">
                      <w:marLeft w:val="0"/>
                      <w:marRight w:val="0"/>
                      <w:marTop w:val="0"/>
                      <w:marBottom w:val="0"/>
                      <w:divBdr>
                        <w:top w:val="single" w:sz="4" w:space="6" w:color="E9E9E9"/>
                        <w:left w:val="single" w:sz="4" w:space="6" w:color="E9E9E9"/>
                        <w:bottom w:val="single" w:sz="4" w:space="6" w:color="E9E9E9"/>
                        <w:right w:val="single" w:sz="4" w:space="6" w:color="E9E9E9"/>
                      </w:divBdr>
                    </w:div>
                  </w:divsChild>
                </w:div>
              </w:divsChild>
            </w:div>
          </w:divsChild>
        </w:div>
      </w:divsChild>
    </w:div>
    <w:div w:id="1867788255">
      <w:bodyDiv w:val="1"/>
      <w:marLeft w:val="0"/>
      <w:marRight w:val="0"/>
      <w:marTop w:val="0"/>
      <w:marBottom w:val="0"/>
      <w:divBdr>
        <w:top w:val="none" w:sz="0" w:space="0" w:color="auto"/>
        <w:left w:val="none" w:sz="0" w:space="0" w:color="auto"/>
        <w:bottom w:val="none" w:sz="0" w:space="0" w:color="auto"/>
        <w:right w:val="none" w:sz="0" w:space="0" w:color="auto"/>
      </w:divBdr>
    </w:div>
    <w:div w:id="1916158455">
      <w:bodyDiv w:val="1"/>
      <w:marLeft w:val="0"/>
      <w:marRight w:val="0"/>
      <w:marTop w:val="0"/>
      <w:marBottom w:val="0"/>
      <w:divBdr>
        <w:top w:val="none" w:sz="0" w:space="0" w:color="auto"/>
        <w:left w:val="none" w:sz="0" w:space="0" w:color="auto"/>
        <w:bottom w:val="none" w:sz="0" w:space="0" w:color="auto"/>
        <w:right w:val="none" w:sz="0" w:space="0" w:color="auto"/>
      </w:divBdr>
      <w:divsChild>
        <w:div w:id="1968470294">
          <w:marLeft w:val="1800"/>
          <w:marRight w:val="0"/>
          <w:marTop w:val="96"/>
          <w:marBottom w:val="0"/>
          <w:divBdr>
            <w:top w:val="none" w:sz="0" w:space="0" w:color="auto"/>
            <w:left w:val="none" w:sz="0" w:space="0" w:color="auto"/>
            <w:bottom w:val="none" w:sz="0" w:space="0" w:color="auto"/>
            <w:right w:val="none" w:sz="0" w:space="0" w:color="auto"/>
          </w:divBdr>
        </w:div>
      </w:divsChild>
    </w:div>
    <w:div w:id="2094352865">
      <w:bodyDiv w:val="1"/>
      <w:marLeft w:val="0"/>
      <w:marRight w:val="0"/>
      <w:marTop w:val="0"/>
      <w:marBottom w:val="0"/>
      <w:divBdr>
        <w:top w:val="none" w:sz="0" w:space="0" w:color="auto"/>
        <w:left w:val="none" w:sz="0" w:space="0" w:color="auto"/>
        <w:bottom w:val="none" w:sz="0" w:space="0" w:color="auto"/>
        <w:right w:val="none" w:sz="0" w:space="0" w:color="auto"/>
      </w:divBdr>
      <w:divsChild>
        <w:div w:id="1541673832">
          <w:marLeft w:val="1800"/>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orporate.ppg.com/Our-Company/Ethics.aspx" TargetMode="External"/><Relationship Id="rId18" Type="http://schemas.openxmlformats.org/officeDocument/2006/relationships/hyperlink" Target="https://one.web.ppg.com/na/ethics/en/Pages/Third-Party-Due-.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one.web.ppg.com/na/globalfinance/policies/Documents/CM.pdf" TargetMode="External"/><Relationship Id="rId17" Type="http://schemas.openxmlformats.org/officeDocument/2006/relationships/hyperlink" Target="https://one.web.ppg.com/na/globalfinance/policies/Documents/CM.pdf" TargetMode="External"/><Relationship Id="rId2" Type="http://schemas.openxmlformats.org/officeDocument/2006/relationships/customXml" Target="../customXml/item2.xml"/><Relationship Id="rId16" Type="http://schemas.openxmlformats.org/officeDocument/2006/relationships/hyperlink" Target="https://one.web.ppg.com/na/travel/TE/Policies/2018%20Policies/PPG%20Global%20Travel%20Policy%20030118.pdf" TargetMode="External"/><Relationship Id="rId20" Type="http://schemas.openxmlformats.org/officeDocument/2006/relationships/hyperlink" Target="https://app.convercent.com/en-us/LandingPage/ada23786-4d8b-e611-810b-000d3ab2feeb"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orporate.ppg.com/Our-Company/Ethics.aspx" TargetMode="External"/><Relationship Id="rId5" Type="http://schemas.openxmlformats.org/officeDocument/2006/relationships/styles" Target="styles.xml"/><Relationship Id="rId15" Type="http://schemas.openxmlformats.org/officeDocument/2006/relationships/hyperlink" Target="https://one.web.ppg.com/na/ethics/en/Pages/Due-Diligence-Policies-and-Procedures.aspx"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corporate.ppg.com/Our-Company/Ethic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orporate.ppg.com/Our-Company/Ethics.aspx"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CC239AD5C10548B01EB05D2CE458CF" ma:contentTypeVersion="4" ma:contentTypeDescription="Create a new document." ma:contentTypeScope="" ma:versionID="65fd16864e68018b9e3939b8f0f274a4">
  <xsd:schema xmlns:xsd="http://www.w3.org/2001/XMLSchema" xmlns:xs="http://www.w3.org/2001/XMLSchema" xmlns:p="http://schemas.microsoft.com/office/2006/metadata/properties" xmlns:ns1="http://schemas.microsoft.com/sharepoint/v3" xmlns:ns2="a78e3f42-8b58-4cf5-a404-787808b7749f" targetNamespace="http://schemas.microsoft.com/office/2006/metadata/properties" ma:root="true" ma:fieldsID="450291bc940ef47ead59f383331a6da3" ns1:_="" ns2:_="">
    <xsd:import namespace="http://schemas.microsoft.com/sharepoint/v3"/>
    <xsd:import namespace="a78e3f42-8b58-4cf5-a404-787808b7749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8e3f42-8b58-4cf5-a404-787808b7749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829663-5853-4DD1-8258-892CFC41AC7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794DA8A-4275-404A-8F87-31BF73144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8e3f42-8b58-4cf5-a404-787808b77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8AC8B-8DD9-4129-AC12-EBA15D9F60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1853</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2019-11-26T20:23:00Z</dcterms:created>
  <dcterms:modified xsi:type="dcterms:W3CDTF">2020-01-14T15:18:00Z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0x01010096CC239AD5C10548B01EB05D2CE458CF</vt:lpwstr>
  </property>
  <property fmtid="{D5CDD505-2E9C-101B-9397-08002B2CF9AE}" pid="3" name="Order">
    <vt:r8>900</vt:r8>
  </property>
  <property fmtid="{D5CDD505-2E9C-101B-9397-08002B2CF9AE}" pid="4" name="xd_ProgID">
    <vt:lpwstr/>
  </property>
  <property fmtid="{D5CDD505-2E9C-101B-9397-08002B2CF9AE}" pid="5" name="TemplateUrl">
    <vt:lpwstr/>
  </property>
</Properties>
</file>