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D85C3" w14:textId="77777777" w:rsidR="0085042C" w:rsidRDefault="00D73F88">
      <w:pPr>
        <w:pStyle w:val="Default"/>
      </w:pPr>
      <w:r>
        <w:drawing>
          <wp:inline distT="0" distB="0" distL="0" distR="0" wp14:anchorId="20406005" wp14:editId="60B069B2">
            <wp:extent cx="97155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160D4" w14:textId="77777777" w:rsidR="0085042C" w:rsidRPr="00AA7101" w:rsidRDefault="002A05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POLITICA GLOBALE ANTICORRUZIONE DI PPG</w:t>
      </w:r>
    </w:p>
    <w:p w14:paraId="7E3CA0CB" w14:textId="77777777" w:rsidR="0085042C" w:rsidRDefault="0085042C">
      <w:pPr>
        <w:pStyle w:val="Default"/>
        <w:rPr>
          <w:sz w:val="23"/>
          <w:szCs w:val="23"/>
        </w:rPr>
      </w:pPr>
    </w:p>
    <w:p w14:paraId="76F18EA5" w14:textId="77777777" w:rsidR="0085042C" w:rsidRDefault="002A0565" w:rsidP="00AA7101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Introduzione</w:t>
      </w:r>
    </w:p>
    <w:p w14:paraId="2BFA365F" w14:textId="77777777" w:rsidR="001B70A7" w:rsidRPr="003F5BF6" w:rsidRDefault="001B70A7" w:rsidP="00AA7101">
      <w:pPr>
        <w:pStyle w:val="Default"/>
        <w:jc w:val="center"/>
        <w:rPr>
          <w:b/>
          <w:sz w:val="22"/>
          <w:szCs w:val="22"/>
          <w:u w:val="single"/>
        </w:rPr>
      </w:pPr>
    </w:p>
    <w:p w14:paraId="390499AD" w14:textId="27E590B6" w:rsidR="0085042C" w:rsidRDefault="002A0565">
      <w:pPr>
        <w:pStyle w:val="Default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In qualità di azienda globale operante in oltre 70 Paesi, PPG è tenuta a rispettare una serie di leggi e regolamenti.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Tra queste leggi e regolamenti quelli fondamentali sono quelli contro la concussione e la corruzione.</w:t>
      </w:r>
    </w:p>
    <w:p w14:paraId="00886069" w14:textId="77777777" w:rsidR="0085042C" w:rsidRDefault="002A0565">
      <w:pPr>
        <w:pStyle w:val="Default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0AE75877" w14:textId="2FC8A6FF" w:rsidR="0085042C" w:rsidRDefault="002A0565">
      <w:pPr>
        <w:rPr>
          <w:sz w:val="22"/>
          <w:szCs w:val="22"/>
          <w:rFonts w:asciiTheme="minorHAnsi" w:hAnsiTheme="minorHAnsi"/>
        </w:rPr>
      </w:pPr>
      <w:r>
        <w:t xml:space="preserve">In riconoscimento di questi requisiti e per sottolineare il nostro impegno verso il nostro </w:t>
      </w:r>
      <w:hyperlink r:id="rId11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Codice etico globale</w:t>
        </w:r>
      </w:hyperlink>
      <w:r>
        <w:t xml:space="preserve"> ("Codice") di agire con integrità e contro la corruzione, PPG istituisce una Politica globale anticorruzione ("Politica").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La Politica è applicabile a PPG, Industries, Inc. (“PPG”) e tutte le sue società interamente o parzialmente controllate (“sussidiarie”) in tutto il mondo.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Questa Politica si basa sul nostro codice per rafforzare il numero crescente di norme e principi che regolano la nostra condotta al fine di osservare le rigorose leggi contro la concussione e la corruzione in vigore in tutto il mondo.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6839892C" w14:textId="77777777" w:rsidR="0085042C" w:rsidRDefault="0085042C">
      <w:pPr>
        <w:pStyle w:val="Default"/>
        <w:rPr>
          <w:rFonts w:asciiTheme="minorHAnsi" w:hAnsiTheme="minorHAnsi"/>
          <w:sz w:val="22"/>
          <w:szCs w:val="22"/>
        </w:rPr>
      </w:pPr>
    </w:p>
    <w:p w14:paraId="70F27C33" w14:textId="422766A1" w:rsidR="004E1F0A" w:rsidRPr="004E1F0A" w:rsidRDefault="00D07999" w:rsidP="004E1F0A">
      <w:pPr>
        <w:pStyle w:val="Default"/>
        <w:spacing w:after="2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Ogni paese in cui opera PPG è soggetto a una o più di queste leggi.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Tra di esse vi sono la Foreign Corrupt Practices Act (FCPA) degli Stati Uniti, Loi Sapin 2 in Francia, il sistema nazionale anticorruzione messicano, la Bribery Act del Regno Unito, il codice penale cinese e la Clean Companies Act brasiliana.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Sebbene esistano alcune differenze tra queste leggi, tutte sono state adottate per eliminare la corruzione e ripristinare la fiducia del pubblico nell'integrità del mercato globale, oltre a promuovere un ambiente commerciale equo e competitivo all'interno del quale condurre affari.</w:t>
      </w:r>
      <w:r>
        <w:rPr>
          <w:sz w:val="22"/>
          <w:szCs w:val="22"/>
          <w:rFonts w:asciiTheme="minorHAnsi" w:hAnsiTheme="minorHAnsi"/>
        </w:rPr>
        <w:t xml:space="preserve">  </w:t>
      </w:r>
    </w:p>
    <w:p w14:paraId="2193A93D" w14:textId="77777777" w:rsidR="0085042C" w:rsidRPr="00D07999" w:rsidRDefault="00F30C7E" w:rsidP="00411E2B">
      <w:pPr>
        <w:spacing w:after="240"/>
        <w:jc w:val="center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Politica</w:t>
      </w:r>
      <w:r>
        <w:rPr>
          <w:b/>
          <w:sz w:val="22"/>
          <w:szCs w:val="22"/>
          <w:u w:val="single"/>
          <w:rFonts w:asciiTheme="minorHAnsi" w:hAnsiTheme="minorHAnsi"/>
        </w:rPr>
        <w:t xml:space="preserve"> </w:t>
      </w:r>
    </w:p>
    <w:p w14:paraId="38D0549D" w14:textId="77777777" w:rsidR="0085042C" w:rsidRDefault="00915FB0">
      <w:pPr>
        <w:pStyle w:val="Default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La nostra politica è:</w:t>
      </w:r>
    </w:p>
    <w:p w14:paraId="2B4AE181" w14:textId="77777777" w:rsidR="00915FB0" w:rsidRPr="00AA7101" w:rsidRDefault="002C4D14" w:rsidP="00AA7101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Proibiamo la corruzione in tutte le nostre attività commerciali e in qualsiasi paese.</w:t>
      </w:r>
      <w:r>
        <w:rPr>
          <w:bCs/>
          <w:sz w:val="22"/>
          <w:szCs w:val="22"/>
          <w:rFonts w:asciiTheme="minorHAnsi" w:hAnsiTheme="minorHAnsi"/>
        </w:rPr>
        <w:t xml:space="preserve">   </w:t>
      </w:r>
    </w:p>
    <w:p w14:paraId="72B9DCDD" w14:textId="77777777" w:rsidR="00915FB0" w:rsidRPr="00AA7101" w:rsidRDefault="00915FB0" w:rsidP="00AA7101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Nessun dipendente PPG o chiunque agisca per conto di PPG può promettere, offrire, dare o accettare tangenti o bustarelle durante la conduzione di affari di PPG.</w:t>
      </w:r>
      <w:r>
        <w:rPr>
          <w:bCs/>
          <w:sz w:val="22"/>
          <w:szCs w:val="22"/>
          <w:rFonts w:asciiTheme="minorHAnsi" w:hAnsiTheme="minorHAnsi"/>
        </w:rPr>
        <w:t xml:space="preserve"> </w:t>
      </w:r>
    </w:p>
    <w:p w14:paraId="5F5B03AB" w14:textId="77777777" w:rsidR="00D07999" w:rsidRDefault="00D07999" w:rsidP="00AA7101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Vietiamo qualsiasi transazione fuori borsa nei confronti dei nostri intermediari terzi, società private, governi o rispettivi agenti</w:t>
      </w:r>
    </w:p>
    <w:p w14:paraId="41A89ADA" w14:textId="77777777" w:rsidR="00915FB0" w:rsidRPr="00AA7101" w:rsidRDefault="002A0565" w:rsidP="00AA7101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Tali divieti si applicano a tutte le transazioni tra PPG e qualsiasi altra parte, sia che si tratti di un ente privato o di un individuo o di un ente/funzionario del governo/della pubblica amministrazione/statale.</w:t>
      </w:r>
    </w:p>
    <w:p w14:paraId="7C496DF7" w14:textId="77777777" w:rsidR="00A47E7A" w:rsidRPr="00AA7101" w:rsidRDefault="002C4D14" w:rsidP="00AA7101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Svilupperemo e manterremo libri e registri completi e sufficientemente dettagliati, che riflettano in modo accurato ed equo le transazioni dell'azienda.</w:t>
      </w:r>
    </w:p>
    <w:p w14:paraId="280C9597" w14:textId="77777777" w:rsidR="00A47E7A" w:rsidRPr="00D07999" w:rsidRDefault="00A47E7A" w:rsidP="00D07999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t xml:space="preserve">Manterremo un sistema di adeguati controlli contabili interni come descritto nella</w:t>
      </w:r>
      <w:r>
        <w:rPr>
          <w:sz w:val="22"/>
          <w:szCs w:val="22"/>
          <w:rFonts w:asciiTheme="minorHAnsi" w:hAnsiTheme="minorHAnsi"/>
        </w:rPr>
        <w:t xml:space="preserve"> </w:t>
      </w:r>
      <w:hyperlink r:id="rId12" w:anchor="search=controller%27s%20manual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Manuale del responsabile del controllo di PPG</w:t>
        </w:r>
      </w:hyperlink>
      <w:r>
        <w:rPr>
          <w:sz w:val="22"/>
          <w:szCs w:val="22"/>
          <w:rFonts w:asciiTheme="minorHAnsi" w:hAnsiTheme="minorHAnsi"/>
        </w:rPr>
        <w:t xml:space="preserve">.</w:t>
      </w:r>
    </w:p>
    <w:p w14:paraId="05D39B40" w14:textId="77777777" w:rsidR="007802EF" w:rsidRDefault="007802EF" w:rsidP="00AA7101">
      <w:pPr>
        <w:ind w:left="90"/>
        <w:rPr>
          <w:rFonts w:asciiTheme="minorHAnsi" w:hAnsiTheme="minorHAnsi"/>
          <w:b/>
          <w:sz w:val="22"/>
          <w:szCs w:val="22"/>
        </w:rPr>
      </w:pPr>
    </w:p>
    <w:p w14:paraId="21F78E1D" w14:textId="33AE93E9" w:rsidR="0085042C" w:rsidRPr="00AA7101" w:rsidRDefault="007802EF" w:rsidP="00AA7101">
      <w:pPr>
        <w:ind w:left="9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sz w:val="22"/>
          <w:szCs w:val="22"/>
          <w:rFonts w:asciiTheme="minorHAnsi" w:hAnsiTheme="minorHAnsi"/>
        </w:rPr>
        <w:t xml:space="preserve">Questa politica integra le sezioni </w:t>
      </w:r>
      <w:hyperlink r:id="rId13" w:history="1">
        <w:r>
          <w:rPr>
            <w:rStyle w:val="Hyperlink"/>
            <w:i/>
            <w:sz w:val="22"/>
            <w:szCs w:val="22"/>
            <w:rFonts w:asciiTheme="minorHAnsi" w:hAnsiTheme="minorHAnsi"/>
          </w:rPr>
          <w:t xml:space="preserve">Concussione e corruzione</w:t>
        </w:r>
      </w:hyperlink>
      <w:r>
        <w:rPr>
          <w:sz w:val="22"/>
          <w:szCs w:val="22"/>
          <w:sz w:val="22"/>
          <w:szCs w:val="22"/>
          <w:rFonts w:asciiTheme="minorHAnsi" w:hAnsiTheme="minorHAnsi"/>
        </w:rPr>
        <w:t xml:space="preserve"> e </w:t>
      </w:r>
      <w:hyperlink r:id="rId14" w:history="1">
        <w:r>
          <w:rPr>
            <w:rStyle w:val="Hyperlink"/>
            <w:i/>
            <w:sz w:val="22"/>
            <w:szCs w:val="22"/>
            <w:rFonts w:asciiTheme="minorHAnsi" w:hAnsiTheme="minorHAnsi"/>
          </w:rPr>
          <w:t xml:space="preserve">Documenti aziendali e finanziari</w:t>
        </w:r>
      </w:hyperlink>
      <w:r>
        <w:rPr>
          <w:sz w:val="22"/>
          <w:szCs w:val="22"/>
          <w:sz w:val="22"/>
          <w:szCs w:val="22"/>
          <w:rFonts w:asciiTheme="minorHAnsi" w:hAnsiTheme="minorHAnsi"/>
        </w:rPr>
        <w:t xml:space="preserve"> del Codice etico globale.</w:t>
      </w:r>
      <w:r>
        <w:rPr>
          <w:sz w:val="22"/>
          <w:szCs w:val="22"/>
          <w:rFonts w:asciiTheme="minorHAnsi" w:hAnsiTheme="minorHAnsi"/>
        </w:rPr>
        <w:t xml:space="preserve">  </w:t>
      </w:r>
      <w:r>
        <w:t xml:space="preserve">Questa politica supporta anche la nostra</w:t>
      </w:r>
      <w:r>
        <w:rPr>
          <w:sz w:val="22"/>
          <w:szCs w:val="22"/>
          <w:rFonts w:asciiTheme="minorHAnsi" w:hAnsiTheme="minorHAnsi"/>
        </w:rPr>
        <w:t xml:space="preserve"> </w:t>
      </w:r>
      <w:hyperlink r:id="rId15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Politica sulla due diligence di terzi</w:t>
        </w:r>
      </w:hyperlink>
      <w:r>
        <w:rPr>
          <w:sz w:val="22"/>
          <w:szCs w:val="22"/>
          <w:rFonts w:asciiTheme="minorHAnsi" w:hAnsiTheme="minorHAnsi"/>
        </w:rPr>
        <w:t xml:space="preserve">.</w:t>
      </w:r>
    </w:p>
    <w:p w14:paraId="3113BA4A" w14:textId="77777777" w:rsidR="00D73F88" w:rsidRDefault="00D73F88">
      <w:pPr>
        <w:autoSpaceDE/>
        <w:autoSpaceDN/>
        <w:adjustRightInd/>
        <w:spacing w:before="0" w:after="200" w:line="276" w:lineRule="auto"/>
        <w:rPr>
          <w:rFonts w:asciiTheme="minorHAnsi" w:hAnsiTheme="minorHAnsi"/>
          <w:sz w:val="22"/>
          <w:szCs w:val="22"/>
        </w:rPr>
      </w:pPr>
    </w:p>
    <w:p w14:paraId="5CDE74DC" w14:textId="77777777" w:rsidR="0085042C" w:rsidRPr="0010137D" w:rsidRDefault="002A0565" w:rsidP="00411E2B">
      <w:pPr>
        <w:jc w:val="center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Guida operativa</w:t>
      </w:r>
    </w:p>
    <w:p w14:paraId="5D35FCCD" w14:textId="4A3B9C21" w:rsidR="0085042C" w:rsidRDefault="002A0565">
      <w:pP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In qualità di dipendenti di PPG, è vostra responsabilità comprendere i seguenti punti:</w:t>
      </w:r>
    </w:p>
    <w:p w14:paraId="7B303F5A" w14:textId="77777777" w:rsidR="00D07999" w:rsidRDefault="00D07999">
      <w:pPr>
        <w:rPr>
          <w:rFonts w:asciiTheme="minorHAnsi" w:hAnsiTheme="minorHAnsi"/>
          <w:sz w:val="22"/>
          <w:szCs w:val="22"/>
        </w:rPr>
      </w:pPr>
    </w:p>
    <w:p w14:paraId="04FB5BB5" w14:textId="64178DD2" w:rsidR="00C613B2" w:rsidRDefault="00411E2B" w:rsidP="00B21148">
      <w:pPr>
        <w:pStyle w:val="ListParagraph"/>
        <w:numPr>
          <w:ilvl w:val="0"/>
          <w:numId w:val="16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Le tangenti non si limitano ai contanti.</w:t>
      </w:r>
      <w:r>
        <w:rPr>
          <w:sz w:val="22"/>
          <w:szCs w:val="22"/>
          <w:b/>
          <w:i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Le tangenti includono "qualsiasi bene di valore" inteso a influenzare in modo improprio una decisione aziendale o governativa.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Nella definizione di "qualunque bene di valore" rientrano contanti, equivalenti in denaro, regali, pasti, intrattenimento, viaggi, proprietà personali, assunzione o perdono di un debito, donazioni di beneficenza, sponsorizzazioni, servizi, offerte di lavoro o altri vantaggi ingiusti.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Gli articoli di valore nominale o piccoli doni/segni d'apprezzamento non sono generalmente considerati tangenti.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39F9D38B" w14:textId="77777777" w:rsidR="00C613B2" w:rsidRDefault="00C613B2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40355C74" w14:textId="0448D6EE" w:rsidR="0085042C" w:rsidRPr="00AA7101" w:rsidRDefault="00B21148" w:rsidP="00B21148">
      <w:pPr>
        <w:spacing w:before="0"/>
        <w:ind w:left="540" w:hanging="36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Qualsiasi tipo di ospitalità aziendale, viaggi, regali, intrattenimenti e pasti deve essere proporzionato all'occasione e rispettare le politiche di PPG e le leggi e i regolamenti locali nel paese in cui si trova il destinatario.</w:t>
      </w:r>
      <w:r>
        <w:t xml:space="preserve"> </w:t>
      </w:r>
      <w:r>
        <w:rPr>
          <w:sz w:val="22"/>
          <w:szCs w:val="22"/>
          <w:rFonts w:asciiTheme="minorHAnsi" w:hAnsiTheme="minorHAnsi"/>
        </w:rPr>
        <w:t xml:space="preserve">Ad esempio, sebbene sia appropriato e accettabile coprire il costo di un viaggio del cliente per visitare una struttura di produzione, ricerca o di altra natura appartenente a PPG per scopi aziendali legittimi, è necessario essere vigili.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La durata della visita deve essere commisurata al tempo necessario per soddisfare lo scopo commerciale e il costo del viaggio deve essere ragionevole e coprire solo i costi effettivi relativi al viaggio.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Eventuali costi non correlati come un'estensione del viaggio, acquisti, servizi, ecc. devono essere pagati dal cliente.</w:t>
      </w:r>
      <w:r>
        <w:rPr>
          <w:sz w:val="22"/>
          <w:szCs w:val="22"/>
          <w:rFonts w:asciiTheme="minorHAnsi" w:hAnsiTheme="minorHAnsi"/>
        </w:rPr>
        <w:t xml:space="preserve"> </w:t>
      </w:r>
      <w:r>
        <w:t xml:space="preserve">Per ulteriori informazioni, consultare la </w:t>
      </w:r>
      <w:hyperlink r:id="rId16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Politica globale di sui viaggi</w:t>
        </w:r>
      </w:hyperlink>
      <w:r>
        <w:t xml:space="preserve"> e il </w:t>
      </w:r>
      <w:hyperlink r:id="rId17" w:anchor="search=controller%27s%20manual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Manuale del responsabile del controllo</w:t>
        </w:r>
      </w:hyperlink>
      <w:r>
        <w:t xml:space="preserve"> di PPG.</w:t>
      </w:r>
    </w:p>
    <w:p w14:paraId="5A28A9A0" w14:textId="77777777" w:rsidR="0085042C" w:rsidRDefault="0085042C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65005702" w14:textId="22201CE8" w:rsidR="0085042C" w:rsidRDefault="00D93250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La tangente non deve essere accettata o andare a buon fine perché la legge risulti infranta.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Secondo le leggi di molti paesi, PPG commetterebbe una violazione anche se l'offerta del pagamento o la bustarella fosse rifiutata.</w:t>
      </w:r>
      <w:r>
        <w:rPr>
          <w:sz w:val="22"/>
          <w:szCs w:val="22"/>
          <w:rFonts w:ascii="Tahoma" w:hAnsi="Tahoma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Inoltre, non importa se un pagamento viene realmente effettuato o se il destinatario fa effettivamente qualcosa per voi.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La violazione si verifica nel momento in cui viene effettuata un'offerta o un pagamento improprio.</w:t>
      </w:r>
    </w:p>
    <w:p w14:paraId="5916D98B" w14:textId="77777777" w:rsidR="0085042C" w:rsidRDefault="0085042C" w:rsidP="00B21148">
      <w:pPr>
        <w:pStyle w:val="ListParagraph"/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5CA47FF6" w14:textId="20EAF6B5" w:rsidR="00670AE0" w:rsidRPr="00670AE0" w:rsidRDefault="00670AE0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Sono illegali anche le tangenti per ottenere permessi, licenze, prodotti e altre approvazioni, ecc.</w:t>
      </w:r>
      <w:r>
        <w:rPr>
          <w:sz w:val="22"/>
          <w:szCs w:val="22"/>
          <w:b/>
          <w:i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La maggior parte delle persone associa tangenti all'ottenimento di affari da un cliente.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Tuttavia, è altrettanto illegale pagare una tangente a un funzionario pubblico o normativo per ottenere altri vantaggi, come un permesso operativo o EHS (ambiente, salute e sicurezza), una riduzione fiscale, l'approvazione o la certificazione di un prodotto, una licenza per condurre affari, ecc.; non potete pagare una bustarella per ottenere vantaggi commerciali impropri.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2DCDF1BC" w14:textId="77777777" w:rsidR="00670AE0" w:rsidRPr="00670AE0" w:rsidRDefault="00670AE0" w:rsidP="00B21148">
      <w:pPr>
        <w:pStyle w:val="ListParagraph"/>
        <w:ind w:left="540" w:hanging="360"/>
        <w:rPr>
          <w:rFonts w:asciiTheme="minorHAnsi" w:hAnsiTheme="minorHAnsi"/>
          <w:b/>
          <w:i/>
          <w:sz w:val="22"/>
          <w:szCs w:val="22"/>
        </w:rPr>
      </w:pPr>
    </w:p>
    <w:p w14:paraId="50BF8C51" w14:textId="77777777" w:rsidR="00844DDF" w:rsidRDefault="00301743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Divieti particolarmente severi si applicano a qualsiasi azione che abbia lo scopo di influenzare indebitamente i funzionari pubblici.</w:t>
      </w:r>
      <w:r>
        <w:rPr>
          <w:sz w:val="22"/>
          <w:szCs w:val="22"/>
          <w:b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La nostra politica proibisce la concussione e la corruzione tra PPG e i suoi partner commerciali oltre ai funzionari/enti pubblici e PPG.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Tuttavia, alcune leggi, tra cui la FCPA degli Stati Uniti, impongono multe e sanzioni </w:t>
      </w:r>
      <w:r>
        <w:rPr>
          <w:sz w:val="22"/>
          <w:szCs w:val="22"/>
          <w:u w:val="single"/>
          <w:rFonts w:asciiTheme="minorHAnsi" w:hAnsiTheme="minorHAnsi"/>
        </w:rPr>
        <w:t xml:space="preserve">particolarmente</w:t>
      </w:r>
      <w:r>
        <w:rPr>
          <w:sz w:val="22"/>
          <w:szCs w:val="22"/>
          <w:rFonts w:asciiTheme="minorHAnsi" w:hAnsiTheme="minorHAnsi"/>
        </w:rPr>
        <w:t xml:space="preserve"> significative per tangenti e pagamenti a funzionari pubblici stranieri.</w:t>
      </w:r>
      <w:r>
        <w:rPr>
          <w:sz w:val="22"/>
          <w:szCs w:val="22"/>
          <w:rFonts w:asciiTheme="minorHAnsi" w:hAnsiTheme="minorHAnsi"/>
        </w:rPr>
        <w:t xml:space="preserve">   </w:t>
      </w:r>
    </w:p>
    <w:p w14:paraId="5F76E327" w14:textId="77777777" w:rsidR="00844DDF" w:rsidRPr="00AA7101" w:rsidRDefault="00844DDF" w:rsidP="00B21148">
      <w:pPr>
        <w:pStyle w:val="ListParagraph"/>
        <w:ind w:left="540" w:hanging="360"/>
        <w:rPr>
          <w:rFonts w:asciiTheme="minorHAnsi" w:hAnsiTheme="minorHAnsi"/>
          <w:sz w:val="22"/>
          <w:szCs w:val="22"/>
        </w:rPr>
      </w:pPr>
    </w:p>
    <w:p w14:paraId="6EF5464D" w14:textId="051C7050" w:rsidR="0085042C" w:rsidRDefault="00844DDF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Gli enti statali (SOE) sono considerati funzionari pubblici.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In molti paesi, la pubblica amministrazione può avere un parziale interesse di proprietà in una società, un ente statale, con la quale PPG sceglie di fare affari.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Gli enti statali sono comuni in tutto il mondo e in particolare in Cina, Russia, Emirati Arabi Uniti e Indonesia.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Dal momento che non sarà sempre chiaro se una società sia esclusivamente un'impresa privata o abbia un certo livello di proprietà statale, è ancora più importante che i collaboratori di PPG non offrano o effettuino tangenti o pagamenti impropri a qualsiasi ente.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5296F0D5" w14:textId="77777777" w:rsidR="0085042C" w:rsidRDefault="0085042C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03A1F4C6" w14:textId="13CA9196" w:rsidR="0085042C" w:rsidRDefault="00A957D3" w:rsidP="00B21148">
      <w:pPr>
        <w:pStyle w:val="NormalWeb"/>
        <w:numPr>
          <w:ilvl w:val="0"/>
          <w:numId w:val="2"/>
        </w:numPr>
        <w:spacing w:before="0" w:beforeAutospacing="0" w:after="0" w:afterAutospacing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PPG può essere responsabile se i nostri agenti e altri intermediari pagano tangenti per nostro conto.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PPG dipende da terzi in molti paesi per vendere i propri prodotti e servizi.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Il divieto di offrire ed effettuare tangenti e pagamenti si applica anche a questi tipi di intermediari.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Allo stesso modo, non è possibile effettuare pagamenti o tangenti illeciti agli amici o ai familiari di dipendenti di un cliente o di un funzionario pubblico qualora PPG ritenga o sia fortemente convinta che tale pagamento rappresenti un vantaggio ingiusto per tale cliente o funzionario pubblico.</w:t>
      </w:r>
    </w:p>
    <w:p w14:paraId="7737F7CA" w14:textId="77777777" w:rsidR="0085042C" w:rsidRDefault="0085042C" w:rsidP="00B21148">
      <w:pPr>
        <w:pStyle w:val="Default"/>
        <w:ind w:left="540" w:hanging="360"/>
        <w:rPr>
          <w:rFonts w:asciiTheme="minorHAnsi" w:hAnsiTheme="minorHAnsi" w:cs="Times New Roman"/>
          <w:i/>
          <w:sz w:val="22"/>
          <w:szCs w:val="22"/>
        </w:rPr>
      </w:pPr>
    </w:p>
    <w:p w14:paraId="3929F280" w14:textId="22B446E8" w:rsidR="00AC350E" w:rsidRDefault="00B21148" w:rsidP="00B21148">
      <w:pPr>
        <w:spacing w:after="240"/>
        <w:ind w:left="540" w:hanging="36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PPG ha sviluppato e istituito un solido programma di due diligence di terzi per convalidare e gestire i suoi agenti e intermediari.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Consultare le informazioni su questo sito per ulteriori informazioni:</w:t>
      </w:r>
      <w:r>
        <w:rPr>
          <w:sz w:val="22"/>
          <w:szCs w:val="22"/>
          <w:rFonts w:asciiTheme="minorHAnsi" w:hAnsiTheme="minorHAnsi"/>
        </w:rPr>
        <w:t xml:space="preserve"> </w:t>
      </w:r>
      <w:hyperlink r:id="rId18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Due Diligence di terzi di PPG</w:t>
        </w:r>
      </w:hyperlink>
      <w:r>
        <w:rPr>
          <w:sz w:val="22"/>
          <w:szCs w:val="22"/>
          <w:rFonts w:asciiTheme="minorHAnsi" w:hAnsiTheme="minorHAnsi"/>
        </w:rPr>
        <w:t xml:space="preserve">.</w:t>
      </w:r>
    </w:p>
    <w:p w14:paraId="1948E48E" w14:textId="4DD92C42" w:rsidR="0085042C" w:rsidRDefault="002A0565" w:rsidP="00B21148">
      <w:pPr>
        <w:spacing w:after="240"/>
        <w:ind w:left="540" w:hanging="36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Dobbiamo inoltre applicare la due diligence nella scelta dei partner della joint venture, dei candidati all'acquisizione e dei rispettivi agenti e rappresentanti.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PPG potrebbe essere ritenuta responsabile per attività improprie condotte da una società che acquisisce o dai suoi partner di joint venture, se non riesce a (i) eseguire un'analisi attenta e tempestiva di potenziali aree di rischio; (ii) attuare un efficace programma di conformità presso tali soggetti; oppure (iii) interrompere tale attività illecita.</w:t>
      </w:r>
    </w:p>
    <w:p w14:paraId="1C74DD13" w14:textId="4CF21B5C" w:rsidR="0085042C" w:rsidRDefault="00AC350E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Fare attenzione a riduzioni, rimborsi anticipati e sconti.</w:t>
      </w:r>
      <w:r>
        <w:rPr>
          <w:sz w:val="22"/>
          <w:szCs w:val="22"/>
          <w:b/>
          <w:i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Come molte aziende, PPG offre occasionalmente riduzioni, rimborsi anticipati e pagamenti simili o sconti ai clienti al fine di ottenere o mantenere contratti o affari nell'ambito di un accordo commerciale negoziato.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Questi pagamenti non sono "illeciti" se sono espressamente previsti nel contratto, ragionevoli e coerenti con la prassi corrente della SBU, non sono pagati in contanti, sono pagati direttamente all'entità del cliente piuttosto che verso o attraverso qualsiasi individuo, sono correttamente rappresentati nei nostri libri e registri, e altrimenti conformi agli obblighi contrattuali.</w:t>
      </w:r>
    </w:p>
    <w:p w14:paraId="4A51F24D" w14:textId="77777777" w:rsidR="00C613B2" w:rsidRDefault="00C613B2" w:rsidP="00B21148">
      <w:pPr>
        <w:pStyle w:val="ListParagraph"/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44C949FE" w14:textId="77777777" w:rsidR="0085042C" w:rsidRDefault="00C613B2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Sono essenziali libri e registri accurati e trasparenti e adeguate regole contabili interne.</w:t>
      </w:r>
      <w:r>
        <w:rPr>
          <w:sz w:val="22"/>
          <w:szCs w:val="22"/>
          <w:b/>
          <w:i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Non è mai appropriato caratterizzare in modo errato le transazioni nei nostri libri e registri.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Le tangenti sono spesso nascoste sotto forma di pagamenti legittimi, come commissioni od oneri di consulenza.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In molti casi, le aziende sono accusate di violazioni delle leggi anticorruzione anche quando non vi è alcuna prova di una tangente, tutto perché i pagamenti illeciti sono stati registrati in modo errato o avevano controlli interni deboli che li espongono a un rischio di corruzione.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79285CD4" w14:textId="77777777" w:rsidR="005F19D4" w:rsidRPr="00AA7101" w:rsidRDefault="005F19D4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1C7E1CC4" w14:textId="57864599" w:rsidR="0085042C" w:rsidRDefault="00B21148" w:rsidP="00B21148">
      <w:pPr>
        <w:pStyle w:val="NormalWeb"/>
        <w:spacing w:before="0" w:beforeAutospacing="0" w:after="0" w:afterAutospacing="0"/>
        <w:ind w:left="540" w:hanging="36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Inoltre, i costi sostenuti e le attività intraprese nell'ambito di ospitalità, viaggi, regali, intrattenimenti e pasti devono essere trasparenti; ciò significa che i conti che evidenziano tali costi e attività devono fare riferimento alle persone coinvolte, identificare un chiaro scopo aziendale, descrivere l'attività, indicare la quantità di denaro speso, ecc.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2D224679" w14:textId="77777777" w:rsidR="0085042C" w:rsidRDefault="0085042C" w:rsidP="00B21148">
      <w:pPr>
        <w:pStyle w:val="NormalWeb"/>
        <w:spacing w:before="0" w:beforeAutospacing="0" w:after="0" w:afterAutospacing="0"/>
        <w:ind w:left="540" w:hanging="360"/>
        <w:rPr>
          <w:rFonts w:asciiTheme="minorHAnsi" w:hAnsiTheme="minorHAnsi"/>
          <w:sz w:val="22"/>
          <w:szCs w:val="22"/>
        </w:rPr>
      </w:pPr>
    </w:p>
    <w:p w14:paraId="16F65D70" w14:textId="10B5F6D8" w:rsidR="0085042C" w:rsidRDefault="002A0565" w:rsidP="00B21148">
      <w:pPr>
        <w:pStyle w:val="NormalWeb"/>
        <w:numPr>
          <w:ilvl w:val="0"/>
          <w:numId w:val="10"/>
        </w:numPr>
        <w:spacing w:before="0" w:beforeAutospacing="0" w:after="0" w:afterAutospacing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Le erogazioni liberali possono talvolta essere considerate tangenti.</w:t>
      </w:r>
      <w:r>
        <w:rPr>
          <w:sz w:val="22"/>
          <w:szCs w:val="22"/>
          <w:b/>
          <w:i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Molti dipendenti si sorprendono quando vengono a conoscenza che erogazioni e sponsorizzazioni liberali possono presentare un rischio di violazione delle leggi e dei regolamenti anticoncussione o anticorruzione.</w:t>
      </w:r>
    </w:p>
    <w:p w14:paraId="046B3E20" w14:textId="597B138A" w:rsidR="0085042C" w:rsidRDefault="00B21148" w:rsidP="00B21148">
      <w:pPr>
        <w:pStyle w:val="NormalWeb"/>
        <w:spacing w:before="0"/>
        <w:ind w:left="540" w:hanging="36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Ad esempio, un partner commerciale di PPG o un funzionario pubblico può supportare attivamente o far parte di un ente di beneficenza.</w:t>
      </w:r>
      <w:r>
        <w:rPr>
          <w:sz w:val="22"/>
          <w:szCs w:val="22"/>
          <w:rFonts w:asciiTheme="minorHAnsi" w:hAnsiTheme="minorHAnsi"/>
        </w:rPr>
        <w:t xml:space="preserve"> </w:t>
      </w:r>
      <w:r>
        <w:t xml:space="preserve">Come ulteriormente descritto nella sezione </w:t>
      </w:r>
      <w:hyperlink r:id="rId19" w:history="1">
        <w:r>
          <w:rPr>
            <w:rStyle w:val="Hyperlink"/>
            <w:i/>
            <w:sz w:val="22"/>
            <w:szCs w:val="22"/>
            <w:rFonts w:asciiTheme="minorHAnsi" w:hAnsiTheme="minorHAnsi"/>
          </w:rPr>
          <w:t xml:space="preserve">Erogazioni liberali</w:t>
        </w:r>
      </w:hyperlink>
      <w:r>
        <w:t xml:space="preserve"> del nostro Codice, PPG non può utilizzare una donazione a tale ente di beneficenza per tentare di influenzare il partner o il funzionario a fare affari con noi, ottenere un'approvazione od ottenere altri vantaggi commerciali ingiusti.</w:t>
      </w:r>
      <w:r>
        <w:rPr>
          <w:sz w:val="22"/>
          <w:szCs w:val="22"/>
          <w:rFonts w:asciiTheme="minorHAnsi" w:hAnsiTheme="minorHAnsi"/>
        </w:rPr>
        <w:t xml:space="preserve">  </w:t>
      </w:r>
    </w:p>
    <w:p w14:paraId="213AFA17" w14:textId="2A969EE2" w:rsidR="0085042C" w:rsidRDefault="002A0565" w:rsidP="00B21148">
      <w:pPr>
        <w:pStyle w:val="NormalWeb"/>
        <w:numPr>
          <w:ilvl w:val="0"/>
          <w:numId w:val="13"/>
        </w:numPr>
        <w:spacing w:before="0" w:beforeAutospacing="0" w:after="0" w:afterAutospacing="0"/>
        <w:ind w:left="540"/>
        <w:rPr>
          <w:sz w:val="22"/>
          <w:szCs w:val="22"/>
          <w:rFonts w:ascii="Calibri" w:hAnsi="Calibri"/>
        </w:rPr>
      </w:pPr>
      <w:r>
        <w:rPr>
          <w:sz w:val="22"/>
          <w:szCs w:val="22"/>
          <w:b/>
          <w:bCs/>
          <w:i/>
          <w:rFonts w:ascii="Calibri" w:hAnsi="Calibri"/>
        </w:rPr>
        <w:t xml:space="preserve">Contributi politici</w:t>
      </w:r>
      <w:r>
        <w:rPr>
          <w:sz w:val="22"/>
          <w:szCs w:val="22"/>
          <w:rFonts w:ascii="Calibri" w:hAnsi="Calibri"/>
        </w:rPr>
        <w:t xml:space="preserve">.</w:t>
      </w:r>
      <w:r>
        <w:rPr>
          <w:sz w:val="22"/>
          <w:szCs w:val="22"/>
          <w:rFonts w:ascii="Calibri" w:hAnsi="Calibri"/>
        </w:rPr>
        <w:t xml:space="preserve"> </w:t>
      </w:r>
      <w:r>
        <w:rPr>
          <w:sz w:val="22"/>
          <w:szCs w:val="22"/>
          <w:rFonts w:ascii="Calibri" w:hAnsi="Calibri"/>
        </w:rPr>
        <w:t xml:space="preserve">PPG supporta i candidati politici attraverso strutture approvate dalle società nei termini stabiliti dalle leggi locali e con l'approvazione della propria divisione Government Affairs (Affari Governativi).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Analogamente al rischio presentato dalle erogazioni liberali, esiste una chiara preoccupazione se i contributi vengono versati a un candidato o partito politico per influenzare indebitamente tale funzionario pubblico o partner commerciale.</w:t>
      </w:r>
      <w:r>
        <w:rPr>
          <w:sz w:val="22"/>
          <w:szCs w:val="22"/>
          <w:rFonts w:ascii="Calibri" w:hAnsi="Calibri"/>
        </w:rPr>
        <w:t xml:space="preserve">  </w:t>
      </w:r>
      <w:r>
        <w:rPr>
          <w:sz w:val="22"/>
          <w:szCs w:val="22"/>
          <w:rFonts w:ascii="Calibri" w:hAnsi="Calibri"/>
        </w:rPr>
        <w:t xml:space="preserve">Qualsiasi dipendente a cui viene chiesto di effettuare un pagamento, che non si tratti di un contributo volontario per la campagna a titolo personale, a un funzionario pubblico deve contattare il Chief Compliance Officer e la divisione Government Affairs (Affari Governativi).</w:t>
      </w:r>
    </w:p>
    <w:p w14:paraId="6E98FB20" w14:textId="77777777" w:rsidR="0085042C" w:rsidRDefault="0085042C" w:rsidP="00B21148">
      <w:pPr>
        <w:pStyle w:val="NormalWeb"/>
        <w:spacing w:before="0" w:beforeAutospacing="0" w:after="0" w:afterAutospacing="0"/>
        <w:ind w:left="540" w:hanging="360"/>
        <w:rPr>
          <w:rFonts w:ascii="Calibri" w:hAnsi="Calibri"/>
          <w:sz w:val="22"/>
          <w:szCs w:val="22"/>
        </w:rPr>
      </w:pPr>
    </w:p>
    <w:p w14:paraId="7DE6F25B" w14:textId="77777777" w:rsidR="0085042C" w:rsidRDefault="0085042C">
      <w:pPr>
        <w:spacing w:before="0"/>
        <w:rPr>
          <w:rFonts w:asciiTheme="minorHAnsi" w:hAnsiTheme="minorHAnsi"/>
          <w:sz w:val="22"/>
          <w:szCs w:val="22"/>
          <w:u w:val="single"/>
        </w:rPr>
      </w:pPr>
    </w:p>
    <w:p w14:paraId="1FEC9774" w14:textId="77777777" w:rsidR="0085042C" w:rsidRDefault="002A0565" w:rsidP="00411E2B">
      <w:pPr>
        <w:spacing w:before="0"/>
        <w:jc w:val="center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Conseguenze</w:t>
      </w:r>
    </w:p>
    <w:p w14:paraId="527B037F" w14:textId="77777777" w:rsidR="00AF084C" w:rsidRPr="00A55EC2" w:rsidRDefault="00AF084C" w:rsidP="00411E2B">
      <w:pPr>
        <w:spacing w:before="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4420E7B" w14:textId="396E532C" w:rsidR="0085042C" w:rsidRDefault="002A0565" w:rsidP="008C3EBA">
      <w:pPr>
        <w:spacing w:before="0"/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Le violazioni di questa politica e le leggi e i regolamenti anticoncussione e anticorruzione possono comportare gravi sanzioni penali e/o civili sia per la Società che per le persone coinvolte.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È importante agire sempre in modo da evitare persino la percezione di una potenziale violazione di queste restrizioni.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Le sanzioni finanziarie previste da alcune leggi sono illimitate e spesso superano diversi milioni di dollari.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Le sanzioni penali per gli individui possono comportare dieci anni o più di detenzione, oltre a multe personali, che PPG non può pagare per vostro conto.</w:t>
      </w:r>
    </w:p>
    <w:p w14:paraId="05325B61" w14:textId="77777777" w:rsidR="008C3EBA" w:rsidRDefault="008C3EBA" w:rsidP="008C3EBA">
      <w:pPr>
        <w:jc w:val="both"/>
        <w:rPr>
          <w:rFonts w:asciiTheme="minorHAnsi" w:hAnsiTheme="minorHAnsi"/>
          <w:sz w:val="22"/>
          <w:szCs w:val="22"/>
        </w:rPr>
      </w:pPr>
    </w:p>
    <w:p w14:paraId="77E851C8" w14:textId="77777777" w:rsidR="0085042C" w:rsidRDefault="002A0565" w:rsidP="008C3EBA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Qualsiasi violazione della presente Politica o di tali leggi e regolamenti può comportare azioni disciplinari da parte della Società, compreso il licenziamento.</w:t>
      </w:r>
      <w:r>
        <w:rPr>
          <w:sz w:val="22"/>
          <w:szCs w:val="22"/>
          <w:rFonts w:asciiTheme="minorHAnsi" w:hAnsiTheme="minorHAnsi"/>
        </w:rPr>
        <w:t xml:space="preserve">  </w:t>
      </w:r>
    </w:p>
    <w:p w14:paraId="269652AE" w14:textId="77777777" w:rsidR="0085042C" w:rsidRDefault="0085042C">
      <w:pPr>
        <w:pStyle w:val="Default"/>
        <w:rPr>
          <w:rFonts w:asciiTheme="minorHAnsi" w:hAnsiTheme="minorHAnsi"/>
          <w:i/>
          <w:sz w:val="22"/>
          <w:szCs w:val="22"/>
        </w:rPr>
      </w:pPr>
    </w:p>
    <w:p w14:paraId="6FEE9BC6" w14:textId="77777777" w:rsidR="0085042C" w:rsidRDefault="002A0565" w:rsidP="00411E2B">
      <w:pPr>
        <w:pStyle w:val="Default"/>
        <w:jc w:val="center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Monitoraggio e controllo</w:t>
      </w:r>
    </w:p>
    <w:p w14:paraId="2FDAEE78" w14:textId="77777777" w:rsidR="00AF084C" w:rsidRPr="00A55EC2" w:rsidRDefault="00AF084C" w:rsidP="00411E2B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CFB4F07" w14:textId="6FB41C95" w:rsidR="0085042C" w:rsidRDefault="00AF084C">
      <w:pPr>
        <w:pStyle w:val="Default"/>
        <w:rPr>
          <w:b/>
          <w:sz w:val="22"/>
          <w:szCs w:val="22"/>
          <w:u w:val="single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La direzione è responsabile dell'istituzione di controlli per garantire che le sue attività siano svolte a livello globale in conformità alle politiche di PPG e a tutte le leggi e i regolamenti applicabili.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L'ufficio Corporate Audit Services (Servizi di audit aziendale) di PPG monitorerà e analizzerà regolarmente la conformità dei dipendenti alla presente Politica, alle relative procedure e alle leggi e ai regolamenti citati.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5013ACCA" w14:textId="77777777" w:rsidR="0085042C" w:rsidRDefault="0085042C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1DD894EE" w14:textId="77777777" w:rsidR="0085042C" w:rsidRPr="00A55EC2" w:rsidRDefault="002A0565" w:rsidP="00411E2B">
      <w:pPr>
        <w:pStyle w:val="Default"/>
        <w:jc w:val="center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Segnalazione</w:t>
      </w:r>
    </w:p>
    <w:p w14:paraId="18D6363F" w14:textId="77777777" w:rsidR="0085042C" w:rsidRDefault="002A0565">
      <w:pPr>
        <w:pStyle w:val="Default"/>
        <w:rPr>
          <w:sz w:val="22"/>
          <w:szCs w:val="22"/>
        </w:rPr>
      </w:pPr>
      <w:r>
        <w:t xml:space="preserve">Qualsiasi amministratore, funzionario o dipendente di PPG e delle sue sussidiarie che sospetti o sia a conoscenza di una violazione di questa Politica o di queste leggi e regolamenti deve riferire le informazioni al Chief Compliance Officer, PPG Corporate Counsel, Global Ethics &amp; Compliance di PPG, un'altra risorsa identificata di seguito, o attraverso l'"</w:t>
      </w:r>
      <w:hyperlink r:id="rId20" w:history="1">
        <w:r>
          <w:rPr>
            <w:rStyle w:val="Hyperlink"/>
            <w:sz w:val="22"/>
            <w:szCs w:val="22"/>
          </w:rPr>
          <w:t xml:space="preserve">Helpline etica</w:t>
        </w:r>
      </w:hyperlink>
      <w:r>
        <w:t xml:space="preserve">" riservata e anonima di PPG.</w:t>
      </w:r>
      <w:r>
        <w:rPr>
          <w:sz w:val="22"/>
          <w:szCs w:val="22"/>
        </w:rPr>
        <w:t xml:space="preserve">  </w:t>
      </w:r>
    </w:p>
    <w:p w14:paraId="6CEBC2CF" w14:textId="77777777" w:rsidR="0085042C" w:rsidRDefault="0085042C">
      <w:pPr>
        <w:pStyle w:val="Default"/>
        <w:rPr>
          <w:rFonts w:asciiTheme="minorHAnsi" w:hAnsiTheme="minorHAnsi"/>
          <w:i/>
          <w:sz w:val="22"/>
          <w:szCs w:val="22"/>
        </w:rPr>
      </w:pPr>
    </w:p>
    <w:p w14:paraId="2B9D7AAF" w14:textId="77777777" w:rsidR="0085042C" w:rsidRDefault="002A0565">
      <w:pPr>
        <w:pStyle w:val="Default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Risorse</w:t>
      </w:r>
    </w:p>
    <w:p w14:paraId="53784C3D" w14:textId="77777777" w:rsidR="0085042C" w:rsidRDefault="002A0565">
      <w:pPr>
        <w:pStyle w:val="Default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In caso di domande relative alla presente Politica o alle leggi e ai regolamenti citati, si prega di contattare:</w:t>
      </w:r>
    </w:p>
    <w:p w14:paraId="491190A2" w14:textId="77777777" w:rsidR="008C3EBA" w:rsidRPr="008C3EBA" w:rsidRDefault="002A0565" w:rsidP="008C3EBA">
      <w:pPr>
        <w:pStyle w:val="Default"/>
        <w:numPr>
          <w:ilvl w:val="0"/>
          <w:numId w:val="2"/>
        </w:numPr>
        <w:ind w:left="763"/>
        <w:contextualSpacing/>
        <w:rPr>
          <w:b/>
          <w:sz w:val="22"/>
          <w:szCs w:val="22"/>
          <w:u w:val="single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Chief Compliance Officer di PPG – USA (412.434.3200)</w:t>
      </w:r>
    </w:p>
    <w:p w14:paraId="41E673D6" w14:textId="77777777" w:rsidR="00411E2B" w:rsidRPr="00411E2B" w:rsidRDefault="00411E2B" w:rsidP="008C3EBA">
      <w:pPr>
        <w:pStyle w:val="ListParagraph"/>
        <w:numPr>
          <w:ilvl w:val="0"/>
          <w:numId w:val="2"/>
        </w:numPr>
        <w:spacing w:before="0"/>
        <w:ind w:left="763"/>
        <w:rPr>
          <w:i/>
          <w:color w:val="000000"/>
          <w:sz w:val="22"/>
          <w:szCs w:val="22"/>
          <w:rFonts w:asciiTheme="minorHAnsi" w:eastAsiaTheme="minorHAnsi" w:hAnsiTheme="minorHAnsi" w:cs="Calibri"/>
        </w:rPr>
      </w:pPr>
      <w:r>
        <w:rPr>
          <w:i/>
          <w:color w:val="000000"/>
          <w:sz w:val="22"/>
          <w:szCs w:val="22"/>
          <w:rFonts w:asciiTheme="minorHAnsi" w:hAnsiTheme="minorHAnsi"/>
        </w:rPr>
        <w:t xml:space="preserve">Corporate Counsel, Global Ethics &amp; Compliance di PPG (412.434.2434)</w:t>
      </w:r>
    </w:p>
    <w:p w14:paraId="40F6C28B" w14:textId="77777777" w:rsidR="0085042C" w:rsidRDefault="002A0565" w:rsidP="008C3EBA">
      <w:pPr>
        <w:pStyle w:val="Default"/>
        <w:numPr>
          <w:ilvl w:val="0"/>
          <w:numId w:val="2"/>
        </w:numPr>
        <w:contextualSpacing/>
        <w:rPr>
          <w:b/>
          <w:sz w:val="22"/>
          <w:szCs w:val="22"/>
          <w:u w:val="single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Senior V.P. e General Counsel di PPG – USA (412.434.2471)</w:t>
      </w:r>
    </w:p>
    <w:p w14:paraId="55921441" w14:textId="77777777" w:rsidR="0085042C" w:rsidRDefault="002A0565">
      <w:pPr>
        <w:pStyle w:val="Default"/>
        <w:numPr>
          <w:ilvl w:val="0"/>
          <w:numId w:val="2"/>
        </w:numPr>
        <w:rPr>
          <w:b/>
          <w:sz w:val="22"/>
          <w:szCs w:val="22"/>
          <w:u w:val="single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Regional counsel di PPG:</w:t>
      </w:r>
    </w:p>
    <w:p w14:paraId="601FDF92" w14:textId="77777777" w:rsidR="0085042C" w:rsidRDefault="002A0565" w:rsidP="003270D8">
      <w:pPr>
        <w:pStyle w:val="Default"/>
        <w:numPr>
          <w:ilvl w:val="1"/>
          <w:numId w:val="17"/>
        </w:numPr>
        <w:rPr>
          <w:b/>
          <w:sz w:val="22"/>
          <w:szCs w:val="22"/>
          <w:u w:val="single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General Counsel – Asia Pacifica (852.2860.4569)</w:t>
      </w:r>
    </w:p>
    <w:p w14:paraId="41D0DBB3" w14:textId="77777777" w:rsidR="0085042C" w:rsidRDefault="002A0565" w:rsidP="003270D8">
      <w:pPr>
        <w:pStyle w:val="Default"/>
        <w:numPr>
          <w:ilvl w:val="1"/>
          <w:numId w:val="17"/>
        </w:numPr>
        <w:rPr>
          <w:i/>
          <w:sz w:val="22"/>
          <w:szCs w:val="22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General Counsel – EMEA (41.21.822,3011)</w:t>
      </w:r>
    </w:p>
    <w:p w14:paraId="36FDEF75" w14:textId="77777777" w:rsidR="0030096A" w:rsidRDefault="0030096A" w:rsidP="003270D8">
      <w:pPr>
        <w:pStyle w:val="Default"/>
        <w:numPr>
          <w:ilvl w:val="1"/>
          <w:numId w:val="17"/>
        </w:numPr>
        <w:rPr>
          <w:i/>
          <w:sz w:val="22"/>
          <w:szCs w:val="22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Law Director – America del Sud (55 19 2103.6082)</w:t>
      </w:r>
    </w:p>
    <w:p w14:paraId="04893EF1" w14:textId="4EAFDFD6" w:rsidR="0085042C" w:rsidRDefault="003270D8" w:rsidP="003270D8">
      <w:pPr>
        <w:pStyle w:val="Default"/>
        <w:numPr>
          <w:ilvl w:val="1"/>
          <w:numId w:val="17"/>
        </w:numPr>
        <w:rPr>
          <w:i/>
          <w:sz w:val="22"/>
          <w:szCs w:val="22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Law and Compliance Director – America latina settentrionale (52 55 5284.1779)</w:t>
      </w:r>
    </w:p>
    <w:sectPr w:rsidR="0085042C" w:rsidSect="0085042C">
      <w:footerReference w:type="default" r:id="rId21"/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A2004" w14:textId="77777777" w:rsidR="003E2ED3" w:rsidRDefault="003E2ED3">
      <w:pPr>
        <w:spacing w:before="0"/>
      </w:pPr>
      <w:r>
        <w:separator/>
      </w:r>
    </w:p>
  </w:endnote>
  <w:endnote w:type="continuationSeparator" w:id="0">
    <w:p w14:paraId="12B886E1" w14:textId="77777777" w:rsidR="003E2ED3" w:rsidRDefault="003E2E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A841" w14:textId="7FDC14AA" w:rsidR="004C79DC" w:rsidRDefault="00ED53A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Rev 12/19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4C79DC">
      <w:fldChar w:fldCharType="begin"/>
    </w:r>
    <w:r w:rsidR="004C79DC">
      <w:instrText xml:space="preserve"> PAGE   \* MERGEFORMAT </w:instrText>
    </w:r>
    <w:r w:rsidR="004C79DC">
      <w:fldChar w:fldCharType="separate"/>
    </w:r>
    <w:r w:rsidR="005A6891" w:rsidRPr="005A6891">
      <w:rPr>
        <w:rFonts w:asciiTheme="majorHAnsi" w:hAnsiTheme="majorHAnsi"/>
      </w:rPr>
      <w:t>4</w:t>
    </w:r>
    <w:r w:rsidR="004C79DC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5613" w14:textId="77777777" w:rsidR="003E2ED3" w:rsidRDefault="003E2ED3">
      <w:pPr>
        <w:spacing w:before="0"/>
      </w:pPr>
      <w:r>
        <w:separator/>
      </w:r>
    </w:p>
  </w:footnote>
  <w:footnote w:type="continuationSeparator" w:id="0">
    <w:p w14:paraId="3596777B" w14:textId="77777777" w:rsidR="003E2ED3" w:rsidRDefault="003E2ED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15pt;height:9.15pt" o:bullet="t">
        <v:imagedata r:id="rId1" o:title="art8ED"/>
      </v:shape>
    </w:pict>
  </w:numPicBullet>
  <w:abstractNum w:abstractNumId="0" w15:restartNumberingAfterBreak="0">
    <w:nsid w:val="08D62D33"/>
    <w:multiLevelType w:val="hybridMultilevel"/>
    <w:tmpl w:val="718C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E42C1"/>
    <w:multiLevelType w:val="hybridMultilevel"/>
    <w:tmpl w:val="638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D5C5A"/>
    <w:multiLevelType w:val="hybridMultilevel"/>
    <w:tmpl w:val="75D00B10"/>
    <w:lvl w:ilvl="0" w:tplc="CEA088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A24A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6A2A02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2E2DE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DDA35C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9DE113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E78EF9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A2E1D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7B42F8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3F9E530B"/>
    <w:multiLevelType w:val="hybridMultilevel"/>
    <w:tmpl w:val="1B1C5306"/>
    <w:lvl w:ilvl="0" w:tplc="A1C0F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E77A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CC2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AA2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02C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42A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A85C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A06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6A83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5D3908"/>
    <w:multiLevelType w:val="hybridMultilevel"/>
    <w:tmpl w:val="2AD0B15C"/>
    <w:lvl w:ilvl="0" w:tplc="AD7E46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E2891"/>
    <w:multiLevelType w:val="hybridMultilevel"/>
    <w:tmpl w:val="60B69E3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5C8311B"/>
    <w:multiLevelType w:val="hybridMultilevel"/>
    <w:tmpl w:val="127443C2"/>
    <w:lvl w:ilvl="0" w:tplc="E5BAB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E8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C90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8F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2A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E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9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6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62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73743D"/>
    <w:multiLevelType w:val="hybridMultilevel"/>
    <w:tmpl w:val="2050E47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5C9A51AB"/>
    <w:multiLevelType w:val="hybridMultilevel"/>
    <w:tmpl w:val="A4887D18"/>
    <w:lvl w:ilvl="0" w:tplc="80DA8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C3C6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615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61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A0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67C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400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076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A659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BB48F6"/>
    <w:multiLevelType w:val="hybridMultilevel"/>
    <w:tmpl w:val="9C66A0A2"/>
    <w:lvl w:ilvl="0" w:tplc="F77875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97488F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B9EEFE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7ECDD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492EFD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5981B6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460BD0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BE826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E81E1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69F1114A"/>
    <w:multiLevelType w:val="hybridMultilevel"/>
    <w:tmpl w:val="DB2E2CDE"/>
    <w:lvl w:ilvl="0" w:tplc="C1F2F4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D832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9A0D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20F3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3CE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FADC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FA38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320A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8A39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2C366AB"/>
    <w:multiLevelType w:val="hybridMultilevel"/>
    <w:tmpl w:val="00E25980"/>
    <w:lvl w:ilvl="0" w:tplc="3D9C144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8D2606"/>
    <w:multiLevelType w:val="hybridMultilevel"/>
    <w:tmpl w:val="FD3C8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FD2C5D"/>
    <w:multiLevelType w:val="hybridMultilevel"/>
    <w:tmpl w:val="6564265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2C"/>
    <w:rsid w:val="0010137D"/>
    <w:rsid w:val="001023E7"/>
    <w:rsid w:val="001B70A7"/>
    <w:rsid w:val="001F44D4"/>
    <w:rsid w:val="001F59D3"/>
    <w:rsid w:val="002009CC"/>
    <w:rsid w:val="00201E84"/>
    <w:rsid w:val="002A0565"/>
    <w:rsid w:val="002C4D14"/>
    <w:rsid w:val="002C689C"/>
    <w:rsid w:val="002F6302"/>
    <w:rsid w:val="0030096A"/>
    <w:rsid w:val="00301743"/>
    <w:rsid w:val="00302DF2"/>
    <w:rsid w:val="003270D8"/>
    <w:rsid w:val="003477D5"/>
    <w:rsid w:val="0034795A"/>
    <w:rsid w:val="003821E3"/>
    <w:rsid w:val="003B7A3B"/>
    <w:rsid w:val="003E2ED3"/>
    <w:rsid w:val="003F53E9"/>
    <w:rsid w:val="003F5BF6"/>
    <w:rsid w:val="00411E2B"/>
    <w:rsid w:val="004534BC"/>
    <w:rsid w:val="004A7148"/>
    <w:rsid w:val="004C79DC"/>
    <w:rsid w:val="004E1F0A"/>
    <w:rsid w:val="004E359F"/>
    <w:rsid w:val="00504F8B"/>
    <w:rsid w:val="005A6891"/>
    <w:rsid w:val="005B3B81"/>
    <w:rsid w:val="005F19D4"/>
    <w:rsid w:val="00670AE0"/>
    <w:rsid w:val="00764DF4"/>
    <w:rsid w:val="007802EF"/>
    <w:rsid w:val="007B5071"/>
    <w:rsid w:val="00815680"/>
    <w:rsid w:val="00844DDF"/>
    <w:rsid w:val="0085042C"/>
    <w:rsid w:val="008C3EBA"/>
    <w:rsid w:val="00902A82"/>
    <w:rsid w:val="00915FB0"/>
    <w:rsid w:val="00985CFB"/>
    <w:rsid w:val="009F420F"/>
    <w:rsid w:val="00A47E7A"/>
    <w:rsid w:val="00A55EC2"/>
    <w:rsid w:val="00A957D3"/>
    <w:rsid w:val="00AA7101"/>
    <w:rsid w:val="00AC350E"/>
    <w:rsid w:val="00AC37DC"/>
    <w:rsid w:val="00AD5545"/>
    <w:rsid w:val="00AF084C"/>
    <w:rsid w:val="00B05D5A"/>
    <w:rsid w:val="00B21148"/>
    <w:rsid w:val="00B5431E"/>
    <w:rsid w:val="00BF33FD"/>
    <w:rsid w:val="00C54B31"/>
    <w:rsid w:val="00C613B2"/>
    <w:rsid w:val="00D07999"/>
    <w:rsid w:val="00D10839"/>
    <w:rsid w:val="00D73F88"/>
    <w:rsid w:val="00D93250"/>
    <w:rsid w:val="00DA425F"/>
    <w:rsid w:val="00DB76C7"/>
    <w:rsid w:val="00E00542"/>
    <w:rsid w:val="00E05FB7"/>
    <w:rsid w:val="00E95A14"/>
    <w:rsid w:val="00EB7D4D"/>
    <w:rsid w:val="00ED53A3"/>
    <w:rsid w:val="00F30C7E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F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2C"/>
    <w:pPr>
      <w:autoSpaceDE w:val="0"/>
      <w:autoSpaceDN w:val="0"/>
      <w:adjustRightInd w:val="0"/>
      <w:spacing w:before="8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2C"/>
    <w:pPr>
      <w:autoSpaceDE/>
      <w:autoSpaceDN/>
      <w:adjustRightInd/>
      <w:spacing w:before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042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0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42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5042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042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5042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04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4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D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7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7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7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9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54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2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633">
              <w:marLeft w:val="0"/>
              <w:marRight w:val="3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0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9E9E9"/>
                        <w:left w:val="single" w:sz="4" w:space="6" w:color="E9E9E9"/>
                        <w:bottom w:val="single" w:sz="4" w:space="6" w:color="E9E9E9"/>
                        <w:right w:val="single" w:sz="4" w:space="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1867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2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orporate.ppg.com/Our-Company/Ethics.aspx" TargetMode="External"/><Relationship Id="rId18" Type="http://schemas.openxmlformats.org/officeDocument/2006/relationships/hyperlink" Target="https://one.web.ppg.com/na/ethics/en/Pages/Third-Party-Due-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one.web.ppg.com/na/globalfinance/policies/Documents/CM.pdf" TargetMode="External"/><Relationship Id="rId17" Type="http://schemas.openxmlformats.org/officeDocument/2006/relationships/hyperlink" Target="https://one.web.ppg.com/na/globalfinance/policies/Documents/CM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e.web.ppg.com/na/travel/TE/Policies/2018%20Policies/PPG%20Global%20Travel%20Policy%20030118.pdf" TargetMode="External"/><Relationship Id="rId20" Type="http://schemas.openxmlformats.org/officeDocument/2006/relationships/hyperlink" Target="https://app.convercent.com/en-us/LandingPage/ada23786-4d8b-e611-810b-000d3ab2fee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orporate.ppg.com/Our-Company/Ethics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one.web.ppg.com/na/ethics/en/Pages/Due-Diligence-Policies-and-Procedures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corporate.ppg.com/Our-Company/Ethic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orporate.ppg.com/Our-Company/Ethics.aspx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C239AD5C10548B01EB05D2CE458CF" ma:contentTypeVersion="4" ma:contentTypeDescription="Create a new document." ma:contentTypeScope="" ma:versionID="65fd16864e68018b9e3939b8f0f274a4">
  <xsd:schema xmlns:xsd="http://www.w3.org/2001/XMLSchema" xmlns:xs="http://www.w3.org/2001/XMLSchema" xmlns:p="http://schemas.microsoft.com/office/2006/metadata/properties" xmlns:ns1="http://schemas.microsoft.com/sharepoint/v3" xmlns:ns2="a78e3f42-8b58-4cf5-a404-787808b7749f" targetNamespace="http://schemas.microsoft.com/office/2006/metadata/properties" ma:root="true" ma:fieldsID="450291bc940ef47ead59f383331a6da3" ns1:_="" ns2:_="">
    <xsd:import namespace="http://schemas.microsoft.com/sharepoint/v3"/>
    <xsd:import namespace="a78e3f42-8b58-4cf5-a404-787808b774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3f42-8b58-4cf5-a404-787808b77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29663-5853-4DD1-8258-892CFC41AC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94DA8A-4275-404A-8F87-31BF73144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e3f42-8b58-4cf5-a404-787808b77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8AC8B-8DD9-4129-AC12-EBA15D9F6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2019-11-26T20:23:00Z</dcterms:created>
  <dcterms:modified xsi:type="dcterms:W3CDTF">2020-01-14T15:18:00Z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0x01010096CC239AD5C10548B01EB05D2CE458CF</vt:lpwstr>
  </property>
  <property fmtid="{D5CDD505-2E9C-101B-9397-08002B2CF9AE}" pid="3" name="Order">
    <vt:r8>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