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85C3" w14:textId="77777777" w:rsidR="0085042C" w:rsidRDefault="00D73F88">
      <w:pPr>
        <w:pStyle w:val="Default"/>
        <w:rPr>
          <w:rFonts w:cs="Tahoma"/>
          <w:cs/>
          <w:lang w:bidi="th-TH"/>
        </w:rPr>
      </w:pPr>
      <w:r>
        <w:rPr>
          <w:noProof/>
          <w:lang w:val="en-US" w:bidi="th-TH"/>
        </w:rPr>
        <w:drawing>
          <wp:inline distT="0" distB="0" distL="0" distR="0" wp14:anchorId="20406005" wp14:editId="60B069B2">
            <wp:extent cx="9715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160D4" w14:textId="77777777" w:rsidR="0085042C" w:rsidRPr="0020032D" w:rsidRDefault="002A0565">
      <w:pPr>
        <w:pStyle w:val="Default"/>
        <w:jc w:val="center"/>
        <w:rPr>
          <w:rFonts w:ascii="Cordia New" w:hAnsi="Cordia New" w:cs="Cordia New"/>
          <w:sz w:val="28"/>
          <w:szCs w:val="28"/>
          <w:cs/>
          <w:lang w:bidi="th-TH"/>
        </w:rPr>
      </w:pPr>
      <w:r w:rsidRPr="0020032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นโยบายต่อต้านการทุจริตสากลของ PPG</w:t>
      </w:r>
    </w:p>
    <w:p w14:paraId="7E3CA0CB" w14:textId="77777777" w:rsidR="0085042C" w:rsidRPr="0020032D" w:rsidRDefault="0085042C">
      <w:pPr>
        <w:pStyle w:val="Default"/>
        <w:rPr>
          <w:rFonts w:ascii="Cordia New" w:hAnsi="Cordia New" w:cs="Cordia New"/>
          <w:sz w:val="23"/>
          <w:szCs w:val="23"/>
          <w:cs/>
          <w:lang w:bidi="th-TH"/>
        </w:rPr>
      </w:pPr>
    </w:p>
    <w:p w14:paraId="76F18EA5" w14:textId="77777777" w:rsidR="0085042C" w:rsidRPr="0020032D" w:rsidRDefault="002A0565" w:rsidP="00AA7101">
      <w:pPr>
        <w:pStyle w:val="Default"/>
        <w:jc w:val="center"/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b/>
          <w:bCs/>
          <w:u w:val="single"/>
          <w:cs/>
          <w:lang w:bidi="th-TH"/>
        </w:rPr>
        <w:t>บทนำ</w:t>
      </w:r>
    </w:p>
    <w:p w14:paraId="2BFA365F" w14:textId="77777777" w:rsidR="001B70A7" w:rsidRPr="0020032D" w:rsidRDefault="001B70A7" w:rsidP="00AA7101">
      <w:pPr>
        <w:pStyle w:val="Default"/>
        <w:jc w:val="center"/>
        <w:rPr>
          <w:rFonts w:ascii="Cordia New" w:hAnsi="Cordia New" w:cs="Cordia New"/>
          <w:b/>
          <w:bCs/>
          <w:u w:val="single"/>
          <w:cs/>
          <w:lang w:bidi="th-TH"/>
        </w:rPr>
      </w:pPr>
    </w:p>
    <w:p w14:paraId="390499AD" w14:textId="27E590B6" w:rsidR="0085042C" w:rsidRPr="0020032D" w:rsidRDefault="002A0565">
      <w:pPr>
        <w:pStyle w:val="Default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>ในฐานะบริษัทสากลที่ดำเนินธุรกิจในประเทศต่าง ๆ กว่า 70 ประเทศ PPG ต้องปฏิบัติตามกฎหมายและระเบียบข้อบังคับมากมาย กฎหมายและระเบียบข้อบังคับที่สำคัญมากอย่างหนึ่งคือในด้านการกำกับดูแลเรื่องการติดสินบนและการทุจริต</w:t>
      </w:r>
    </w:p>
    <w:p w14:paraId="00886069" w14:textId="77777777" w:rsidR="0085042C" w:rsidRPr="0020032D" w:rsidRDefault="002A0565">
      <w:pPr>
        <w:pStyle w:val="Default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ab/>
        <w:t xml:space="preserve"> </w:t>
      </w:r>
    </w:p>
    <w:p w14:paraId="0AE75877" w14:textId="2FC8A6FF" w:rsidR="0085042C" w:rsidRPr="0020032D" w:rsidRDefault="002A0565">
      <w:pPr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เพื่อให้เข้าใจถึงข้อกำหนดเหล่านี้ และเน้นย้ำความยึดมั่นของเราที่มีต่อ</w:t>
      </w:r>
      <w:hyperlink r:id="rId11" w:history="1"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หลักจริยธรรมสากล</w:t>
        </w:r>
      </w:hyperlink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(“หลักจริยธรรม”) เพื่อการประพฤติตนอย่างซื่อสัตย์สุจริตและต่อต้านการทุจริต PPG จึงมีนโยบายต่อต้านการทุจริตสากล (“นโยบาย”) นโยบายนี้บังคับใช้กับ PPG Industries, Inc. (“PPG”) และธุรกิจในเครือที่ PPG เป็นเจ้าของทั้งหมดหรืออยู่ภายใต้การควบคุมของ PPG (“ธุรกิจในเครือ”) ทั่วโลก นโยบายฉบับนี้กำหนดมาจากหลักจริยธรรมของเรา เพื่อเสริมมาตรฐานและหลักการที่เพิ่มจำนวนมากขึ้น ซึ่งใช้ควบคุมการปฏิบัติของเราเพื่อให้เป็นไปตามกฎหมายต่อต้านการติดสินบนและการทุจริตที่เข้มงวดซึ่งมีอยู่ทั่วโลก </w:t>
      </w:r>
    </w:p>
    <w:p w14:paraId="6839892C" w14:textId="77777777" w:rsidR="0085042C" w:rsidRPr="0020032D" w:rsidRDefault="0085042C">
      <w:pPr>
        <w:pStyle w:val="Default"/>
        <w:rPr>
          <w:rFonts w:ascii="Cordia New" w:hAnsi="Cordia New" w:cs="Cordia New"/>
          <w:cs/>
          <w:lang w:bidi="th-TH"/>
        </w:rPr>
      </w:pPr>
    </w:p>
    <w:p w14:paraId="70F27C33" w14:textId="422766A1" w:rsidR="004E1F0A" w:rsidRPr="0020032D" w:rsidRDefault="00D07999" w:rsidP="004E1F0A">
      <w:pPr>
        <w:pStyle w:val="Default"/>
        <w:spacing w:after="240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>ในทุกประเทศที่ PPG ดำเนินธุรกิจจะอยู่ภายใต้กฎหมายฉบับใดฉบับหนึ่งเหล่านี้หรือมากกว่าหนึ่งฉบับ ตัวอย่างเช่น พระราชบัญญัติว่าด้วยการกระทำอันทุจริตในต่างประเทศ (</w:t>
      </w:r>
      <w:proofErr w:type="spellStart"/>
      <w:r w:rsidRPr="0020032D">
        <w:rPr>
          <w:rFonts w:ascii="Cordia New" w:hAnsi="Cordia New" w:cs="Cordia New"/>
          <w:cs/>
          <w:lang w:bidi="th-TH"/>
        </w:rPr>
        <w:t>Foreign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</w:t>
      </w:r>
      <w:proofErr w:type="spellStart"/>
      <w:r w:rsidRPr="0020032D">
        <w:rPr>
          <w:rFonts w:ascii="Cordia New" w:hAnsi="Cordia New" w:cs="Cordia New"/>
          <w:cs/>
          <w:lang w:bidi="th-TH"/>
        </w:rPr>
        <w:t>Corrupt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</w:t>
      </w:r>
      <w:proofErr w:type="spellStart"/>
      <w:r w:rsidRPr="0020032D">
        <w:rPr>
          <w:rFonts w:ascii="Cordia New" w:hAnsi="Cordia New" w:cs="Cordia New"/>
          <w:cs/>
          <w:lang w:bidi="th-TH"/>
        </w:rPr>
        <w:t>Practices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</w:t>
      </w:r>
      <w:proofErr w:type="spellStart"/>
      <w:r w:rsidRPr="0020032D">
        <w:rPr>
          <w:rFonts w:ascii="Cordia New" w:hAnsi="Cordia New" w:cs="Cordia New"/>
          <w:cs/>
          <w:lang w:bidi="th-TH"/>
        </w:rPr>
        <w:t>Act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หรือ FCPA) ของสหรัฐฯ กฎหมาย </w:t>
      </w:r>
      <w:proofErr w:type="spellStart"/>
      <w:r w:rsidRPr="0020032D">
        <w:rPr>
          <w:rFonts w:ascii="Cordia New" w:hAnsi="Cordia New" w:cs="Cordia New"/>
          <w:cs/>
          <w:lang w:bidi="th-TH"/>
        </w:rPr>
        <w:t>Loi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</w:t>
      </w:r>
      <w:proofErr w:type="spellStart"/>
      <w:r w:rsidRPr="0020032D">
        <w:rPr>
          <w:rFonts w:ascii="Cordia New" w:hAnsi="Cordia New" w:cs="Cordia New"/>
          <w:cs/>
          <w:lang w:bidi="th-TH"/>
        </w:rPr>
        <w:t>Sapin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2 ในฝรั่งเศส กฎหมายต่อต้านการทุจริตแห่งชาติ (National </w:t>
      </w:r>
      <w:proofErr w:type="spellStart"/>
      <w:r w:rsidRPr="0020032D">
        <w:rPr>
          <w:rFonts w:ascii="Cordia New" w:hAnsi="Cordia New" w:cs="Cordia New"/>
          <w:cs/>
          <w:lang w:bidi="th-TH"/>
        </w:rPr>
        <w:t>Anticorruption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System) ของเม็กซิโก พระราชบัญญัติว่าด้วยการติดสินบน (</w:t>
      </w:r>
      <w:proofErr w:type="spellStart"/>
      <w:r w:rsidRPr="0020032D">
        <w:rPr>
          <w:rFonts w:ascii="Cordia New" w:hAnsi="Cordia New" w:cs="Cordia New"/>
          <w:cs/>
          <w:lang w:bidi="th-TH"/>
        </w:rPr>
        <w:t>Bribery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</w:t>
      </w:r>
      <w:proofErr w:type="spellStart"/>
      <w:r w:rsidRPr="0020032D">
        <w:rPr>
          <w:rFonts w:ascii="Cordia New" w:hAnsi="Cordia New" w:cs="Cordia New"/>
          <w:cs/>
          <w:lang w:bidi="th-TH"/>
        </w:rPr>
        <w:t>Act</w:t>
      </w:r>
      <w:proofErr w:type="spellEnd"/>
      <w:r w:rsidRPr="0020032D">
        <w:rPr>
          <w:rFonts w:ascii="Cordia New" w:hAnsi="Cordia New" w:cs="Cordia New"/>
          <w:cs/>
          <w:lang w:bidi="th-TH"/>
        </w:rPr>
        <w:t>) ของสหราชอาณาจักร ประมวลกฎหมายอาญาของจีน และพระราชบัญญัติธุรกิจใสสะอาด (</w:t>
      </w:r>
      <w:proofErr w:type="spellStart"/>
      <w:r w:rsidRPr="0020032D">
        <w:rPr>
          <w:rFonts w:ascii="Cordia New" w:hAnsi="Cordia New" w:cs="Cordia New"/>
          <w:cs/>
          <w:lang w:bidi="th-TH"/>
        </w:rPr>
        <w:t>Clean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 Companies </w:t>
      </w:r>
      <w:proofErr w:type="spellStart"/>
      <w:r w:rsidRPr="0020032D">
        <w:rPr>
          <w:rFonts w:ascii="Cordia New" w:hAnsi="Cordia New" w:cs="Cordia New"/>
          <w:cs/>
          <w:lang w:bidi="th-TH"/>
        </w:rPr>
        <w:t>Act</w:t>
      </w:r>
      <w:proofErr w:type="spellEnd"/>
      <w:r w:rsidRPr="0020032D">
        <w:rPr>
          <w:rFonts w:ascii="Cordia New" w:hAnsi="Cordia New" w:cs="Cordia New"/>
          <w:cs/>
          <w:lang w:bidi="th-TH"/>
        </w:rPr>
        <w:t xml:space="preserve">) ของบราซิล แม้ว่ากฎหมายเหล่านี้จะแตกต่างกันอยู่บ้าง แต่กฎหมายทุกฉบับใช้บังคับเพื่อขจัดการทุจริตและเรียกคืนความเชื่อมั่นจากประชาชนในด้านความซื่อสัตย์สุจริตของตลาดสากล และส่งเสริมสภาพแวดล้อมทางการค้าที่เป็นธรรมและมีการแข่งขันในการดำเนินธุรกิจ  </w:t>
      </w:r>
    </w:p>
    <w:p w14:paraId="2193A93D" w14:textId="77777777" w:rsidR="0085042C" w:rsidRPr="0020032D" w:rsidRDefault="00F30C7E" w:rsidP="00411E2B">
      <w:pPr>
        <w:spacing w:after="240"/>
        <w:jc w:val="center"/>
        <w:rPr>
          <w:rFonts w:ascii="Cordia New" w:hAnsi="Cordia New" w:cs="Cordia New"/>
          <w:b/>
          <w:bCs/>
          <w:sz w:val="24"/>
          <w:szCs w:val="24"/>
          <w:u w:val="single"/>
          <w:cs/>
          <w:lang w:bidi="th-TH"/>
        </w:rPr>
      </w:pPr>
      <w:r w:rsidRPr="0020032D">
        <w:rPr>
          <w:rFonts w:ascii="Cordia New" w:hAnsi="Cordia New" w:cs="Cordia New"/>
          <w:b/>
          <w:bCs/>
          <w:sz w:val="24"/>
          <w:szCs w:val="24"/>
          <w:u w:val="single"/>
          <w:cs/>
          <w:lang w:bidi="th-TH"/>
        </w:rPr>
        <w:t xml:space="preserve">นโยบาย </w:t>
      </w:r>
    </w:p>
    <w:p w14:paraId="38D0549D" w14:textId="77777777" w:rsidR="0085042C" w:rsidRPr="0020032D" w:rsidRDefault="00915FB0">
      <w:pPr>
        <w:pStyle w:val="Default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>นโยบายของเราคือ:</w:t>
      </w:r>
    </w:p>
    <w:p w14:paraId="2B4AE181" w14:textId="77777777" w:rsidR="00915FB0" w:rsidRPr="0020032D" w:rsidRDefault="002C4D14" w:rsidP="00AA7101">
      <w:pPr>
        <w:pStyle w:val="ListParagraph"/>
        <w:numPr>
          <w:ilvl w:val="0"/>
          <w:numId w:val="15"/>
        </w:numPr>
        <w:ind w:left="72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Cs/>
          <w:sz w:val="24"/>
          <w:szCs w:val="24"/>
          <w:cs/>
          <w:lang w:bidi="th-TH"/>
        </w:rPr>
        <w:t xml:space="preserve">บริษัทห้ามไม่ให้มีการให้สินบนและการทุจริตในการเจรจาตกลงทางธุรกิจทั้งหมดของบริษัทในทุกประเทศ   </w:t>
      </w:r>
    </w:p>
    <w:p w14:paraId="72B9DCDD" w14:textId="77777777" w:rsidR="00915FB0" w:rsidRPr="0020032D" w:rsidRDefault="00915FB0" w:rsidP="00AA7101">
      <w:pPr>
        <w:pStyle w:val="ListParagraph"/>
        <w:numPr>
          <w:ilvl w:val="0"/>
          <w:numId w:val="15"/>
        </w:numPr>
        <w:ind w:left="72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Cs/>
          <w:sz w:val="24"/>
          <w:szCs w:val="24"/>
          <w:cs/>
          <w:lang w:bidi="th-TH"/>
        </w:rPr>
        <w:t xml:space="preserve">พนักงานของ PPG หรือบุคคลใดก็ตามที่ดำเนินการในนามของ PPG ต้องไม่สัญญาว่าจะให้ เสนอ หรือรับสินบนหรือเงินใต้โต๊ะ เมื่อดำเนินธุรกิจของ PPG </w:t>
      </w:r>
    </w:p>
    <w:p w14:paraId="5F5B03AB" w14:textId="77777777" w:rsidR="00D07999" w:rsidRPr="0020032D" w:rsidRDefault="00D07999" w:rsidP="00AA7101">
      <w:pPr>
        <w:pStyle w:val="ListParagraph"/>
        <w:numPr>
          <w:ilvl w:val="0"/>
          <w:numId w:val="15"/>
        </w:numPr>
        <w:ind w:left="72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บริษัทห้ามไม่ให้ทำธุรกรรมโดยไม่ลงบัญชี โดยเกี่ยวข้องกับคนกลางที่เป็นบุคคลภายนอก บริษัทเอกชน รัฐบาลหรือตัวแทนจากหน่วยงานของรัฐ</w:t>
      </w:r>
    </w:p>
    <w:p w14:paraId="41A89ADA" w14:textId="77777777" w:rsidR="00915FB0" w:rsidRPr="0020032D" w:rsidRDefault="002A0565" w:rsidP="00AA7101">
      <w:pPr>
        <w:pStyle w:val="ListParagraph"/>
        <w:numPr>
          <w:ilvl w:val="0"/>
          <w:numId w:val="15"/>
        </w:numPr>
        <w:ind w:left="72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ข้อห้ามเหล่านี้ใช้บังคับกับการทำธุรกรรมทั้งหมดระหว่าง PPG และอีกฝ่ายหนึ่ง ไม่ว่าอีกฝ่ายหนึ่งจะเป็นกิจการของเอกชนหรือบุคคล หรือกิจการที่เป็นของรัฐ หรือเจ้าหน้าที่ของรัฐ</w:t>
      </w:r>
    </w:p>
    <w:p w14:paraId="7C496DF7" w14:textId="77777777" w:rsidR="00A47E7A" w:rsidRPr="0020032D" w:rsidRDefault="002C4D14" w:rsidP="00AA7101">
      <w:pPr>
        <w:pStyle w:val="ListParagraph"/>
        <w:numPr>
          <w:ilvl w:val="0"/>
          <w:numId w:val="15"/>
        </w:numPr>
        <w:ind w:left="72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บริษัทจะจัดทำและเก็บรักษาบัญชีและบันทึกที่สมบูรณ์ โดยมีรายละเอียดมากพอที่จะสะท้อนให้เห็นถึงการทำธุรกรรมของบริษัทอย่างถูกต้องและเป็นธรรม</w:t>
      </w:r>
    </w:p>
    <w:p w14:paraId="280C9597" w14:textId="77777777" w:rsidR="00A47E7A" w:rsidRPr="0020032D" w:rsidRDefault="00A47E7A" w:rsidP="00D07999">
      <w:pPr>
        <w:pStyle w:val="ListParagraph"/>
        <w:numPr>
          <w:ilvl w:val="0"/>
          <w:numId w:val="15"/>
        </w:numPr>
        <w:ind w:left="72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บริษัทจะมีระบบการควบคุมบัญชีภายในที่ดีพอ ตามที่ได้อธิบายไว้ใน </w:t>
      </w:r>
      <w:hyperlink r:id="rId12" w:anchor="search=controller%27s%20manual" w:history="1">
        <w:proofErr w:type="spellStart"/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Controller</w:t>
        </w:r>
        <w:proofErr w:type="spellEnd"/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 xml:space="preserve">’s </w:t>
        </w:r>
        <w:proofErr w:type="spellStart"/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Manual</w:t>
        </w:r>
        <w:proofErr w:type="spellEnd"/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 xml:space="preserve"> ของ PPG</w:t>
        </w:r>
      </w:hyperlink>
    </w:p>
    <w:p w14:paraId="05D39B40" w14:textId="77777777" w:rsidR="007802EF" w:rsidRPr="0020032D" w:rsidRDefault="007802EF" w:rsidP="00AA7101">
      <w:pPr>
        <w:ind w:left="90"/>
        <w:rPr>
          <w:rFonts w:ascii="Cordia New" w:hAnsi="Cordia New" w:cs="Cordia New"/>
          <w:b/>
          <w:bCs/>
          <w:sz w:val="24"/>
          <w:szCs w:val="24"/>
          <w:cs/>
          <w:lang w:bidi="th-TH"/>
        </w:rPr>
      </w:pPr>
    </w:p>
    <w:p w14:paraId="21F78E1D" w14:textId="33AE93E9" w:rsidR="0085042C" w:rsidRPr="0020032D" w:rsidRDefault="007802EF" w:rsidP="00AA7101">
      <w:pPr>
        <w:ind w:left="9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นโยบายฉบับนี้เป็นส่วนเสริมของหัวข้อ</w:t>
      </w:r>
      <w:hyperlink r:id="rId13" w:history="1">
        <w:r w:rsidRPr="0020032D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  <w:lang w:bidi="th-TH"/>
          </w:rPr>
          <w:t>การติดสินบนและการทุจริต</w:t>
        </w:r>
      </w:hyperlink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และ</w:t>
      </w:r>
      <w:hyperlink r:id="rId14" w:history="1">
        <w:r w:rsidRPr="0020032D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  <w:lang w:bidi="th-TH"/>
          </w:rPr>
          <w:t>บันทึกทางธุรกิจและการเงิน</w:t>
        </w:r>
      </w:hyperlink>
      <w:r w:rsidRPr="0020032D">
        <w:rPr>
          <w:rFonts w:ascii="Cordia New" w:hAnsi="Cordia New" w:cs="Cordia New"/>
          <w:sz w:val="24"/>
          <w:szCs w:val="24"/>
          <w:cs/>
          <w:lang w:bidi="th-TH"/>
        </w:rPr>
        <w:t>ในหลักจริยธรรมสากล  และนโยบายฉบับนี้ยังสนับสนุน</w:t>
      </w:r>
      <w:hyperlink r:id="rId15" w:history="1"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นโยบายการสอบทานบุคคลภายนอก</w:t>
        </w:r>
      </w:hyperlink>
      <w:r w:rsidRPr="0020032D">
        <w:rPr>
          <w:rFonts w:ascii="Cordia New" w:hAnsi="Cordia New" w:cs="Cordia New"/>
          <w:sz w:val="24"/>
          <w:szCs w:val="24"/>
          <w:cs/>
          <w:lang w:bidi="th-TH"/>
        </w:rPr>
        <w:t>ของเรา</w:t>
      </w:r>
    </w:p>
    <w:p w14:paraId="3113BA4A" w14:textId="77777777" w:rsidR="00D73F88" w:rsidRPr="0020032D" w:rsidRDefault="00D73F88">
      <w:pPr>
        <w:autoSpaceDE/>
        <w:autoSpaceDN/>
        <w:adjustRightInd/>
        <w:spacing w:before="0" w:after="200" w:line="276" w:lineRule="auto"/>
        <w:rPr>
          <w:rFonts w:ascii="Cordia New" w:hAnsi="Cordia New" w:cs="Cordia New"/>
          <w:sz w:val="24"/>
          <w:szCs w:val="24"/>
          <w:cs/>
          <w:lang w:bidi="th-TH"/>
        </w:rPr>
      </w:pPr>
    </w:p>
    <w:p w14:paraId="5CDE74DC" w14:textId="77777777" w:rsidR="0085042C" w:rsidRPr="0020032D" w:rsidRDefault="002A0565" w:rsidP="00411E2B">
      <w:pPr>
        <w:jc w:val="center"/>
        <w:rPr>
          <w:rFonts w:ascii="Cordia New" w:hAnsi="Cordia New" w:cs="Cordia New"/>
          <w:b/>
          <w:bCs/>
          <w:sz w:val="24"/>
          <w:szCs w:val="24"/>
          <w:u w:val="single"/>
          <w:cs/>
          <w:lang w:bidi="th-TH"/>
        </w:rPr>
      </w:pPr>
      <w:r w:rsidRPr="0020032D">
        <w:rPr>
          <w:rFonts w:ascii="Cordia New" w:hAnsi="Cordia New" w:cs="Cordia New"/>
          <w:b/>
          <w:bCs/>
          <w:sz w:val="24"/>
          <w:szCs w:val="24"/>
          <w:u w:val="single"/>
          <w:cs/>
          <w:lang w:bidi="th-TH"/>
        </w:rPr>
        <w:t>แนวปฏิบัติ</w:t>
      </w:r>
    </w:p>
    <w:p w14:paraId="5D35FCCD" w14:textId="4A3B9C21" w:rsidR="0085042C" w:rsidRPr="0020032D" w:rsidRDefault="002A0565">
      <w:pPr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ในฐานะพนักงานของ PPG คุณมีหน้าที่ในการทำความเข้าใจประเด็นต่อไปนี้:</w:t>
      </w:r>
    </w:p>
    <w:p w14:paraId="7B303F5A" w14:textId="77777777" w:rsidR="00D07999" w:rsidRPr="0020032D" w:rsidRDefault="00D07999">
      <w:pPr>
        <w:rPr>
          <w:rFonts w:ascii="Cordia New" w:hAnsi="Cordia New" w:cs="Cordia New"/>
          <w:sz w:val="24"/>
          <w:szCs w:val="24"/>
          <w:cs/>
          <w:lang w:bidi="th-TH"/>
        </w:rPr>
      </w:pPr>
    </w:p>
    <w:p w14:paraId="04FB5BB5" w14:textId="64178DD2" w:rsidR="00C613B2" w:rsidRPr="0020032D" w:rsidRDefault="00411E2B" w:rsidP="00B21148">
      <w:pPr>
        <w:pStyle w:val="ListParagraph"/>
        <w:numPr>
          <w:ilvl w:val="0"/>
          <w:numId w:val="16"/>
        </w:numPr>
        <w:spacing w:before="0"/>
        <w:ind w:left="54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  <w:t xml:space="preserve">การติดสินบนไม่ได้จำกัดเพียงเงินสดเท่านั้น 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การติดสินบนยังรวมถึง “สิ่งใดก็ตามที่มีมูลค่า” ซึ่งตั้งใจก่อให้เกิดอิทธิพลที่ไม่เหมาะสมกับการตัดสินใจของรัฐบาลหรือธุรกิจ “สิ่งใดก็ตามที่มีมูลค่า” ได้แก่ เงินสด สิ่งที่เทียบเท่าเงินสด ของกำนัล มื้ออาหาร ความบันเทิง การเดินทาง สมบัติส่วนตัว การโอนหรือยกเลิกหนี้ การบริจาคเพื่อการกุศล การสนับสนุน บริการ ข้อเสนอจ้างงาน หรือผลประโยชน์อื่น ๆ ที่ไม่เป็นธรรม สิ่งของที่มีมูลค่าเล็กน้อยหรือของกำนัล/ของที่ระลึกเล็ก ๆ น้อย ๆ เพื่อแสดงความนับถือ โดยทั่วไปไม่ถือว่าเป็นสินบน </w:t>
      </w:r>
    </w:p>
    <w:p w14:paraId="39F9D38B" w14:textId="77777777" w:rsidR="00C613B2" w:rsidRPr="0020032D" w:rsidRDefault="00C613B2" w:rsidP="00B21148">
      <w:pPr>
        <w:spacing w:before="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</w:p>
    <w:p w14:paraId="40355C74" w14:textId="0448D6EE" w:rsidR="0085042C" w:rsidRPr="0020032D" w:rsidRDefault="00B21148" w:rsidP="00B21148">
      <w:pPr>
        <w:spacing w:before="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ab/>
        <w:t>ความเอื้อเฟื้อ การเดินทาง ของกำนัล ความบันเทิง และมื้ออาหารของทุกบริษัทมีสัดส่วนที่เหมาะสมกับโอกาส และเป็นไปตามนโยบายของ PPG รวมถึงกฎหมายและระเบียบข้อบังคับในประเทศของผู้รับ ตัวอย่างเช่น แม้ว่าการออกค่าใช้จ่ายในการเดินทางของลูกค้าเพื่อเยี่ยมชมการผลิต การวิจัย หรือสถานประกอบการอื่น ๆ ของ PPG จะเหมาะสมและยอมรับได้ เพื่อวัตถุประสงค์ทางธุรกิจที่ถูกต้อง แต่ก็ยังต้องเอาใจใส่ระมัดระวัง  ระยะเวลาในการเยี่ยมชมต้องได้สัดส่วนเหมาะสมกับเวลาที่ต้องใช้ เพื่อสนองวัตถุประสงค์ทางธุรกิจ และค่าใช้จ่ายในการเดินทางต้องสมเหตุสมผล และครอบคลุมเฉพาะค่าใช้จ่ายเกี่ยวกับการเดินทางจริงเท่านั้น ค่าใช้จ่ายใด ๆ ที่ไม่เกี่ยวข้อง เช่น การขยายระยะเวลาการเดินทาง การจับจ่ายซื้อของ บริการต่าง ๆ ฯลฯ ลูกค้าต้องชำระเอง โปรดอ่าน</w:t>
      </w:r>
      <w:hyperlink r:id="rId16" w:history="1"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นโยบายด้านการเดินทางสากลของ PPG</w:t>
        </w:r>
      </w:hyperlink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และ </w:t>
      </w:r>
      <w:hyperlink r:id="rId17" w:anchor="search=controller%27s%20manual" w:history="1">
        <w:proofErr w:type="spellStart"/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Controller</w:t>
        </w:r>
        <w:proofErr w:type="spellEnd"/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 xml:space="preserve">’s </w:t>
        </w:r>
        <w:proofErr w:type="spellStart"/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Manual</w:t>
        </w:r>
        <w:proofErr w:type="spellEnd"/>
      </w:hyperlink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เพื่อศึกษาข้อมูลเพิ่มเติม</w:t>
      </w:r>
    </w:p>
    <w:p w14:paraId="5A28A9A0" w14:textId="77777777" w:rsidR="0085042C" w:rsidRPr="0020032D" w:rsidRDefault="0085042C" w:rsidP="00B21148">
      <w:pPr>
        <w:spacing w:before="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</w:p>
    <w:p w14:paraId="65005702" w14:textId="22201CE8" w:rsidR="0085042C" w:rsidRPr="0020032D" w:rsidRDefault="00D93250" w:rsidP="00B21148">
      <w:pPr>
        <w:pStyle w:val="ListParagraph"/>
        <w:numPr>
          <w:ilvl w:val="0"/>
          <w:numId w:val="2"/>
        </w:numPr>
        <w:spacing w:before="0"/>
        <w:ind w:left="54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  <w:t>ไม่จำเป็นต้องมีการรับสินบนหรือให้สินบนสำเร็จก็ถือว่าเป็นการฝ่าฝืนกฎหมาย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 ภายใต้กฎหมายในหลายประเทศ จะถือว่า PPG ฝ่าฝืนกฎหมายแม้จะไม่มีการรับข้อเสนอที่จะจ่ายเงินหรือให้สินบน และถือเป็นการฝ่าฝืนกฎหมาย ไม่ว่าจะมีการจ่ายเงินจริงหรือไม่ หรือผู้รับได้เอื้อประโยชน์ต่อคุณจริงหรือไม่  การฝ่าฝืนเกิดขึ้นทันทีที่มีการเสนอหรือจ่ายเงินอย่างไม่เหมาะสม</w:t>
      </w:r>
    </w:p>
    <w:p w14:paraId="5916D98B" w14:textId="77777777" w:rsidR="0085042C" w:rsidRPr="0020032D" w:rsidRDefault="0085042C" w:rsidP="00B21148">
      <w:pPr>
        <w:pStyle w:val="ListParagraph"/>
        <w:spacing w:before="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</w:p>
    <w:p w14:paraId="5CA47FF6" w14:textId="20EAF6B5" w:rsidR="00670AE0" w:rsidRPr="0020032D" w:rsidRDefault="00670AE0" w:rsidP="00B21148">
      <w:pPr>
        <w:pStyle w:val="ListParagraph"/>
        <w:numPr>
          <w:ilvl w:val="0"/>
          <w:numId w:val="2"/>
        </w:numPr>
        <w:spacing w:before="0"/>
        <w:ind w:left="54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  <w:t xml:space="preserve">การให้สินบนเพื่อให้ได้มาซึ่งการอนุญาต ใบอนุญาต การอนุมัติผลิตภัณฑ์และการอนุมัติอื่น ๆ ฯลฯ ก็ผิดกฎหมายเช่นกัน 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คนส่วนใหญ่ใช้สินบนเพื่อให้ได้ทำธุรกิจกับลูกค้า  อย่างไรก็ตาม การจ่ายสินบนให้เจ้าหน้ารัฐหรือหน่วยงานที่กำกับดูแลเพื่อให้ได้มาซึ่งผลประโยชน์อื่น ๆ ก็ผิดกฎหมายเช่นกัน ผลประโยชน์ดังกล่าว ได้แก่ ใบอนุญาตปฏิบัติงาน หรือ EHS การลดหย่อนภาษี การอนุมัติหรือออกใบรับรองผลิตภัณฑ์ ใบอนุญาตประกอบการ ฯลฯ อย่าลืมว่าคุณไม่สามารถจ่ายสินบนเพื่อให้มีข้อได้เปรียบทางธุรกิจใดก็ตามที่ไม่เหมาะสม </w:t>
      </w:r>
    </w:p>
    <w:p w14:paraId="2DCDF1BC" w14:textId="77777777" w:rsidR="00670AE0" w:rsidRPr="0020032D" w:rsidRDefault="00670AE0" w:rsidP="00B21148">
      <w:pPr>
        <w:pStyle w:val="ListParagraph"/>
        <w:ind w:left="540" w:hanging="360"/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</w:pPr>
    </w:p>
    <w:p w14:paraId="50BF8C51" w14:textId="77777777" w:rsidR="00844DDF" w:rsidRPr="0020032D" w:rsidRDefault="00301743" w:rsidP="00B21148">
      <w:pPr>
        <w:pStyle w:val="ListParagraph"/>
        <w:numPr>
          <w:ilvl w:val="0"/>
          <w:numId w:val="2"/>
        </w:numPr>
        <w:spacing w:before="0"/>
        <w:ind w:left="54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  <w:t>โดยเฉพาะอย่างยิ่ง ห้ามไม่ให้ใช้ความพยายามใด ๆ เพื่อให้เกิดอิทธิพลอย่างไม่เหมาะสมต่อเจ้าหน้าที่รัฐโดยเด็ดขาด</w:t>
      </w:r>
      <w:r w:rsidRPr="0020032D">
        <w:rPr>
          <w:rFonts w:ascii="Cordia New" w:hAnsi="Cordia New" w:cs="Cordia New"/>
          <w:b/>
          <w:bCs/>
          <w:sz w:val="24"/>
          <w:szCs w:val="24"/>
          <w:cs/>
          <w:lang w:bidi="th-TH"/>
        </w:rPr>
        <w:t xml:space="preserve"> 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>นอกจาก PPG และหน่วยงาน/เจ้าหน้าที่รัฐ นโยบายของเรายังห้ามไม่ให้มีการติดสินบนหรือทุจริตระหว่าง PPG และคู่ค้า  อย่างไรก็ตาม กฎหมายบางฉบับ รวมถึงพระราชบัญญัติว่าด้วยการกระทำทุจริตในต่างประเทศ (FCPA) ระบุ</w:t>
      </w:r>
      <w:r w:rsidRPr="0020032D">
        <w:rPr>
          <w:rFonts w:ascii="Cordia New" w:hAnsi="Cordia New" w:cs="Cordia New"/>
          <w:sz w:val="24"/>
          <w:szCs w:val="24"/>
          <w:u w:val="single"/>
          <w:cs/>
          <w:lang w:bidi="th-TH"/>
        </w:rPr>
        <w:t>เฉพาะเจาะจง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เกี่ยวกับค่าปรับและบทลงโทษที่จริงจัง สำหรับการติดสินบนและการจ่ายเงินให้เจ้าหน้าที่รัฐในต่างประเทศ   </w:t>
      </w:r>
    </w:p>
    <w:p w14:paraId="5F76E327" w14:textId="77777777" w:rsidR="00844DDF" w:rsidRPr="0020032D" w:rsidRDefault="00844DDF" w:rsidP="00B21148">
      <w:pPr>
        <w:pStyle w:val="ListParagraph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</w:p>
    <w:p w14:paraId="6EF5464D" w14:textId="051C7050" w:rsidR="0085042C" w:rsidRPr="0020032D" w:rsidRDefault="00844DDF" w:rsidP="00B21148">
      <w:pPr>
        <w:pStyle w:val="ListParagraph"/>
        <w:numPr>
          <w:ilvl w:val="0"/>
          <w:numId w:val="2"/>
        </w:numPr>
        <w:spacing w:before="0"/>
        <w:ind w:left="54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  <w:t>รัฐวิสาหกิจ (SOE) ถือเป็นเจ้าหน้าที่รัฐ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ในหลายประเทศ รัฐบาลอาจมีผลประโยชน์จากการถือกรรมสิทธิ์บางส่วนในบริษัทซึ่งเรียกว่ารัฐวิสาหกิจ ซึ่ง PPG เลือกที่จะทำธุรกิจด้วย รัฐวิสาหกิจคือธุรกิจที่มีอยู่ตามปกติทั่วโลก โดยเฉพาะในจีน รัสเซีย สหรัฐอาหรับเอ</w:t>
      </w:r>
      <w:proofErr w:type="spellStart"/>
      <w:r w:rsidRPr="0020032D">
        <w:rPr>
          <w:rFonts w:ascii="Cordia New" w:hAnsi="Cordia New" w:cs="Cordia New"/>
          <w:sz w:val="24"/>
          <w:szCs w:val="24"/>
          <w:cs/>
          <w:lang w:bidi="th-TH"/>
        </w:rPr>
        <w:t>มิเรตส์</w:t>
      </w:r>
      <w:proofErr w:type="spellEnd"/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 และอินโดนีเซีย ในเมื่อไม่มีความชัดเจนเสมอไปว่าบริษัทเป็นธุรกิจของเอกชนแต่เพียงผู้เดียว หรือเป็นของรัฐบาลบางส่วน ดังนั้นจึงสำคัญมากที่พนักงาน PPG ต้องไม่เสนอหรือติดสินบนหรือจ่ายเงินที่ไม่เหมาะสมให้แก่ธุรกิจใดก็ตาม </w:t>
      </w:r>
    </w:p>
    <w:p w14:paraId="5296F0D5" w14:textId="77777777" w:rsidR="0085042C" w:rsidRPr="0020032D" w:rsidRDefault="0085042C" w:rsidP="00B21148">
      <w:pPr>
        <w:spacing w:before="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</w:p>
    <w:p w14:paraId="03A1F4C6" w14:textId="13CA9196" w:rsidR="0085042C" w:rsidRPr="0020032D" w:rsidRDefault="00A957D3" w:rsidP="00B21148">
      <w:pPr>
        <w:pStyle w:val="NormalWeb"/>
        <w:numPr>
          <w:ilvl w:val="0"/>
          <w:numId w:val="2"/>
        </w:numPr>
        <w:spacing w:before="0" w:beforeAutospacing="0" w:after="0" w:afterAutospacing="0"/>
        <w:ind w:left="540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cs/>
          <w:lang w:bidi="th-TH"/>
        </w:rPr>
        <w:t>PPG อาจต้องรับผิดถ้าตัวแทนบริษัทและคนกลางอื่น ๆ จ่ายสินบนในนามของบริษัท</w:t>
      </w:r>
      <w:r w:rsidRPr="0020032D">
        <w:rPr>
          <w:rFonts w:ascii="Cordia New" w:hAnsi="Cordia New" w:cs="Cordia New"/>
          <w:cs/>
          <w:lang w:bidi="th-TH"/>
        </w:rPr>
        <w:t xml:space="preserve"> PPG อาศัยบุคคลภายนอกในหลายประเทศเพื่อขายผลิตภัณฑ์และบริการของเรา ข้อห้ามในเรื่องการเสนอและการติดสินบนและการจ่ายเงินมีผลบังคับใช้ในระดับเดียวกันสำหรับคน</w:t>
      </w:r>
      <w:r w:rsidRPr="0020032D">
        <w:rPr>
          <w:rFonts w:ascii="Cordia New" w:hAnsi="Cordia New" w:cs="Cordia New"/>
          <w:cs/>
          <w:lang w:bidi="th-TH"/>
        </w:rPr>
        <w:lastRenderedPageBreak/>
        <w:t>กลางประเภทเหล่านี้ ในทำนองเดียวกัน ห้ามไม่ให้มีการจ่ายเงินที่ไม่เหมาะสมหรือการติดสินบนให้แก่เพื่อนหรือญาติของบุคคลที่ได้รับการว่าจ้างโดยลูกค้า หรือเจ้าหน้าที่รัฐ หาก PPG ทราบหรือเชื่อแน่ว่าการจ่ายเงินนั้นจะทำให้เกิดผลประโยชน์แก่ลูกค้าหรือเจ้าหน้าที่รัฐโดยวัตถุประสงค์ที่ไม่ถูกต้อง</w:t>
      </w:r>
    </w:p>
    <w:p w14:paraId="7737F7CA" w14:textId="77777777" w:rsidR="0085042C" w:rsidRPr="0020032D" w:rsidRDefault="0085042C" w:rsidP="00B21148">
      <w:pPr>
        <w:pStyle w:val="Default"/>
        <w:ind w:left="540" w:hanging="360"/>
        <w:rPr>
          <w:rFonts w:ascii="Cordia New" w:hAnsi="Cordia New" w:cs="Cordia New"/>
          <w:i/>
          <w:iCs/>
          <w:cs/>
          <w:lang w:bidi="th-TH"/>
        </w:rPr>
      </w:pPr>
    </w:p>
    <w:p w14:paraId="3929F280" w14:textId="22B446E8" w:rsidR="00AC350E" w:rsidRPr="0020032D" w:rsidRDefault="00B21148" w:rsidP="00B21148">
      <w:pPr>
        <w:spacing w:after="24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ab/>
        <w:t xml:space="preserve">PPG ได้พัฒนาและมีโปรแกรมที่เข้มแข็งในการสอบทานบุคคลภายนอก เพื่อตรวจสอบและจัดการตัวแทนและคนกลางของบริษัท โปรดอ่านข้อมูลบนเว็บไซต์นี้เพื่อศึกษาข้อมูลเพิ่มเติม: </w:t>
      </w:r>
      <w:hyperlink r:id="rId18" w:history="1">
        <w:r w:rsidRPr="0020032D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การสอบทานบุคคลภายนอกของ PPG</w:t>
        </w:r>
      </w:hyperlink>
    </w:p>
    <w:p w14:paraId="1948E48E" w14:textId="4DD92C42" w:rsidR="0085042C" w:rsidRPr="0020032D" w:rsidRDefault="002A0565" w:rsidP="00B21148">
      <w:pPr>
        <w:spacing w:after="24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และเรายังต้องใช้การสอบทานที่เหมาะสมในการเลือกหุ้นส่วนกิจการร่วมค้า การพิจารณาซื้อกิจการ รวมถึงตัวแทนของหุ้นส่วนและกิจการดังกล่าว PPG อาจต้องรับผิดชอบในกิจกรรมที่ไม่เหมาะสมซึ่งกระทำโดยกิจการที่บริษัทซื้อ หรือโดยหุ้นส่วนกิจการร่วมค้า ถ้าบริษัทไม่ (1) ทำการตรวจสอบอย่างรอบคอบและเหมาะสมแก่เวลาในเรื่องที่อาจมีความเสี่ยง (2) ใช้โปรแกรมการกำกับดูแลที่มีประสิทธิภาพกับกิจการเหล่านั้น หรือ (3) หยุดยั้งกิจกรรมที่ไม่เหมาะสมดังกล่าว</w:t>
      </w:r>
    </w:p>
    <w:p w14:paraId="1C74DD13" w14:textId="4CF21B5C" w:rsidR="0085042C" w:rsidRPr="0020032D" w:rsidRDefault="00AC350E" w:rsidP="00B21148">
      <w:pPr>
        <w:pStyle w:val="ListParagraph"/>
        <w:numPr>
          <w:ilvl w:val="0"/>
          <w:numId w:val="2"/>
        </w:numPr>
        <w:spacing w:before="0"/>
        <w:ind w:left="54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  <w:t xml:space="preserve">ควรระมัดระวังเกี่ยวกับการให้เงินคืน ภาษีคืน และส่วนลด  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>PPG ก็เหมือนกับอีกหลายบริษัทที่บางครั้งมีการให้เงินคืน ภาษีคืน และการจ่ายเงินในทำนองเดียวกัน หรือการให้ส่วนลดแก่ลูกค้าเพื่อให้ได้มาหรือรักษาไว้ซึ่งสัญญาหรือธุรกิจ โดยเป็นส่วนหนึ่งในการเจรจาต่อรองทางธุรกิจ การจ่ายเงินเหล่านี้จะไม่ถือว่า “ไม่เหมาะสม” ตราบใดที่ระบุไว้อย่างชัดเจนในสัญญา สมเหตุสมผลและสอดคล้องกับแนวปฏิบัติที่ต่อเนื่องของหน่วยธุรกิจเชิงกลยุทธ์ (SBU) และไม่จ่ายเป็นเงินสด โดยจ่ายให้กิจการของลูกค้าโดยตรง ไม่จ่ายผ่านบุคคล และมีการลงบันทึกไว้ในสมุดบัญชีและสมุดบันทึกของบริษัทอย่างถูกต้อง หรือเป็นไปตามข้อกำหนดของสัญญา</w:t>
      </w:r>
    </w:p>
    <w:p w14:paraId="4A51F24D" w14:textId="77777777" w:rsidR="00C613B2" w:rsidRPr="0020032D" w:rsidRDefault="00C613B2" w:rsidP="00B21148">
      <w:pPr>
        <w:pStyle w:val="ListParagraph"/>
        <w:spacing w:before="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</w:p>
    <w:p w14:paraId="44C949FE" w14:textId="77777777" w:rsidR="0085042C" w:rsidRPr="0020032D" w:rsidRDefault="00C613B2" w:rsidP="00B21148">
      <w:pPr>
        <w:pStyle w:val="ListParagraph"/>
        <w:numPr>
          <w:ilvl w:val="0"/>
          <w:numId w:val="2"/>
        </w:numPr>
        <w:spacing w:before="0"/>
        <w:ind w:left="540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sz w:val="24"/>
          <w:szCs w:val="24"/>
          <w:cs/>
          <w:lang w:bidi="th-TH"/>
        </w:rPr>
        <w:t xml:space="preserve">สมุดบัญชีและสมุดบันทึกที่ถูกต้องและโปร่งใส และกฎระเบียบด้านการบัญชีภายในที่ดีพอ คือสิ่งที่สำคัญที่สุด  </w:t>
      </w: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การแสดงธุรกรรมที่ไม่ถูกต้องในสมุดบัญชีและสมุดบันทึกของบริษัทคือเรื่องที่ไม่เหมาะสม ไม่ว่าในกรณีใด การติดสินบนมักถูกปิดบังให้อยู่ภายใต้รูปแบบการจ่ายเงินที่ถูกต้อง เช่น ค่านายหน้า หรือค่าที่ปรึกษา  ในหลายกรณี บริษัทถูกดำเนินคดีเนื่องจากฝ่าฝืนกฎหมายต่อต้านการทุจริต แม้จะไม่มีหลักฐานของการติดสินบน ทั้งนี้เพียงเพราะว่ามีการจ่ายเงินอย่างไม่เหมาะสมและบันทึกไว้อย่างไม่ถูกต้อง หรือบริษัทมีการควบคุมภายในที่อ่อนแอ ทำให้เสี่ยงต่อการทุจริต </w:t>
      </w:r>
    </w:p>
    <w:p w14:paraId="79285CD4" w14:textId="77777777" w:rsidR="005F19D4" w:rsidRPr="0020032D" w:rsidRDefault="005F19D4" w:rsidP="00B21148">
      <w:pPr>
        <w:spacing w:before="0"/>
        <w:ind w:left="540" w:hanging="360"/>
        <w:rPr>
          <w:rFonts w:ascii="Cordia New" w:hAnsi="Cordia New" w:cs="Cordia New"/>
          <w:sz w:val="24"/>
          <w:szCs w:val="24"/>
          <w:cs/>
          <w:lang w:bidi="th-TH"/>
        </w:rPr>
      </w:pPr>
    </w:p>
    <w:p w14:paraId="1C7E1CC4" w14:textId="57864599" w:rsidR="0085042C" w:rsidRPr="0020032D" w:rsidRDefault="00B21148" w:rsidP="00B21148">
      <w:pPr>
        <w:pStyle w:val="NormalWeb"/>
        <w:spacing w:before="0" w:beforeAutospacing="0" w:after="0" w:afterAutospacing="0"/>
        <w:ind w:left="540" w:hanging="360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ab/>
        <w:t xml:space="preserve">นอกจากนี้ ค่าใช้จ่ายที่เกิดขึ้นและกิจกรรมที่ดำเนินการโดยเป็นส่วนหนึ่งในความเอื้อเฟื้อ การเดินทาง ของกำนัล ความบันเทิง และมื้ออาหารจะต้องมีความโปร่งใส ซึ่งหมายความว่าบัญชีที่ใช้เป็นหลักฐานค่าใช้จ่ายและกิจกรรมเหล่านี้ต้องอ้างอิงถึงบุคคลที่เกี่ยวข้อง ระบุวัตถุประสงค์ทางธุรกิจที่ชัดเจน อธิบายรายละเอียดของกิจกรรม ระบุจำนวนเงินที่ใช้ เป็นต้น </w:t>
      </w:r>
    </w:p>
    <w:p w14:paraId="2D224679" w14:textId="77777777" w:rsidR="0085042C" w:rsidRPr="0020032D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="Cordia New" w:hAnsi="Cordia New" w:cs="Cordia New"/>
          <w:cs/>
          <w:lang w:bidi="th-TH"/>
        </w:rPr>
      </w:pPr>
    </w:p>
    <w:p w14:paraId="16F65D70" w14:textId="10B5F6D8" w:rsidR="0085042C" w:rsidRPr="0020032D" w:rsidRDefault="002A0565" w:rsidP="00B21148">
      <w:pPr>
        <w:pStyle w:val="NormalWeb"/>
        <w:numPr>
          <w:ilvl w:val="0"/>
          <w:numId w:val="10"/>
        </w:numPr>
        <w:spacing w:before="0" w:beforeAutospacing="0" w:after="0" w:afterAutospacing="0"/>
        <w:ind w:left="540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cs/>
          <w:lang w:bidi="th-TH"/>
        </w:rPr>
        <w:t xml:space="preserve">การบริจาคเพื่อการกุศลในบางกรณีอาจถือว่าเป็นการติดสินบน  </w:t>
      </w:r>
      <w:r w:rsidRPr="0020032D">
        <w:rPr>
          <w:rFonts w:ascii="Cordia New" w:hAnsi="Cordia New" w:cs="Cordia New"/>
          <w:cs/>
          <w:lang w:bidi="th-TH"/>
        </w:rPr>
        <w:t>พนักงานหลายคนประหลาดใจที่ได้ทราบว่าการบริจาคเพื่อการกุศลและการให้เงินสนับสนุนอาจทำให้เกิดความเสี่ยงที่จะฝ่าฝืนกฎหมายและระเบียบว่าด้วยการต่อต้านการติดสินบนและการทุจริต</w:t>
      </w:r>
    </w:p>
    <w:p w14:paraId="046B3E20" w14:textId="597B138A" w:rsidR="0085042C" w:rsidRPr="0020032D" w:rsidRDefault="00B21148" w:rsidP="00B21148">
      <w:pPr>
        <w:pStyle w:val="NormalWeb"/>
        <w:spacing w:before="0"/>
        <w:ind w:left="540" w:hanging="360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ab/>
        <w:t xml:space="preserve">ตัวอย่างเช่น หุ้นส่วนธุรกิจของ PPG หรือเจ้าหน้าที่รัฐอาจให้การสนับสนุนอย่างเต็มที่หรืออยู่ในคณะกรรมการขององค์กรการกุศล ดังที่ได้อธิบายเพิ่มเติมไว้ในหัวข้อ </w:t>
      </w:r>
      <w:hyperlink r:id="rId19" w:history="1">
        <w:r w:rsidRPr="0020032D">
          <w:rPr>
            <w:rStyle w:val="Hyperlink"/>
            <w:rFonts w:ascii="Cordia New" w:hAnsi="Cordia New" w:cs="Cordia New"/>
            <w:i/>
            <w:iCs/>
            <w:cs/>
            <w:lang w:bidi="th-TH"/>
          </w:rPr>
          <w:t>การบริจาคเพื่อการกุศล</w:t>
        </w:r>
      </w:hyperlink>
      <w:r w:rsidRPr="0020032D">
        <w:rPr>
          <w:rFonts w:ascii="Cordia New" w:hAnsi="Cordia New" w:cs="Cordia New"/>
          <w:cs/>
          <w:lang w:bidi="th-TH"/>
        </w:rPr>
        <w:t xml:space="preserve"> ในหลักจริยธรรมของเรา PPG ไม่สามารถใช้การบริจาคแก่องค์กรการกุศลเป็นเครื่องมือเพื่อพยายามสร้างอิทธิพลต่อหุ้นส่วนหรือเจ้าหน้าที่ให้ทำธุรกิจกับบริษัท รวมถึงให้ได้มาซึ่งการอนุมัติ หรือข้อได้เปรียบทางธุรกิจอื่นใดที่ไม่เหมาะสม  </w:t>
      </w:r>
    </w:p>
    <w:p w14:paraId="213AFA17" w14:textId="2A969EE2" w:rsidR="0085042C" w:rsidRPr="0020032D" w:rsidRDefault="002A0565" w:rsidP="00B21148">
      <w:pPr>
        <w:pStyle w:val="NormalWeb"/>
        <w:numPr>
          <w:ilvl w:val="0"/>
          <w:numId w:val="13"/>
        </w:numPr>
        <w:spacing w:before="0" w:beforeAutospacing="0" w:after="0" w:afterAutospacing="0"/>
        <w:ind w:left="540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b/>
          <w:bCs/>
          <w:i/>
          <w:iCs/>
          <w:cs/>
          <w:lang w:bidi="th-TH"/>
        </w:rPr>
        <w:t>การสนับสนุนทางการเมือง</w:t>
      </w:r>
      <w:r w:rsidRPr="0020032D">
        <w:rPr>
          <w:rFonts w:ascii="Cordia New" w:hAnsi="Cordia New" w:cs="Cordia New"/>
          <w:cs/>
          <w:lang w:bidi="th-TH"/>
        </w:rPr>
        <w:t> PPG สนับสนุนผู้ลงสมัครเลือกตั้งผ่านโครงสร้างที่บริษัทอนุมัติ โดยอยู่ภายใต้ข้อกำหนดของกฎหมายในประเทศ โดยผ่านการอนุมัติจากฝ่ายกำกับดูแลด้านหน่วยงานภาครัฐของ PPG และเช่นเดียวกับความเสี่ยงที่เกิดขึ้นในกรณีการบริจาคเพื่อการกุศล จะมีข้อกังวลที่ชัดเจนหากมีการสนับสนุนผู้ลงสมัครเลือกตั้งหรือพรรคการเมือง เพื่อสร้างอิทธิพลอย่างไม่เหมาะสมแก่เจ้าหน้าที่รัฐหรือหุ้นส่วนธุรกิจรายนั้น  ไม่ว่าพนักงานรายใดที่ได้รับคำขอให้จ่ายเงิน (ซึ่งไม่ใช่การสนับสนุนการรณรงค์เป็นการส่วนตัวโดยสมัครใจ) แก่</w:t>
      </w:r>
      <w:r w:rsidRPr="0020032D">
        <w:rPr>
          <w:rFonts w:ascii="Cordia New" w:hAnsi="Cordia New" w:cs="Cordia New"/>
          <w:cs/>
          <w:lang w:bidi="th-TH"/>
        </w:rPr>
        <w:lastRenderedPageBreak/>
        <w:t>เจ้าหน้าที่รัฐ ต้องติดต่อประธานเจ้าหน้าที่ฝ่ายกำกับการปฏิบัติตามกฎระเบียบของ PPG และฝ่ายกำกับดูแลด้านหน่วยงานภาครัฐของ PPG</w:t>
      </w:r>
    </w:p>
    <w:p w14:paraId="6E98FB20" w14:textId="77777777" w:rsidR="0085042C" w:rsidRPr="0020032D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="Cordia New" w:hAnsi="Cordia New" w:cs="Cordia New"/>
          <w:cs/>
          <w:lang w:bidi="th-TH"/>
        </w:rPr>
      </w:pPr>
    </w:p>
    <w:p w14:paraId="7DE6F25B" w14:textId="77777777" w:rsidR="0085042C" w:rsidRPr="0020032D" w:rsidRDefault="0085042C">
      <w:pPr>
        <w:spacing w:before="0"/>
        <w:rPr>
          <w:rFonts w:ascii="Cordia New" w:hAnsi="Cordia New" w:cs="Cordia New"/>
          <w:sz w:val="24"/>
          <w:szCs w:val="24"/>
          <w:u w:val="single"/>
          <w:cs/>
          <w:lang w:bidi="th-TH"/>
        </w:rPr>
      </w:pPr>
    </w:p>
    <w:p w14:paraId="1FEC9774" w14:textId="77777777" w:rsidR="0085042C" w:rsidRPr="0020032D" w:rsidRDefault="002A0565" w:rsidP="00411E2B">
      <w:pPr>
        <w:spacing w:before="0"/>
        <w:jc w:val="center"/>
        <w:rPr>
          <w:rFonts w:ascii="Cordia New" w:hAnsi="Cordia New" w:cs="Cordia New"/>
          <w:b/>
          <w:bCs/>
          <w:sz w:val="24"/>
          <w:szCs w:val="24"/>
          <w:u w:val="single"/>
          <w:cs/>
          <w:lang w:bidi="th-TH"/>
        </w:rPr>
      </w:pPr>
      <w:r w:rsidRPr="0020032D">
        <w:rPr>
          <w:rFonts w:ascii="Cordia New" w:hAnsi="Cordia New" w:cs="Cordia New"/>
          <w:b/>
          <w:bCs/>
          <w:sz w:val="24"/>
          <w:szCs w:val="24"/>
          <w:u w:val="single"/>
          <w:cs/>
          <w:lang w:bidi="th-TH"/>
        </w:rPr>
        <w:t>ผลที่ตามมา</w:t>
      </w:r>
    </w:p>
    <w:p w14:paraId="527B037F" w14:textId="77777777" w:rsidR="00AF084C" w:rsidRPr="0020032D" w:rsidRDefault="00AF084C" w:rsidP="00411E2B">
      <w:pPr>
        <w:spacing w:before="0"/>
        <w:jc w:val="center"/>
        <w:rPr>
          <w:rFonts w:ascii="Cordia New" w:hAnsi="Cordia New" w:cs="Cordia New"/>
          <w:b/>
          <w:bCs/>
          <w:sz w:val="24"/>
          <w:szCs w:val="24"/>
          <w:u w:val="single"/>
          <w:cs/>
          <w:lang w:bidi="th-TH"/>
        </w:rPr>
      </w:pPr>
    </w:p>
    <w:p w14:paraId="54420E7B" w14:textId="396E532C" w:rsidR="0085042C" w:rsidRPr="0020032D" w:rsidRDefault="002A0565" w:rsidP="008C3EBA">
      <w:pPr>
        <w:spacing w:before="0"/>
        <w:jc w:val="both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>การฝ่าฝืนนโยบายฉบับนี้ รวมถึงกฎหมายและระเบียบข้อบังคับว่าด้วยการต่อต้านการทุจริตและติดสินบน อาจส่งผลให้ต้องโทษทางอาญาร้ายแรงและ/หรือโทษทางแพ่งสำหรับบริษัทและบุคคลที่มีส่วนเกี่ยวข้อง  สิ่งสำคัญคือต้องดำเนินการในลักษณะที่หลีกเลี่ยงแม้แต่ภาพลักษณ์ที่ปรากฏว่าอาจเป็นการฝ่าฝืนข้อบังคับเหล่านี้อยู่เสมอ บทลงโทษทางการเงินภายใต้กฎหมายบางฉบับไม่มีการจำกัดจำนวนเงิน และมักจะสูงกว่าหลายล้านดอลลาร์ บทลงโทษทางอาญาสำหรับบุคคลอาจเป็นการจำคุกอย่างน้อย 10 ปี และมีโทษปรับเป็นเงินจากบุคคลนั้น ซึ่ง PPG ไม่สามารถจ่ายค่าปรับแทนได้</w:t>
      </w:r>
    </w:p>
    <w:p w14:paraId="05325B61" w14:textId="77777777" w:rsidR="008C3EBA" w:rsidRPr="0020032D" w:rsidRDefault="008C3EBA" w:rsidP="008C3EBA">
      <w:pPr>
        <w:jc w:val="both"/>
        <w:rPr>
          <w:rFonts w:ascii="Cordia New" w:hAnsi="Cordia New" w:cs="Cordia New"/>
          <w:sz w:val="24"/>
          <w:szCs w:val="24"/>
          <w:cs/>
          <w:lang w:bidi="th-TH"/>
        </w:rPr>
      </w:pPr>
    </w:p>
    <w:p w14:paraId="77E851C8" w14:textId="77777777" w:rsidR="0085042C" w:rsidRPr="0020032D" w:rsidRDefault="002A0565" w:rsidP="008C3EBA">
      <w:pPr>
        <w:jc w:val="both"/>
        <w:rPr>
          <w:rFonts w:ascii="Cordia New" w:hAnsi="Cordia New" w:cs="Cordia New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sz w:val="24"/>
          <w:szCs w:val="24"/>
          <w:cs/>
          <w:lang w:bidi="th-TH"/>
        </w:rPr>
        <w:t xml:space="preserve">การฝ่าฝืนใด ๆ ต่อนโยบายฉบับนี้ หรือกฎหมายและระเบียบข้อบังคับเหล่านี้ อาจส่งผลให้มีการดำเนินการทางวินัยโดยบริษัทในระดับสูงสุดและรวมถึงการให้ออกจากการเป็นพนักงาน  </w:t>
      </w:r>
    </w:p>
    <w:p w14:paraId="269652AE" w14:textId="77777777" w:rsidR="0085042C" w:rsidRPr="0020032D" w:rsidRDefault="0085042C">
      <w:pPr>
        <w:pStyle w:val="Default"/>
        <w:rPr>
          <w:rFonts w:ascii="Cordia New" w:hAnsi="Cordia New" w:cs="Cordia New"/>
          <w:i/>
          <w:iCs/>
          <w:cs/>
          <w:lang w:bidi="th-TH"/>
        </w:rPr>
      </w:pPr>
    </w:p>
    <w:p w14:paraId="6FEE9BC6" w14:textId="77777777" w:rsidR="0085042C" w:rsidRPr="0020032D" w:rsidRDefault="002A0565" w:rsidP="00411E2B">
      <w:pPr>
        <w:pStyle w:val="Default"/>
        <w:jc w:val="center"/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b/>
          <w:bCs/>
          <w:u w:val="single"/>
          <w:cs/>
          <w:lang w:bidi="th-TH"/>
        </w:rPr>
        <w:t>การติดตามและตรวจสอบ</w:t>
      </w:r>
    </w:p>
    <w:p w14:paraId="2FDAEE78" w14:textId="77777777" w:rsidR="00AF084C" w:rsidRPr="0020032D" w:rsidRDefault="00AF084C" w:rsidP="00411E2B">
      <w:pPr>
        <w:pStyle w:val="Default"/>
        <w:jc w:val="center"/>
        <w:rPr>
          <w:rFonts w:ascii="Cordia New" w:hAnsi="Cordia New" w:cs="Cordia New"/>
          <w:b/>
          <w:bCs/>
          <w:u w:val="single"/>
          <w:cs/>
          <w:lang w:bidi="th-TH"/>
        </w:rPr>
      </w:pPr>
    </w:p>
    <w:p w14:paraId="7CFB4F07" w14:textId="6FB41C95" w:rsidR="0085042C" w:rsidRPr="0020032D" w:rsidRDefault="00AF084C">
      <w:pPr>
        <w:pStyle w:val="Default"/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 xml:space="preserve">ผู้บริหารมีหน้าที่ในการจัดตั้งระบบควบคุม เพื่อให้แน่ใจว่าการดำเนินธุรกิจของบริษัททั่วโลกเป็นไปตามนโยบายของ PPG และกฎหมายและระเบียบที่บังคับใช้ทั้งหมด ผู้ให้บริการตรวจประเมินของบริษัท PPG จะติดตามและตรวจสอบเป็นประจำเพื่อให้แน่ใจว่าพนักงานปฏิบัติตามนโยบายฉบับนี้ รวมถึงขั้นตอนที่เกี่ยวข้อง และกฎหมายและระเบียบข้อบังคับที่ใช้อ้างอิง </w:t>
      </w:r>
    </w:p>
    <w:p w14:paraId="5013ACCA" w14:textId="77777777" w:rsidR="0085042C" w:rsidRPr="0020032D" w:rsidRDefault="0085042C">
      <w:pPr>
        <w:pStyle w:val="Default"/>
        <w:rPr>
          <w:rFonts w:ascii="Cordia New" w:hAnsi="Cordia New" w:cs="Cordia New"/>
          <w:b/>
          <w:bCs/>
          <w:u w:val="single"/>
          <w:cs/>
          <w:lang w:bidi="th-TH"/>
        </w:rPr>
      </w:pPr>
    </w:p>
    <w:p w14:paraId="1DD894EE" w14:textId="77777777" w:rsidR="0085042C" w:rsidRPr="0020032D" w:rsidRDefault="002A0565" w:rsidP="00411E2B">
      <w:pPr>
        <w:pStyle w:val="Default"/>
        <w:jc w:val="center"/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b/>
          <w:bCs/>
          <w:u w:val="single"/>
          <w:cs/>
          <w:lang w:bidi="th-TH"/>
        </w:rPr>
        <w:t>การรายงาน</w:t>
      </w:r>
    </w:p>
    <w:p w14:paraId="18D6363F" w14:textId="77777777" w:rsidR="0085042C" w:rsidRPr="0020032D" w:rsidRDefault="002A0565">
      <w:pPr>
        <w:pStyle w:val="Default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>กรรมการ เจ้าหน้าที่ หรือพนักงานรายใดก็ตามของ PPG และบริษัทในเครือที่สงสัยหรือทราบว่ามีการฝ่าฝืนนโยบายฉบับนี้ หรือกฎหมายและระเบียบข้อบังคับเหล่านั้น จะต้องรายงานข้อมูลไปยังประธานเจ้าหน้าที่ฝ่ายกำกับการปฏิบัติตามกฎระเบียบของ PPG ที่ปรึกษาด้านจริยธรรมสากลและการปฏิบัติตามกฎระเบียบของบริษัท PPG หรือฝ่ายอื่นที่ระบุไว้ด้านล่างนี้ หรือผ่าน “</w:t>
      </w:r>
      <w:hyperlink r:id="rId20" w:history="1">
        <w:r w:rsidRPr="0020032D">
          <w:rPr>
            <w:rStyle w:val="Hyperlink"/>
            <w:rFonts w:ascii="Cordia New" w:hAnsi="Cordia New" w:cs="Cordia New"/>
            <w:cs/>
            <w:lang w:bidi="th-TH"/>
          </w:rPr>
          <w:t>สายด่วนจริยธรรม</w:t>
        </w:r>
      </w:hyperlink>
      <w:r w:rsidRPr="0020032D">
        <w:rPr>
          <w:rFonts w:ascii="Cordia New" w:hAnsi="Cordia New" w:cs="Cordia New"/>
          <w:cs/>
          <w:lang w:bidi="th-TH"/>
        </w:rPr>
        <w:t xml:space="preserve">” ของ PPG ซึ่งเก็บข้อมูลเป็นความลับและไม่เปิดเผยชื่อ  </w:t>
      </w:r>
    </w:p>
    <w:p w14:paraId="6CEBC2CF" w14:textId="77777777" w:rsidR="0085042C" w:rsidRPr="0020032D" w:rsidRDefault="0085042C">
      <w:pPr>
        <w:pStyle w:val="Default"/>
        <w:rPr>
          <w:rFonts w:ascii="Cordia New" w:hAnsi="Cordia New" w:cs="Cordia New"/>
          <w:i/>
          <w:iCs/>
          <w:cs/>
          <w:lang w:bidi="th-TH"/>
        </w:rPr>
      </w:pPr>
    </w:p>
    <w:p w14:paraId="2B9D7AAF" w14:textId="77777777" w:rsidR="0085042C" w:rsidRPr="0020032D" w:rsidRDefault="002A0565">
      <w:pPr>
        <w:pStyle w:val="Default"/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b/>
          <w:bCs/>
          <w:u w:val="single"/>
          <w:cs/>
          <w:lang w:bidi="th-TH"/>
        </w:rPr>
        <w:t>แหล่งข้อมูล</w:t>
      </w:r>
    </w:p>
    <w:p w14:paraId="53784C3D" w14:textId="77777777" w:rsidR="0085042C" w:rsidRPr="0020032D" w:rsidRDefault="002A0565">
      <w:pPr>
        <w:pStyle w:val="Default"/>
        <w:rPr>
          <w:rFonts w:ascii="Cordia New" w:hAnsi="Cordia New" w:cs="Cordia New"/>
          <w:cs/>
          <w:lang w:bidi="th-TH"/>
        </w:rPr>
      </w:pPr>
      <w:r w:rsidRPr="0020032D">
        <w:rPr>
          <w:rFonts w:ascii="Cordia New" w:hAnsi="Cordia New" w:cs="Cordia New"/>
          <w:cs/>
          <w:lang w:bidi="th-TH"/>
        </w:rPr>
        <w:t>หากคุณมีคำถามใด ๆ เกี่ยวกับนโยบายฉบับนี้ หรือกฎหมายและระเบียบข้อบังคับที่ใช้อ้างอิง โปรดติดต่อ:</w:t>
      </w:r>
    </w:p>
    <w:p w14:paraId="491190A2" w14:textId="77777777" w:rsidR="008C3EBA" w:rsidRPr="0020032D" w:rsidRDefault="002A0565" w:rsidP="008C3EBA">
      <w:pPr>
        <w:pStyle w:val="Default"/>
        <w:numPr>
          <w:ilvl w:val="0"/>
          <w:numId w:val="2"/>
        </w:numPr>
        <w:ind w:left="763"/>
        <w:contextualSpacing/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i/>
          <w:iCs/>
          <w:cs/>
          <w:lang w:bidi="th-TH"/>
        </w:rPr>
        <w:t>ประธานเจ้าหน้าที่ฝ่ายกำกับการปฏิบัติตามกฎระเบียบของ PPG – สหรัฐฯ (412.434.3200)</w:t>
      </w:r>
    </w:p>
    <w:p w14:paraId="41E673D6" w14:textId="77777777" w:rsidR="00411E2B" w:rsidRPr="0020032D" w:rsidRDefault="00411E2B" w:rsidP="008C3EBA">
      <w:pPr>
        <w:pStyle w:val="ListParagraph"/>
        <w:numPr>
          <w:ilvl w:val="0"/>
          <w:numId w:val="2"/>
        </w:numPr>
        <w:spacing w:before="0"/>
        <w:ind w:left="763"/>
        <w:rPr>
          <w:rFonts w:ascii="Cordia New" w:eastAsiaTheme="minorHAnsi" w:hAnsi="Cordia New" w:cs="Cordia New"/>
          <w:i/>
          <w:iCs/>
          <w:color w:val="000000"/>
          <w:sz w:val="24"/>
          <w:szCs w:val="24"/>
          <w:cs/>
          <w:lang w:bidi="th-TH"/>
        </w:rPr>
      </w:pPr>
      <w:r w:rsidRPr="0020032D">
        <w:rPr>
          <w:rFonts w:ascii="Cordia New" w:hAnsi="Cordia New" w:cs="Cordia New"/>
          <w:i/>
          <w:iCs/>
          <w:color w:val="000000"/>
          <w:sz w:val="24"/>
          <w:szCs w:val="24"/>
          <w:cs/>
          <w:lang w:bidi="th-TH"/>
        </w:rPr>
        <w:t>ที่ปรึกษาด้านจริยธรรมสากลและการปฏิบัติตามกฎระเบียบของบริษัท PPG (412.434.2434)</w:t>
      </w:r>
    </w:p>
    <w:p w14:paraId="40F6C28B" w14:textId="77777777" w:rsidR="0085042C" w:rsidRPr="0020032D" w:rsidRDefault="002A0565" w:rsidP="008C3EBA">
      <w:pPr>
        <w:pStyle w:val="Default"/>
        <w:numPr>
          <w:ilvl w:val="0"/>
          <w:numId w:val="2"/>
        </w:numPr>
        <w:contextualSpacing/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i/>
          <w:iCs/>
          <w:cs/>
          <w:lang w:bidi="th-TH"/>
        </w:rPr>
        <w:t>รองประธานอาวุโสและที่ปรึกษาทั่วไปของ PPG – สหรัฐฯ (412.434.2471)</w:t>
      </w:r>
    </w:p>
    <w:p w14:paraId="55921441" w14:textId="77777777" w:rsidR="0085042C" w:rsidRPr="0020032D" w:rsidRDefault="002A0565">
      <w:pPr>
        <w:pStyle w:val="Default"/>
        <w:numPr>
          <w:ilvl w:val="0"/>
          <w:numId w:val="2"/>
        </w:numPr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i/>
          <w:iCs/>
          <w:cs/>
          <w:lang w:bidi="th-TH"/>
        </w:rPr>
        <w:t>ที่ปรึกษาประจำภูมิภาคของ PPG:</w:t>
      </w:r>
    </w:p>
    <w:p w14:paraId="601FDF92" w14:textId="77777777" w:rsidR="0085042C" w:rsidRPr="0020032D" w:rsidRDefault="002A0565" w:rsidP="003270D8">
      <w:pPr>
        <w:pStyle w:val="Default"/>
        <w:numPr>
          <w:ilvl w:val="1"/>
          <w:numId w:val="17"/>
        </w:numPr>
        <w:rPr>
          <w:rFonts w:ascii="Cordia New" w:hAnsi="Cordia New" w:cs="Cordia New"/>
          <w:b/>
          <w:bCs/>
          <w:u w:val="single"/>
          <w:cs/>
          <w:lang w:bidi="th-TH"/>
        </w:rPr>
      </w:pPr>
      <w:r w:rsidRPr="0020032D">
        <w:rPr>
          <w:rFonts w:ascii="Cordia New" w:hAnsi="Cordia New" w:cs="Cordia New"/>
          <w:i/>
          <w:iCs/>
          <w:cs/>
          <w:lang w:bidi="th-TH"/>
        </w:rPr>
        <w:t>ที่ปรึกษาทั่วไป – เอเชียแปซิฟิก (852.2860.4569)</w:t>
      </w:r>
    </w:p>
    <w:p w14:paraId="41D0DBB3" w14:textId="77777777" w:rsidR="0085042C" w:rsidRPr="0020032D" w:rsidRDefault="002A0565" w:rsidP="003270D8">
      <w:pPr>
        <w:pStyle w:val="Default"/>
        <w:numPr>
          <w:ilvl w:val="1"/>
          <w:numId w:val="17"/>
        </w:numPr>
        <w:rPr>
          <w:rFonts w:ascii="Cordia New" w:hAnsi="Cordia New" w:cs="Cordia New"/>
          <w:i/>
          <w:iCs/>
          <w:cs/>
          <w:lang w:bidi="th-TH"/>
        </w:rPr>
      </w:pPr>
      <w:r w:rsidRPr="0020032D">
        <w:rPr>
          <w:rFonts w:ascii="Cordia New" w:hAnsi="Cordia New" w:cs="Cordia New"/>
          <w:i/>
          <w:iCs/>
          <w:cs/>
          <w:lang w:bidi="th-TH"/>
        </w:rPr>
        <w:t>ที่ปรึกษาทั่วไป – ยุโรป ตะวันออกกลาง และแอฟริกา (41.21.822.3011)</w:t>
      </w:r>
    </w:p>
    <w:p w14:paraId="36FDEF75" w14:textId="77777777" w:rsidR="0030096A" w:rsidRPr="0020032D" w:rsidRDefault="0030096A" w:rsidP="003270D8">
      <w:pPr>
        <w:pStyle w:val="Default"/>
        <w:numPr>
          <w:ilvl w:val="1"/>
          <w:numId w:val="17"/>
        </w:numPr>
        <w:rPr>
          <w:rFonts w:ascii="Cordia New" w:hAnsi="Cordia New" w:cs="Cordia New"/>
          <w:i/>
          <w:iCs/>
          <w:cs/>
          <w:lang w:bidi="th-TH"/>
        </w:rPr>
      </w:pPr>
      <w:r w:rsidRPr="0020032D">
        <w:rPr>
          <w:rFonts w:ascii="Cordia New" w:hAnsi="Cordia New" w:cs="Cordia New"/>
          <w:i/>
          <w:iCs/>
          <w:cs/>
          <w:lang w:bidi="th-TH"/>
        </w:rPr>
        <w:t>ผู้อำนวยการฝ่ายกฎหมาย – อเมริกาใต้ (55 19 2103.6082)</w:t>
      </w:r>
    </w:p>
    <w:p w14:paraId="04893EF1" w14:textId="4EAFDFD6" w:rsidR="0085042C" w:rsidRPr="0020032D" w:rsidRDefault="003270D8" w:rsidP="003270D8">
      <w:pPr>
        <w:pStyle w:val="Default"/>
        <w:numPr>
          <w:ilvl w:val="1"/>
          <w:numId w:val="17"/>
        </w:numPr>
        <w:rPr>
          <w:rFonts w:ascii="Cordia New" w:hAnsi="Cordia New" w:cs="Cordia New"/>
          <w:i/>
          <w:iCs/>
          <w:cs/>
          <w:lang w:bidi="th-TH"/>
        </w:rPr>
      </w:pPr>
      <w:r w:rsidRPr="0020032D">
        <w:rPr>
          <w:rFonts w:ascii="Cordia New" w:hAnsi="Cordia New" w:cs="Cordia New"/>
          <w:i/>
          <w:iCs/>
          <w:cs/>
          <w:lang w:bidi="th-TH"/>
        </w:rPr>
        <w:t>ผู้อำนายการฝ่ายกฎหมายและการปฏิบัติตามกฎหมาย – ลาตินอเมริกาเหนือ (52 55 5284.1779)</w:t>
      </w:r>
      <w:bookmarkStart w:id="0" w:name="_GoBack"/>
      <w:bookmarkEnd w:id="0"/>
    </w:p>
    <w:sectPr w:rsidR="0085042C" w:rsidRPr="0020032D" w:rsidSect="0085042C">
      <w:footerReference w:type="default" r:id="rId21"/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158D3" w14:textId="77777777" w:rsidR="007D40B9" w:rsidRDefault="007D40B9">
      <w:pPr>
        <w:spacing w:before="0"/>
        <w:rPr>
          <w:rFonts w:cs="Tahoma"/>
          <w:cs/>
          <w:lang w:bidi="th-TH"/>
        </w:rPr>
      </w:pPr>
      <w:r>
        <w:separator/>
      </w:r>
    </w:p>
  </w:endnote>
  <w:endnote w:type="continuationSeparator" w:id="0">
    <w:p w14:paraId="4C9A3708" w14:textId="77777777" w:rsidR="007D40B9" w:rsidRDefault="007D40B9">
      <w:pPr>
        <w:spacing w:before="0"/>
        <w:rPr>
          <w:rFonts w:cs="Tahoma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841" w14:textId="71CF81AA" w:rsidR="004C79DC" w:rsidRDefault="00ED53A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Tahoma"/>
        <w:cs/>
        <w:lang w:bidi="th-TH"/>
      </w:rPr>
    </w:pPr>
    <w:r>
      <w:rPr>
        <w:rFonts w:asciiTheme="majorHAnsi" w:hAnsiTheme="majorHAnsi" w:cs="Tahoma"/>
        <w:cs/>
        <w:lang w:bidi="th-TH"/>
      </w:rPr>
      <w:t>ฉบับแก้ไข 12/19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cs="Tahoma"/>
        <w:cs/>
        <w:lang w:bidi="th-TH"/>
      </w:rPr>
      <w:t xml:space="preserve">หน้า </w:t>
    </w:r>
    <w:r w:rsidR="004C79DC">
      <w:fldChar w:fldCharType="begin"/>
    </w:r>
    <w:r w:rsidR="004C79DC">
      <w:rPr>
        <w:rFonts w:cs="Tahoma"/>
        <w:cs/>
        <w:lang w:bidi="th-TH"/>
      </w:rPr>
      <w:instrText xml:space="preserve"> PAGE   \* MERGEFORMAT </w:instrText>
    </w:r>
    <w:r w:rsidR="004C79DC">
      <w:fldChar w:fldCharType="separate"/>
    </w:r>
    <w:r w:rsidR="0020032D" w:rsidRPr="0020032D">
      <w:rPr>
        <w:rFonts w:asciiTheme="majorHAnsi" w:hAnsiTheme="majorHAnsi" w:cs="Tahoma"/>
        <w:noProof/>
        <w:cs/>
        <w:lang w:bidi="th-TH"/>
      </w:rPr>
      <w:t>4</w:t>
    </w:r>
    <w:r w:rsidR="004C79DC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FD83" w14:textId="77777777" w:rsidR="007D40B9" w:rsidRDefault="007D40B9">
      <w:pPr>
        <w:spacing w:before="0"/>
        <w:rPr>
          <w:rFonts w:cs="Tahoma"/>
          <w:cs/>
          <w:lang w:bidi="th-TH"/>
        </w:rPr>
      </w:pPr>
      <w:r>
        <w:separator/>
      </w:r>
    </w:p>
  </w:footnote>
  <w:footnote w:type="continuationSeparator" w:id="0">
    <w:p w14:paraId="1C8B2753" w14:textId="77777777" w:rsidR="007D40B9" w:rsidRDefault="007D40B9">
      <w:pPr>
        <w:spacing w:before="0"/>
        <w:rPr>
          <w:rFonts w:cs="Tahoma"/>
          <w:cs/>
          <w:lang w:bidi="th-T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5pt;height:9.25pt" o:bullet="t">
        <v:imagedata r:id="rId1" o:title="art8ED"/>
      </v:shape>
    </w:pict>
  </w:numPicBullet>
  <w:abstractNum w:abstractNumId="0" w15:restartNumberingAfterBreak="0">
    <w:nsid w:val="08D62D33"/>
    <w:multiLevelType w:val="hybridMultilevel"/>
    <w:tmpl w:val="718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E42C1"/>
    <w:multiLevelType w:val="hybridMultilevel"/>
    <w:tmpl w:val="638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D5C5A"/>
    <w:multiLevelType w:val="hybridMultilevel"/>
    <w:tmpl w:val="75D00B10"/>
    <w:lvl w:ilvl="0" w:tplc="CEA088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A24A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A2A0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2E2DE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DDA35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9DE113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E78EF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A2E1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7B42F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3F9E530B"/>
    <w:multiLevelType w:val="hybridMultilevel"/>
    <w:tmpl w:val="1B1C5306"/>
    <w:lvl w:ilvl="0" w:tplc="A1C0F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E77A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CC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AA2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C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42A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A85C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A0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A83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5D3908"/>
    <w:multiLevelType w:val="hybridMultilevel"/>
    <w:tmpl w:val="2AD0B15C"/>
    <w:lvl w:ilvl="0" w:tplc="AD7E46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2891"/>
    <w:multiLevelType w:val="hybridMultilevel"/>
    <w:tmpl w:val="60B69E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5C8311B"/>
    <w:multiLevelType w:val="hybridMultilevel"/>
    <w:tmpl w:val="127443C2"/>
    <w:lvl w:ilvl="0" w:tplc="E5BAB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E8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C90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8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2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E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9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6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6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73743D"/>
    <w:multiLevelType w:val="hybridMultilevel"/>
    <w:tmpl w:val="2050E47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C9A51AB"/>
    <w:multiLevelType w:val="hybridMultilevel"/>
    <w:tmpl w:val="A4887D18"/>
    <w:lvl w:ilvl="0" w:tplc="80DA8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C3C6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615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61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A0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67C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40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07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659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BB48F6"/>
    <w:multiLevelType w:val="hybridMultilevel"/>
    <w:tmpl w:val="9C66A0A2"/>
    <w:lvl w:ilvl="0" w:tplc="F77875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97488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9EEFE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7ECDD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492EFD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981B6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460BD0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BE826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81E1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69F1114A"/>
    <w:multiLevelType w:val="hybridMultilevel"/>
    <w:tmpl w:val="DB2E2CDE"/>
    <w:lvl w:ilvl="0" w:tplc="C1F2F4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D832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9A0D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20F3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3CE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FAD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FA38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320A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A39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C366AB"/>
    <w:multiLevelType w:val="hybridMultilevel"/>
    <w:tmpl w:val="00E25980"/>
    <w:lvl w:ilvl="0" w:tplc="3D9C144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D2606"/>
    <w:multiLevelType w:val="hybridMultilevel"/>
    <w:tmpl w:val="FD3C8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D2C5D"/>
    <w:multiLevelType w:val="hybridMultilevel"/>
    <w:tmpl w:val="6564265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2C"/>
    <w:rsid w:val="0010137D"/>
    <w:rsid w:val="001023E7"/>
    <w:rsid w:val="001B70A7"/>
    <w:rsid w:val="001F44D4"/>
    <w:rsid w:val="001F59D3"/>
    <w:rsid w:val="0020032D"/>
    <w:rsid w:val="002009CC"/>
    <w:rsid w:val="00201E84"/>
    <w:rsid w:val="002A0565"/>
    <w:rsid w:val="002C4D14"/>
    <w:rsid w:val="002C689C"/>
    <w:rsid w:val="002F6302"/>
    <w:rsid w:val="0030096A"/>
    <w:rsid w:val="00301743"/>
    <w:rsid w:val="00302DF2"/>
    <w:rsid w:val="003270D8"/>
    <w:rsid w:val="003477D5"/>
    <w:rsid w:val="0034795A"/>
    <w:rsid w:val="003821E3"/>
    <w:rsid w:val="003B7A3B"/>
    <w:rsid w:val="003E2ED3"/>
    <w:rsid w:val="003F53E9"/>
    <w:rsid w:val="003F5BF6"/>
    <w:rsid w:val="00411E2B"/>
    <w:rsid w:val="004534BC"/>
    <w:rsid w:val="004A7148"/>
    <w:rsid w:val="004C79DC"/>
    <w:rsid w:val="004E1F0A"/>
    <w:rsid w:val="004E359F"/>
    <w:rsid w:val="00504F8B"/>
    <w:rsid w:val="005A6891"/>
    <w:rsid w:val="005B3B81"/>
    <w:rsid w:val="005F19D4"/>
    <w:rsid w:val="00670AE0"/>
    <w:rsid w:val="00764DF4"/>
    <w:rsid w:val="007802EF"/>
    <w:rsid w:val="007B5071"/>
    <w:rsid w:val="007D40B9"/>
    <w:rsid w:val="00815680"/>
    <w:rsid w:val="00844DDF"/>
    <w:rsid w:val="0085042C"/>
    <w:rsid w:val="008C3EBA"/>
    <w:rsid w:val="00902A82"/>
    <w:rsid w:val="00915FB0"/>
    <w:rsid w:val="00985CFB"/>
    <w:rsid w:val="009F420F"/>
    <w:rsid w:val="00A47E7A"/>
    <w:rsid w:val="00A55EC2"/>
    <w:rsid w:val="00A957D3"/>
    <w:rsid w:val="00AA7101"/>
    <w:rsid w:val="00AC350E"/>
    <w:rsid w:val="00AC37DC"/>
    <w:rsid w:val="00AD5545"/>
    <w:rsid w:val="00AF084C"/>
    <w:rsid w:val="00B05D5A"/>
    <w:rsid w:val="00B21148"/>
    <w:rsid w:val="00B5431E"/>
    <w:rsid w:val="00BF33FD"/>
    <w:rsid w:val="00C54B31"/>
    <w:rsid w:val="00C613B2"/>
    <w:rsid w:val="00D07999"/>
    <w:rsid w:val="00D10839"/>
    <w:rsid w:val="00D73F88"/>
    <w:rsid w:val="00D93250"/>
    <w:rsid w:val="00DA425F"/>
    <w:rsid w:val="00DB76C7"/>
    <w:rsid w:val="00E00542"/>
    <w:rsid w:val="00E05FB7"/>
    <w:rsid w:val="00E95A14"/>
    <w:rsid w:val="00EB7D4D"/>
    <w:rsid w:val="00ED53A3"/>
    <w:rsid w:val="00F30C7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F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042C"/>
    <w:pPr>
      <w:autoSpaceDE w:val="0"/>
      <w:autoSpaceDN w:val="0"/>
      <w:adjustRightInd w:val="0"/>
      <w:spacing w:before="80" w:after="0" w:line="240" w:lineRule="auto"/>
    </w:pPr>
    <w:rPr>
      <w:rFonts w:ascii="Tahoma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42C"/>
    <w:pPr>
      <w:autoSpaceDE w:val="0"/>
      <w:autoSpaceDN w:val="0"/>
      <w:adjustRightInd w:val="0"/>
      <w:spacing w:after="0" w:line="240" w:lineRule="auto"/>
    </w:pPr>
    <w:rPr>
      <w:rFonts w:ascii="Tahom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2C"/>
    <w:pPr>
      <w:autoSpaceDE/>
      <w:autoSpaceDN/>
      <w:adjustRightInd/>
      <w:spacing w:before="0"/>
    </w:pPr>
    <w:rPr>
      <w:rFonts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42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042C"/>
    <w:rPr>
      <w:rFonts w:ascii="Tahoma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042C"/>
    <w:rPr>
      <w:rFonts w:ascii="Tahoma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4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D4"/>
    <w:rPr>
      <w:rFonts w:ascii="Tahoma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D4"/>
    <w:rPr>
      <w:rFonts w:ascii="Tahoma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7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7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7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9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4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2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633">
              <w:marLeft w:val="0"/>
              <w:marRight w:val="3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9E9E9"/>
                        <w:left w:val="single" w:sz="4" w:space="6" w:color="E9E9E9"/>
                        <w:bottom w:val="single" w:sz="4" w:space="6" w:color="E9E9E9"/>
                        <w:right w:val="single" w:sz="4" w:space="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1867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2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orporate.ppg.com/Our-Company/Ethics.aspx" TargetMode="External"/><Relationship Id="rId18" Type="http://schemas.openxmlformats.org/officeDocument/2006/relationships/hyperlink" Target="https://one.web.ppg.com/na/ethics/en/Pages/Third-Party-Due-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one.web.ppg.com/na/globalfinance/policies/Documents/CM.pdf" TargetMode="External"/><Relationship Id="rId17" Type="http://schemas.openxmlformats.org/officeDocument/2006/relationships/hyperlink" Target="https://one.web.ppg.com/na/globalfinance/policies/Documents/C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e.web.ppg.com/na/travel/TE/Policies/2018%20Policies/PPG%20Global%20Travel%20Policy%20030118.pdf" TargetMode="External"/><Relationship Id="rId20" Type="http://schemas.openxmlformats.org/officeDocument/2006/relationships/hyperlink" Target="https://app.convercent.com/en-us/LandingPage/ada23786-4d8b-e611-810b-000d3ab2fee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rporate.ppg.com/Our-Company/Ethic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one.web.ppg.com/na/ethics/en/Pages/Due-Diligence-Policies-and-Procedures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corporate.ppg.com/Our-Company/Ethic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orporate.ppg.com/Our-Company/Ethics.asp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C239AD5C10548B01EB05D2CE458CF" ma:contentTypeVersion="4" ma:contentTypeDescription="Create a new document." ma:contentTypeScope="" ma:versionID="65fd16864e68018b9e3939b8f0f274a4">
  <xsd:schema xmlns:xsd="http://www.w3.org/2001/XMLSchema" xmlns:xs="http://www.w3.org/2001/XMLSchema" xmlns:p="http://schemas.microsoft.com/office/2006/metadata/properties" xmlns:ns1="http://schemas.microsoft.com/sharepoint/v3" xmlns:ns2="a78e3f42-8b58-4cf5-a404-787808b7749f" targetNamespace="http://schemas.microsoft.com/office/2006/metadata/properties" ma:root="true" ma:fieldsID="450291bc940ef47ead59f383331a6da3" ns1:_="" ns2:_="">
    <xsd:import namespace="http://schemas.microsoft.com/sharepoint/v3"/>
    <xsd:import namespace="a78e3f42-8b58-4cf5-a404-787808b774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3f42-8b58-4cf5-a404-787808b77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4DA8A-4275-404A-8F87-31BF73144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e3f42-8b58-4cf5-a404-787808b77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29663-5853-4DD1-8258-892CFC41AC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C8AC8B-8DD9-4129-AC12-EBA15D9F6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2019-11-26T20:23:00Z</dcterms:created>
  <dcterms:modified xsi:type="dcterms:W3CDTF">2020-01-21T03:22:00Z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0x01010096CC239AD5C10548B01EB05D2CE458CF</vt:lpwstr>
  </property>
  <property fmtid="{D5CDD505-2E9C-101B-9397-08002B2CF9AE}" pid="3" name="Order">
    <vt:r8>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