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608A" w:rsidR="00DD608A" w:rsidP="1343F1B1" w:rsidRDefault="00DD608A" w14:paraId="3267F8E9" w14:textId="7572EBA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343F1B1" w:rsidR="00DD608A">
        <w:rPr>
          <w:rStyle w:val="normaltextrun"/>
          <w:rFonts w:ascii="Calibri Light" w:hAnsi="Calibri Light" w:cs="Calibri Light"/>
          <w:b w:val="1"/>
          <w:bCs w:val="1"/>
          <w:color w:val="2E74B5" w:themeColor="accent5" w:themeTint="FF" w:themeShade="BF"/>
          <w:sz w:val="31"/>
          <w:szCs w:val="31"/>
          <w:u w:val="single"/>
        </w:rPr>
        <w:t xml:space="preserve">Procedure </w:t>
      </w:r>
      <w:r w:rsidRPr="1343F1B1" w:rsidR="00DD608A">
        <w:rPr>
          <w:rStyle w:val="normaltextrun"/>
          <w:rFonts w:ascii="Calibri Light" w:hAnsi="Calibri Light" w:cs="Calibri Light"/>
          <w:b w:val="1"/>
          <w:bCs w:val="1"/>
          <w:color w:val="2E74B5" w:themeColor="accent5" w:themeTint="FF" w:themeShade="BF"/>
          <w:sz w:val="31"/>
          <w:szCs w:val="31"/>
          <w:u w:val="single"/>
        </w:rPr>
        <w:t>toetsafname</w:t>
      </w:r>
      <w:r w:rsidRPr="1343F1B1" w:rsidR="00DD608A">
        <w:rPr>
          <w:rStyle w:val="normaltextrun"/>
          <w:rFonts w:ascii="Calibri Light" w:hAnsi="Calibri Light" w:cs="Calibri Light"/>
          <w:b w:val="1"/>
          <w:bCs w:val="1"/>
          <w:color w:val="2E74B5" w:themeColor="accent5" w:themeTint="FF" w:themeShade="BF"/>
          <w:sz w:val="31"/>
          <w:szCs w:val="31"/>
          <w:u w:val="single"/>
        </w:rPr>
        <w:t xml:space="preserve"> selectie ACTA 2024-2025</w:t>
      </w:r>
      <w:r w:rsidRPr="1343F1B1" w:rsidR="00DD608A">
        <w:rPr>
          <w:rStyle w:val="scxw68471071"/>
          <w:rFonts w:ascii="Calibri Light" w:hAnsi="Calibri Light" w:cs="Calibri Light"/>
          <w:color w:val="2E74B5" w:themeColor="accent5" w:themeTint="FF" w:themeShade="BF"/>
          <w:sz w:val="31"/>
          <w:szCs w:val="31"/>
        </w:rPr>
        <w:t> </w:t>
      </w:r>
      <w:r>
        <w:br/>
      </w:r>
      <w:r w:rsidRPr="1343F1B1" w:rsidR="00DD608A">
        <w:rPr>
          <w:rStyle w:val="scxw68471071"/>
          <w:rFonts w:ascii="Calibri Light" w:hAnsi="Calibri Light" w:cs="Calibri Light"/>
          <w:color w:val="2E74B5" w:themeColor="accent5" w:themeTint="FF" w:themeShade="BF"/>
          <w:sz w:val="31"/>
          <w:szCs w:val="31"/>
        </w:rPr>
        <w:t> </w:t>
      </w:r>
      <w:r w:rsidRPr="1343F1B1" w:rsidR="00DD608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DD608A" w:rsidR="00DD608A" w:rsidP="1343F1B1" w:rsidRDefault="00DD608A" w14:paraId="59C4C76D" w14:textId="63A404B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Kandidaten worden geadviseerd regelmatig de pagina  </w:t>
      </w:r>
      <w:hyperlink r:id="R140706c33cf642d2">
        <w:r w:rsidRPr="1343F1B1" w:rsidR="00DD608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Updates</w:t>
        </w:r>
      </w:hyperlink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te 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bekijken :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“</w:t>
      </w:r>
      <w:r w:rsidRPr="1343F1B1" w:rsidR="00DD608A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Houd gedurende het jaar het onderdeel Updates goed in de gaten. Belangrijk nieuws </w:t>
      </w:r>
      <w:r w:rsidRPr="1343F1B1" w:rsidR="38E70D0E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over de selectieprocedure en de toetsdag </w:t>
      </w:r>
      <w:r w:rsidRPr="1343F1B1" w:rsidR="00DD608A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en eventuele wijzigingen zullen hier vermeld worden.”</w:t>
      </w:r>
      <w:r w:rsidRPr="1343F1B1" w:rsidR="00DD608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DD608A" w:rsidR="00DD608A" w:rsidP="00DD608A" w:rsidRDefault="00DD608A" w14:paraId="6D2397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0966FA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Op 26 januari 2024  ontvangen alle kandidaten die zich tijdig via Studielink hebben aangemeld en die tijdig en op de juiste wijze een Persoonlijk Dossier hebben geüpload per e-mail de login gegevens voor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toetsdag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op 3 februari 2024.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4EB661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45B5CD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 xml:space="preserve">Oefenen met </w:t>
      </w:r>
      <w:proofErr w:type="spellStart"/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>TestVision</w:t>
      </w:r>
      <w:proofErr w:type="spellEnd"/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> </w:t>
      </w:r>
      <w:r w:rsidRPr="00DD608A">
        <w:rPr>
          <w:rStyle w:val="eop"/>
          <w:rFonts w:ascii="Calibri Light" w:hAnsi="Calibri Light" w:cs="Calibri Light"/>
          <w:color w:val="2E74B5"/>
          <w:sz w:val="25"/>
          <w:szCs w:val="25"/>
        </w:rPr>
        <w:t> </w:t>
      </w:r>
    </w:p>
    <w:p w:rsidRPr="00DD608A" w:rsidR="00DD608A" w:rsidP="1343F1B1" w:rsidRDefault="00DD608A" w14:paraId="6A8FB317" w14:textId="5DB6EAF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De </w:t>
      </w:r>
      <w:r w:rsidRPr="1343F1B1" w:rsidR="71255BD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biomedische toets zal worden a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fgenomen met behulp van het toets-programma 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TestVision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. </w:t>
      </w:r>
      <w:r w:rsidRPr="1343F1B1" w:rsidR="00DD608A">
        <w:rPr>
          <w:rStyle w:val="scxw68471071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>
        <w:br/>
      </w:r>
      <w:r w:rsidRPr="1343F1B1" w:rsidR="00DD608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DD608A" w:rsidR="00DD608A" w:rsidP="00DD608A" w:rsidRDefault="00DD608A" w14:paraId="25D664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Er wordt een oefentoets voor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TestVision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beschikbaar gesteld, waardoor kandidaten kunnen oefenen met dit programma. Het tijdig maken van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TestVision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oefentoets wordt sterk aangeraden en dit wordt ook zo gecommuniceerd. Hierdoor kunnen tijdig eventuele problemen met inloggen opgespoord en hersteld worden.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2CEBB8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Met de inloggegevens uit de e-mail van 26 januari 2024  kan 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vanaf dat moment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een oefentoets gemaakt worden. Problemen met het inloggen voor de oefentoets kunnen t/m 2 februari gemeld worden via </w:t>
      </w:r>
      <w:hyperlink w:tgtFrame="_blank" w:history="1" r:id="rId6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icto@acta.nl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1343F1B1" w:rsidRDefault="00DD608A" w14:paraId="6A05D137" w14:textId="251FC7F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343F1B1" w:rsidR="00DD608A">
        <w:rPr>
          <w:rStyle w:val="scxw68471071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>
        <w:br/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Deze oefentoets is puur 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systeem-technisch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er worden geen inhoudelijke oefenvragen aangeboden. De oefentoets is, net als de biomedische toets, 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opgesteld  in</w:t>
      </w:r>
      <w:r w:rsidRPr="1343F1B1" w:rsidR="00DD608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het Nederlands.</w:t>
      </w:r>
      <w:r w:rsidRPr="1343F1B1" w:rsidR="00DD608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DD608A" w:rsidR="00DD608A" w:rsidP="00DD608A" w:rsidRDefault="00DD608A" w14:paraId="7C382B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11EEBA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>Kandidaten met een beperking</w:t>
      </w:r>
      <w:r w:rsidRPr="00DD608A">
        <w:rPr>
          <w:rStyle w:val="eop"/>
          <w:rFonts w:ascii="Calibri Light" w:hAnsi="Calibri Light" w:cs="Calibri Light"/>
          <w:color w:val="2E74B5"/>
          <w:sz w:val="25"/>
          <w:szCs w:val="25"/>
        </w:rPr>
        <w:t> </w:t>
      </w:r>
    </w:p>
    <w:p w:rsidRPr="00DD608A" w:rsidR="00DD608A" w:rsidP="00DD608A" w:rsidRDefault="00DD608A" w14:paraId="0E87A3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Kandidaten met een beperking kunnen in aanmerking komen voor een verlenging van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toetstijd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Meer informatie hierover is te vinden op de pagina </w:t>
      </w:r>
      <w:hyperlink w:tgtFrame="_blank" w:history="1" r:id="rId7"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Toetsdag</w:t>
        </w:r>
        <w:proofErr w:type="spellEnd"/>
      </w:hyperlink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.</w:t>
      </w: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0489AC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 xml:space="preserve">Fraude of het schenden van de regels tijdens de </w:t>
      </w:r>
      <w:proofErr w:type="spellStart"/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>toetsdag</w:t>
      </w:r>
      <w:proofErr w:type="spellEnd"/>
      <w:r w:rsidRPr="00DD608A">
        <w:rPr>
          <w:rStyle w:val="eop"/>
          <w:rFonts w:ascii="Calibri Light" w:hAnsi="Calibri Light" w:cs="Calibri Light"/>
          <w:color w:val="2E74B5"/>
          <w:sz w:val="25"/>
          <w:szCs w:val="25"/>
        </w:rPr>
        <w:t> </w:t>
      </w:r>
    </w:p>
    <w:p w:rsidRPr="00DD608A" w:rsidR="00DD608A" w:rsidP="00DD608A" w:rsidRDefault="00DD608A" w14:paraId="30B485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 regels die gelden tijdens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toetsafname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en consequenties bij overtreding daarvan, kun je vinden in het document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Toetsreglement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Selectie ACTA 2024-2025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op de pagina </w:t>
      </w:r>
      <w:hyperlink w:tgtFrame="_blank" w:history="1" r:id="rId8"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Toetsdag</w:t>
        </w:r>
        <w:proofErr w:type="spellEnd"/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186A04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 Light" w:hAnsi="Calibri Light" w:cs="Calibri Light"/>
          <w:color w:val="2E74B5"/>
          <w:sz w:val="25"/>
          <w:szCs w:val="25"/>
        </w:rPr>
        <w:t>Ondersteuning en contact</w:t>
      </w:r>
      <w:r w:rsidRPr="00DD608A">
        <w:rPr>
          <w:rStyle w:val="eop"/>
          <w:rFonts w:ascii="Calibri Light" w:hAnsi="Calibri Light" w:cs="Calibri Light"/>
          <w:color w:val="2E74B5"/>
          <w:sz w:val="25"/>
          <w:szCs w:val="25"/>
        </w:rPr>
        <w:t> </w:t>
      </w:r>
    </w:p>
    <w:p w:rsidRPr="00DD608A" w:rsidR="00DD608A" w:rsidP="00DD608A" w:rsidRDefault="00DD608A" w14:paraId="364CF0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Voorafgaand aan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toetsdag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kunnen alle niet-technische vragen gesteld worden via </w:t>
      </w:r>
      <w:hyperlink w:tgtFrame="_blank" w:history="1" r:id="rId9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onderwijsbureau@acta.nl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Het Onderwijsbureau is tijdens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toetsdag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níet bereikbaar.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1343F1B1" w:rsidRDefault="00DD608A" w14:paraId="40BD46CD" w14:textId="6287FE1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343F1B1" w:rsidR="00DD608A">
        <w:rPr>
          <w:rStyle w:val="scxw68471071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 w:rsidRPr="1343F1B1" w:rsidR="00DD608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Pr="00DD608A" w:rsidR="00DD608A" w:rsidP="00DD608A" w:rsidRDefault="00DD608A" w14:paraId="3851F7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 xml:space="preserve">In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TestVision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heeft elke vraag een vakje ‘Reactie bij deze vraag’ waar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toetsinhoudelijke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zaken gemeld kunnen worden. </w:t>
      </w: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3B9B1D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Tijdens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toetsdag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is op elke locatie een lid van de selectiecommissie aanwezig. De ACTA afdeling ICTO verzorgt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toetsafname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onder verantwoordelijkheid van de selectiecommissie. </w:t>
      </w: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Toestemming en privacy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48C6B4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Zoals vermeld op de ACTA website: van een kandidaat die tijdens de selectieprocedure minderjarig is, wordt door de selectiecommissie aangenomen dat hij deelneemt met toestemming van de ouder(s)/voogd(en).</w:t>
      </w: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09FA06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 selectieprocedure, inclusief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toetsafname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valt onder het privacy statement zoals vermeld op de ACTA website. </w:t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57C6D7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025733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scxw68471071"/>
          <w:rFonts w:ascii="Calibri" w:hAnsi="Calibri" w:cs="Calibri"/>
          <w:color w:val="000000"/>
          <w:sz w:val="22"/>
          <w:szCs w:val="22"/>
        </w:rPr>
        <w:t> </w:t>
      </w:r>
      <w:r w:rsidRPr="00DD608A">
        <w:rPr>
          <w:rFonts w:ascii="Calibri" w:hAnsi="Calibri" w:cs="Calibri"/>
          <w:color w:val="000000"/>
          <w:sz w:val="22"/>
          <w:szCs w:val="22"/>
        </w:rPr>
        <w:br/>
      </w:r>
      <w:r w:rsidRPr="00DD608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DD608A" w:rsidR="00DD608A" w:rsidP="00DD608A" w:rsidRDefault="00DD608A" w14:paraId="66687E7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608A">
        <w:rPr>
          <w:rStyle w:val="eop"/>
          <w:rFonts w:ascii="Calibri" w:hAnsi="Calibri" w:cs="Calibri"/>
          <w:sz w:val="22"/>
          <w:szCs w:val="22"/>
        </w:rPr>
        <w:t> </w:t>
      </w:r>
    </w:p>
    <w:p w:rsidR="00DD608A" w:rsidRDefault="00DD608A" w14:paraId="08833FB3" w14:textId="77777777"/>
    <w:sectPr w:rsidR="00D102A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8A"/>
    <w:rsid w:val="0017419D"/>
    <w:rsid w:val="003724BC"/>
    <w:rsid w:val="008201D8"/>
    <w:rsid w:val="00842FE0"/>
    <w:rsid w:val="00D5127C"/>
    <w:rsid w:val="00D61854"/>
    <w:rsid w:val="00DD608A"/>
    <w:rsid w:val="059B4051"/>
    <w:rsid w:val="0E70808E"/>
    <w:rsid w:val="0F7D6BDE"/>
    <w:rsid w:val="1343F1B1"/>
    <w:rsid w:val="38E70D0E"/>
    <w:rsid w:val="3DF9A3A7"/>
    <w:rsid w:val="71255BDB"/>
    <w:rsid w:val="78A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67"/>
  <w15:chartTrackingRefBased/>
  <w15:docId w15:val="{DA8D3128-233D-4874-8A83-FC309F12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D60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  <w:style w:type="character" w:styleId="normaltextrun" w:customStyle="1">
    <w:name w:val="normaltextrun"/>
    <w:basedOn w:val="DefaultParagraphFont"/>
    <w:rsid w:val="00DD608A"/>
  </w:style>
  <w:style w:type="character" w:styleId="scxw68471071" w:customStyle="1">
    <w:name w:val="scxw68471071"/>
    <w:basedOn w:val="DefaultParagraphFont"/>
    <w:rsid w:val="00DD608A"/>
  </w:style>
  <w:style w:type="character" w:styleId="eop" w:customStyle="1">
    <w:name w:val="eop"/>
    <w:basedOn w:val="DefaultParagraphFont"/>
    <w:rsid w:val="00DD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cta.nl/nl/onderwijs/meer-over/toetsdag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s://acta.nl/nl/onderwijs/meer-over/toetsdag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icto@acta.nl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mailto:onderwijsbureau@acta.nl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acta.nl/nl/onderwijs/bachelor-tandheelkunde/toelating" TargetMode="External" Id="R140706c33cf642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93A42C319FB4A8B30888A9916915B" ma:contentTypeVersion="16" ma:contentTypeDescription="Create a new document." ma:contentTypeScope="" ma:versionID="b1e38f5d2413ea1d8ea302361365d530">
  <xsd:schema xmlns:xsd="http://www.w3.org/2001/XMLSchema" xmlns:xs="http://www.w3.org/2001/XMLSchema" xmlns:p="http://schemas.microsoft.com/office/2006/metadata/properties" xmlns:ns1="http://schemas.microsoft.com/sharepoint/v3" xmlns:ns2="119e9dc5-ad87-45e4-9ea3-b631cec925c5" xmlns:ns3="69765198-7a33-41ca-b8b6-c684f8eded81" targetNamespace="http://schemas.microsoft.com/office/2006/metadata/properties" ma:root="true" ma:fieldsID="01ba57a227a378917992e449724e24ae" ns1:_="" ns2:_="" ns3:_="">
    <xsd:import namespace="http://schemas.microsoft.com/sharepoint/v3"/>
    <xsd:import namespace="119e9dc5-ad87-45e4-9ea3-b631cec925c5"/>
    <xsd:import namespace="69765198-7a33-41ca-b8b6-c684f8ede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e9dc5-ad87-45e4-9ea3-b631cec92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65198-7a33-41ca-b8b6-c684f8ede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15556e-4d89-49d3-a4e8-d5855307f56e}" ma:internalName="TaxCatchAll" ma:showField="CatchAllData" ma:web="69765198-7a33-41ca-b8b6-c684f8ede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9765198-7a33-41ca-b8b6-c684f8eded81" xsi:nil="true"/>
    <lcf76f155ced4ddcb4097134ff3c332f xmlns="119e9dc5-ad87-45e4-9ea3-b631cec925c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BB4DA-5E33-42B2-9D88-B4173D83294D}"/>
</file>

<file path=customXml/itemProps2.xml><?xml version="1.0" encoding="utf-8"?>
<ds:datastoreItem xmlns:ds="http://schemas.openxmlformats.org/officeDocument/2006/customXml" ds:itemID="{058A9536-9A56-4758-9A96-67130D4A35C1}"/>
</file>

<file path=customXml/itemProps3.xml><?xml version="1.0" encoding="utf-8"?>
<ds:datastoreItem xmlns:ds="http://schemas.openxmlformats.org/officeDocument/2006/customXml" ds:itemID="{166C20B5-A93A-4D6D-9360-D7406B35F0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M.L.C. (MLC)</dc:creator>
  <cp:keywords/>
  <dc:description/>
  <cp:lastModifiedBy>Walraven, M.L.C. (MLC)</cp:lastModifiedBy>
  <cp:revision>2</cp:revision>
  <dcterms:created xsi:type="dcterms:W3CDTF">2023-09-19T12:32:00Z</dcterms:created>
  <dcterms:modified xsi:type="dcterms:W3CDTF">2023-09-21T11:28:44Z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0x0101005C393A42C319FB4A8B30888A9916915B</vt:lpwstr>
  </property>
  <property fmtid="{D5CDD505-2E9C-101B-9397-08002B2CF9AE}" pid="3" name="MediaServiceImageTags">
    <vt:lpwstr/>
  </property>
</Properties>
</file>