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F0" w:rsidRPr="007267D6" w:rsidRDefault="00C15BF0" w:rsidP="00C15BF0">
      <w:pPr>
        <w:pStyle w:val="kop2ovk"/>
        <w:rPr>
          <w:bCs/>
          <w:lang w:val="nl-NL"/>
        </w:rPr>
      </w:pPr>
      <w:bookmarkStart w:id="0" w:name="_GoBack"/>
      <w:bookmarkEnd w:id="0"/>
      <w:r w:rsidRPr="007267D6">
        <w:rPr>
          <w:bCs/>
          <w:lang w:val="nl-NL"/>
        </w:rPr>
        <w:t xml:space="preserve">Voorwaarden m.b.t. </w:t>
      </w:r>
      <w:r w:rsidR="00DC3871">
        <w:rPr>
          <w:bCs/>
          <w:lang w:val="nl-NL"/>
        </w:rPr>
        <w:t xml:space="preserve">deelname </w:t>
      </w:r>
      <w:r w:rsidRPr="007267D6">
        <w:rPr>
          <w:bCs/>
          <w:lang w:val="nl-NL"/>
        </w:rPr>
        <w:t xml:space="preserve"> GHX Benelux</w:t>
      </w:r>
      <w:r w:rsidR="00DC3871">
        <w:rPr>
          <w:bCs/>
          <w:lang w:val="nl-NL"/>
        </w:rPr>
        <w:t xml:space="preserve"> platform</w:t>
      </w:r>
    </w:p>
    <w:p w:rsidR="00C15BF0" w:rsidRPr="007267D6" w:rsidRDefault="00C15BF0" w:rsidP="00C15BF0">
      <w:pPr>
        <w:rPr>
          <w:rFonts w:ascii="Arial" w:hAnsi="Arial" w:cs="Arial"/>
          <w:b/>
          <w:sz w:val="22"/>
          <w:szCs w:val="22"/>
        </w:rPr>
      </w:pPr>
    </w:p>
    <w:p w:rsidR="00C15BF0" w:rsidRPr="007267D6" w:rsidRDefault="00C15BF0" w:rsidP="00C15BF0">
      <w:pPr>
        <w:rPr>
          <w:rFonts w:ascii="Arial" w:hAnsi="Arial" w:cs="Arial"/>
          <w:b/>
          <w:sz w:val="22"/>
          <w:szCs w:val="22"/>
        </w:rPr>
      </w:pPr>
    </w:p>
    <w:p w:rsidR="00C15BF0" w:rsidRPr="007267D6" w:rsidRDefault="00C15BF0" w:rsidP="00C15BF0">
      <w:pPr>
        <w:numPr>
          <w:ilvl w:val="0"/>
          <w:numId w:val="1"/>
        </w:numPr>
        <w:tabs>
          <w:tab w:val="num" w:pos="360"/>
        </w:tabs>
        <w:ind w:hanging="1065"/>
        <w:rPr>
          <w:rFonts w:ascii="Arial" w:hAnsi="Arial" w:cs="Arial"/>
          <w:b/>
          <w:sz w:val="22"/>
          <w:szCs w:val="22"/>
        </w:rPr>
      </w:pPr>
      <w:r w:rsidRPr="007267D6">
        <w:rPr>
          <w:rFonts w:ascii="Arial" w:hAnsi="Arial" w:cs="Arial"/>
          <w:b/>
          <w:sz w:val="22"/>
          <w:szCs w:val="22"/>
        </w:rPr>
        <w:t>Algemeen</w:t>
      </w:r>
    </w:p>
    <w:p w:rsidR="00C15BF0" w:rsidRPr="007267D6" w:rsidRDefault="00C15BF0" w:rsidP="00C15BF0">
      <w:pPr>
        <w:ind w:left="360"/>
        <w:rPr>
          <w:rFonts w:ascii="Arial" w:hAnsi="Arial" w:cs="Arial"/>
          <w:b/>
          <w:sz w:val="22"/>
          <w:szCs w:val="22"/>
        </w:rPr>
      </w:pPr>
    </w:p>
    <w:p w:rsidR="00C15BF0" w:rsidRPr="007267D6" w:rsidRDefault="00C15BF0" w:rsidP="00C15BF0">
      <w:pPr>
        <w:numPr>
          <w:ilvl w:val="1"/>
          <w:numId w:val="2"/>
        </w:numPr>
        <w:tabs>
          <w:tab w:val="clear" w:pos="360"/>
          <w:tab w:val="left" w:pos="-1439"/>
          <w:tab w:val="left" w:pos="-719"/>
          <w:tab w:val="left" w:pos="1"/>
          <w:tab w:val="num" w:pos="720"/>
          <w:tab w:val="left" w:pos="1441"/>
          <w:tab w:val="left" w:pos="2161"/>
          <w:tab w:val="left" w:pos="2881"/>
          <w:tab w:val="left" w:pos="3601"/>
          <w:tab w:val="left" w:pos="4321"/>
          <w:tab w:val="left" w:pos="5041"/>
          <w:tab w:val="left" w:pos="5761"/>
          <w:tab w:val="left" w:pos="6481"/>
          <w:tab w:val="left" w:pos="7201"/>
          <w:tab w:val="left" w:pos="7921"/>
          <w:tab w:val="left" w:pos="8641"/>
        </w:tabs>
        <w:spacing w:line="216" w:lineRule="auto"/>
        <w:ind w:left="720" w:right="-282" w:hanging="720"/>
        <w:rPr>
          <w:rFonts w:ascii="Arial" w:hAnsi="Arial" w:cs="Arial"/>
          <w:sz w:val="22"/>
          <w:szCs w:val="22"/>
        </w:rPr>
      </w:pPr>
      <w:r w:rsidRPr="007267D6">
        <w:rPr>
          <w:rFonts w:ascii="Arial" w:hAnsi="Arial" w:cs="Arial"/>
          <w:sz w:val="22"/>
          <w:szCs w:val="22"/>
        </w:rPr>
        <w:t>UMC meldt Leverancier aan bij GHX Benelux en geeft daarmee Leverancier toestemming zijn producten via de applicatie aan te bieden.</w:t>
      </w:r>
    </w:p>
    <w:p w:rsidR="00C15BF0" w:rsidRPr="007267D6" w:rsidRDefault="00C15BF0" w:rsidP="00C15BF0">
      <w:pPr>
        <w:numPr>
          <w:ilvl w:val="1"/>
          <w:numId w:val="2"/>
        </w:numPr>
        <w:tabs>
          <w:tab w:val="clear" w:pos="360"/>
          <w:tab w:val="left" w:pos="-1439"/>
          <w:tab w:val="left" w:pos="-719"/>
          <w:tab w:val="left" w:pos="1"/>
          <w:tab w:val="num" w:pos="720"/>
          <w:tab w:val="left" w:pos="1441"/>
          <w:tab w:val="left" w:pos="2161"/>
          <w:tab w:val="left" w:pos="2881"/>
          <w:tab w:val="left" w:pos="3601"/>
          <w:tab w:val="left" w:pos="4321"/>
          <w:tab w:val="left" w:pos="5041"/>
          <w:tab w:val="left" w:pos="5761"/>
          <w:tab w:val="left" w:pos="6481"/>
          <w:tab w:val="left" w:pos="7201"/>
          <w:tab w:val="left" w:pos="7921"/>
          <w:tab w:val="left" w:pos="8641"/>
        </w:tabs>
        <w:spacing w:line="216" w:lineRule="auto"/>
        <w:ind w:left="720" w:right="-282" w:hanging="720"/>
        <w:rPr>
          <w:rFonts w:ascii="Arial" w:hAnsi="Arial" w:cs="Arial"/>
          <w:sz w:val="22"/>
          <w:szCs w:val="22"/>
        </w:rPr>
      </w:pPr>
      <w:r w:rsidRPr="007267D6">
        <w:rPr>
          <w:rFonts w:ascii="Arial" w:hAnsi="Arial" w:cs="Arial"/>
          <w:sz w:val="22"/>
          <w:szCs w:val="22"/>
        </w:rPr>
        <w:t xml:space="preserve">UMC vormt </w:t>
      </w:r>
      <w:r w:rsidRPr="007267D6">
        <w:rPr>
          <w:rFonts w:ascii="Arial" w:hAnsi="Arial" w:cs="Arial"/>
          <w:sz w:val="22"/>
          <w:szCs w:val="22"/>
          <w:u w:val="single"/>
        </w:rPr>
        <w:t>geen</w:t>
      </w:r>
      <w:r w:rsidRPr="007267D6">
        <w:rPr>
          <w:rFonts w:ascii="Arial" w:hAnsi="Arial" w:cs="Arial"/>
          <w:sz w:val="22"/>
          <w:szCs w:val="22"/>
        </w:rPr>
        <w:t xml:space="preserve"> partij in de onderhandelingen tussen Leverancier en GHX Benelux over </w:t>
      </w:r>
      <w:r w:rsidR="00F3513C">
        <w:rPr>
          <w:rFonts w:ascii="Arial" w:hAnsi="Arial" w:cs="Arial"/>
          <w:sz w:val="22"/>
          <w:szCs w:val="22"/>
        </w:rPr>
        <w:t>eventuele</w:t>
      </w:r>
      <w:r w:rsidR="00F3513C" w:rsidRPr="007267D6">
        <w:rPr>
          <w:rFonts w:ascii="Arial" w:hAnsi="Arial" w:cs="Arial"/>
          <w:sz w:val="22"/>
          <w:szCs w:val="22"/>
        </w:rPr>
        <w:t xml:space="preserve"> </w:t>
      </w:r>
      <w:r w:rsidRPr="007267D6">
        <w:rPr>
          <w:rFonts w:ascii="Arial" w:hAnsi="Arial" w:cs="Arial"/>
          <w:sz w:val="22"/>
          <w:szCs w:val="22"/>
        </w:rPr>
        <w:t xml:space="preserve">kosten </w:t>
      </w:r>
      <w:r w:rsidR="00F3513C">
        <w:rPr>
          <w:rFonts w:ascii="Arial" w:hAnsi="Arial" w:cs="Arial"/>
          <w:sz w:val="22"/>
          <w:szCs w:val="22"/>
        </w:rPr>
        <w:t>voor</w:t>
      </w:r>
      <w:r w:rsidR="00F3513C" w:rsidRPr="007267D6">
        <w:rPr>
          <w:rFonts w:ascii="Arial" w:hAnsi="Arial" w:cs="Arial"/>
          <w:sz w:val="22"/>
          <w:szCs w:val="22"/>
        </w:rPr>
        <w:t xml:space="preserve"> </w:t>
      </w:r>
      <w:r w:rsidRPr="007267D6">
        <w:rPr>
          <w:rFonts w:ascii="Arial" w:hAnsi="Arial" w:cs="Arial"/>
          <w:sz w:val="22"/>
          <w:szCs w:val="22"/>
        </w:rPr>
        <w:t>het gebruik van de applicatie</w:t>
      </w:r>
      <w:r w:rsidR="00F3513C">
        <w:rPr>
          <w:rFonts w:ascii="Arial" w:hAnsi="Arial" w:cs="Arial"/>
          <w:sz w:val="22"/>
          <w:szCs w:val="22"/>
        </w:rPr>
        <w:t xml:space="preserve"> of diensten van GHX</w:t>
      </w:r>
    </w:p>
    <w:p w:rsidR="00C15BF0" w:rsidRPr="007267D6" w:rsidRDefault="00C15BF0" w:rsidP="00C15BF0">
      <w:pPr>
        <w:numPr>
          <w:ilvl w:val="1"/>
          <w:numId w:val="2"/>
        </w:numPr>
        <w:tabs>
          <w:tab w:val="clear" w:pos="360"/>
          <w:tab w:val="left" w:pos="-1439"/>
          <w:tab w:val="left" w:pos="-719"/>
          <w:tab w:val="left" w:pos="1"/>
          <w:tab w:val="num" w:pos="720"/>
          <w:tab w:val="left" w:pos="1441"/>
          <w:tab w:val="left" w:pos="2161"/>
          <w:tab w:val="left" w:pos="2881"/>
          <w:tab w:val="left" w:pos="3601"/>
          <w:tab w:val="left" w:pos="4321"/>
          <w:tab w:val="left" w:pos="5041"/>
          <w:tab w:val="left" w:pos="5761"/>
          <w:tab w:val="left" w:pos="6481"/>
          <w:tab w:val="left" w:pos="7201"/>
          <w:tab w:val="left" w:pos="7921"/>
          <w:tab w:val="left" w:pos="8641"/>
        </w:tabs>
        <w:spacing w:line="216" w:lineRule="auto"/>
        <w:ind w:left="720" w:right="-282" w:hanging="720"/>
        <w:rPr>
          <w:rFonts w:ascii="Arial" w:hAnsi="Arial" w:cs="Arial"/>
          <w:sz w:val="22"/>
          <w:szCs w:val="22"/>
        </w:rPr>
      </w:pPr>
      <w:r w:rsidRPr="007267D6">
        <w:rPr>
          <w:rFonts w:ascii="Arial" w:hAnsi="Arial" w:cs="Arial"/>
          <w:sz w:val="22"/>
          <w:szCs w:val="22"/>
        </w:rPr>
        <w:t xml:space="preserve">UMC bepaalt de inhoud van het assortiment en heeft te allen tijde het recht om producten, pakketten of categorieën te blokkeren en/of deze door Leverancier uit de catalogus te laten verwijderen. </w:t>
      </w:r>
    </w:p>
    <w:p w:rsidR="00C15BF0" w:rsidRPr="007267D6" w:rsidRDefault="00C15BF0" w:rsidP="00C15BF0">
      <w:pPr>
        <w:numPr>
          <w:ilvl w:val="1"/>
          <w:numId w:val="2"/>
        </w:numPr>
        <w:tabs>
          <w:tab w:val="clear" w:pos="360"/>
          <w:tab w:val="left" w:pos="-1439"/>
          <w:tab w:val="left" w:pos="-719"/>
          <w:tab w:val="left" w:pos="1"/>
          <w:tab w:val="num" w:pos="720"/>
          <w:tab w:val="left" w:pos="1441"/>
          <w:tab w:val="left" w:pos="2161"/>
          <w:tab w:val="left" w:pos="2881"/>
          <w:tab w:val="left" w:pos="3601"/>
          <w:tab w:val="left" w:pos="4321"/>
          <w:tab w:val="left" w:pos="5041"/>
          <w:tab w:val="left" w:pos="5761"/>
          <w:tab w:val="left" w:pos="6481"/>
          <w:tab w:val="left" w:pos="7201"/>
          <w:tab w:val="left" w:pos="7921"/>
          <w:tab w:val="left" w:pos="8641"/>
        </w:tabs>
        <w:spacing w:line="216" w:lineRule="auto"/>
        <w:ind w:left="720" w:right="-282" w:hanging="720"/>
        <w:rPr>
          <w:rFonts w:ascii="Arial" w:hAnsi="Arial" w:cs="Arial"/>
          <w:sz w:val="22"/>
          <w:szCs w:val="22"/>
        </w:rPr>
      </w:pPr>
      <w:r w:rsidRPr="007267D6">
        <w:rPr>
          <w:rFonts w:ascii="Arial" w:hAnsi="Arial" w:cs="Arial"/>
          <w:sz w:val="22"/>
          <w:szCs w:val="22"/>
        </w:rPr>
        <w:t>Leverancier is verantwoordelijk voor het aanleveren als ook voor de kwaliteit van de catalogus, zoals overeengekomen met UMC. Dit geldt zowel voor de samenstelling van het assortiment als voor de prijs van de producten.</w:t>
      </w:r>
    </w:p>
    <w:p w:rsidR="00686004" w:rsidRDefault="00C15BF0" w:rsidP="00686004">
      <w:pPr>
        <w:numPr>
          <w:ilvl w:val="1"/>
          <w:numId w:val="2"/>
        </w:numPr>
        <w:tabs>
          <w:tab w:val="clear" w:pos="360"/>
          <w:tab w:val="num" w:pos="720"/>
        </w:tabs>
        <w:ind w:left="720" w:hanging="720"/>
        <w:rPr>
          <w:rFonts w:ascii="Arial" w:hAnsi="Arial" w:cs="Arial"/>
          <w:sz w:val="22"/>
          <w:szCs w:val="22"/>
        </w:rPr>
      </w:pPr>
      <w:r w:rsidRPr="007267D6">
        <w:rPr>
          <w:rFonts w:ascii="Arial" w:hAnsi="Arial" w:cs="Arial"/>
          <w:sz w:val="22"/>
          <w:szCs w:val="22"/>
        </w:rPr>
        <w:t>De gehele gang van zaken met betrekking tot GHX Benelux zal aan het eind van elk kalenderjaar c.q. contractjaar geëvalueerd worden.</w:t>
      </w:r>
      <w:r w:rsidR="007267D6" w:rsidRPr="007267D6">
        <w:rPr>
          <w:rFonts w:ascii="Arial" w:hAnsi="Arial" w:cs="Arial"/>
          <w:sz w:val="22"/>
          <w:szCs w:val="22"/>
        </w:rPr>
        <w:t xml:space="preserve"> </w:t>
      </w:r>
    </w:p>
    <w:p w:rsidR="00C15BF0" w:rsidRPr="00686004" w:rsidRDefault="007267D6" w:rsidP="00686004">
      <w:pPr>
        <w:numPr>
          <w:ilvl w:val="1"/>
          <w:numId w:val="2"/>
        </w:numPr>
        <w:tabs>
          <w:tab w:val="clear" w:pos="360"/>
          <w:tab w:val="num" w:pos="720"/>
        </w:tabs>
        <w:ind w:left="720" w:hanging="720"/>
        <w:rPr>
          <w:rFonts w:ascii="Arial" w:hAnsi="Arial" w:cs="Arial"/>
          <w:sz w:val="22"/>
          <w:szCs w:val="22"/>
        </w:rPr>
      </w:pPr>
      <w:r w:rsidRPr="00686004">
        <w:rPr>
          <w:rFonts w:ascii="Arial" w:hAnsi="Arial" w:cs="Arial"/>
          <w:sz w:val="22"/>
          <w:szCs w:val="22"/>
        </w:rPr>
        <w:t xml:space="preserve">Als jaarlijkse maximale prijsstijging hanteert het UMC-Utrecht de NZA-index van het afgelopen jaar voor materialen. Eventuele </w:t>
      </w:r>
      <w:r w:rsidR="00DC3871" w:rsidRPr="00686004">
        <w:rPr>
          <w:rFonts w:ascii="Arial" w:hAnsi="Arial" w:cs="Arial"/>
          <w:sz w:val="22"/>
          <w:szCs w:val="22"/>
        </w:rPr>
        <w:t>uitzondering</w:t>
      </w:r>
      <w:r w:rsidRPr="00686004">
        <w:rPr>
          <w:rFonts w:ascii="Arial" w:hAnsi="Arial" w:cs="Arial"/>
          <w:sz w:val="22"/>
          <w:szCs w:val="22"/>
        </w:rPr>
        <w:t xml:space="preserve"> situaties worden met de inkoper van het UMC-Utrecht besproken.</w:t>
      </w:r>
    </w:p>
    <w:p w:rsidR="00C15BF0" w:rsidRPr="007267D6" w:rsidRDefault="00C15BF0" w:rsidP="00C15BF0">
      <w:pPr>
        <w:tabs>
          <w:tab w:val="num" w:pos="720"/>
        </w:tabs>
        <w:ind w:left="720" w:hanging="720"/>
        <w:rPr>
          <w:rFonts w:ascii="Arial" w:hAnsi="Arial" w:cs="Arial"/>
          <w:sz w:val="22"/>
          <w:szCs w:val="22"/>
        </w:rPr>
      </w:pPr>
    </w:p>
    <w:p w:rsidR="00C15BF0" w:rsidRPr="007267D6" w:rsidRDefault="00C15BF0" w:rsidP="00C15BF0">
      <w:pPr>
        <w:numPr>
          <w:ilvl w:val="0"/>
          <w:numId w:val="2"/>
        </w:numPr>
        <w:rPr>
          <w:rFonts w:ascii="Arial" w:hAnsi="Arial" w:cs="Arial"/>
          <w:b/>
          <w:sz w:val="22"/>
          <w:szCs w:val="22"/>
        </w:rPr>
      </w:pPr>
      <w:r w:rsidRPr="007267D6">
        <w:rPr>
          <w:rFonts w:ascii="Arial" w:hAnsi="Arial" w:cs="Arial"/>
          <w:b/>
          <w:sz w:val="22"/>
          <w:szCs w:val="22"/>
        </w:rPr>
        <w:t>Catalogi</w:t>
      </w:r>
    </w:p>
    <w:p w:rsidR="00C15BF0" w:rsidRPr="007267D6" w:rsidRDefault="00C15BF0" w:rsidP="00C15BF0">
      <w:pPr>
        <w:rPr>
          <w:rFonts w:ascii="Arial" w:hAnsi="Arial" w:cs="Arial"/>
          <w:b/>
          <w:sz w:val="22"/>
          <w:szCs w:val="22"/>
        </w:rPr>
      </w:pPr>
    </w:p>
    <w:p w:rsidR="00C15BF0" w:rsidRPr="007267D6" w:rsidRDefault="00C15BF0" w:rsidP="00C15BF0">
      <w:pPr>
        <w:numPr>
          <w:ilvl w:val="1"/>
          <w:numId w:val="2"/>
        </w:numPr>
        <w:tabs>
          <w:tab w:val="clear" w:pos="360"/>
          <w:tab w:val="num" w:pos="720"/>
          <w:tab w:val="num" w:pos="1080"/>
        </w:tabs>
        <w:ind w:left="720" w:hanging="720"/>
        <w:rPr>
          <w:rFonts w:ascii="Arial" w:hAnsi="Arial" w:cs="Arial"/>
          <w:sz w:val="22"/>
          <w:szCs w:val="22"/>
        </w:rPr>
      </w:pPr>
      <w:r w:rsidRPr="007267D6">
        <w:rPr>
          <w:rFonts w:ascii="Arial" w:hAnsi="Arial" w:cs="Arial"/>
          <w:sz w:val="22"/>
          <w:szCs w:val="22"/>
        </w:rPr>
        <w:t xml:space="preserve">Catalogi dienen te worden aangeleverd bij </w:t>
      </w:r>
      <w:hyperlink r:id="rId5" w:history="1">
        <w:r w:rsidRPr="00686004">
          <w:rPr>
            <w:rStyle w:val="Hyperlink"/>
            <w:rFonts w:ascii="Arial" w:hAnsi="Arial" w:cs="Arial"/>
            <w:sz w:val="22"/>
            <w:szCs w:val="22"/>
          </w:rPr>
          <w:t>GHX Benelux</w:t>
        </w:r>
      </w:hyperlink>
      <w:r w:rsidRPr="007267D6">
        <w:rPr>
          <w:rFonts w:ascii="Arial" w:hAnsi="Arial" w:cs="Arial"/>
          <w:sz w:val="22"/>
          <w:szCs w:val="22"/>
        </w:rPr>
        <w:t xml:space="preserve"> conform het GHX format. </w:t>
      </w:r>
    </w:p>
    <w:p w:rsidR="00C15BF0" w:rsidRPr="007267D6" w:rsidRDefault="00C15BF0" w:rsidP="00C15BF0">
      <w:pPr>
        <w:numPr>
          <w:ilvl w:val="1"/>
          <w:numId w:val="2"/>
        </w:numPr>
        <w:tabs>
          <w:tab w:val="clear" w:pos="360"/>
          <w:tab w:val="num" w:pos="720"/>
        </w:tabs>
        <w:ind w:left="720" w:hanging="720"/>
        <w:rPr>
          <w:rFonts w:ascii="Arial" w:hAnsi="Arial" w:cs="Arial"/>
          <w:sz w:val="22"/>
          <w:szCs w:val="22"/>
        </w:rPr>
      </w:pPr>
      <w:r w:rsidRPr="007267D6">
        <w:rPr>
          <w:rFonts w:ascii="Arial" w:hAnsi="Arial" w:cs="Arial"/>
          <w:sz w:val="22"/>
          <w:szCs w:val="22"/>
        </w:rPr>
        <w:t>Leverancier mag maximaal 4 keer per jaar een catalogus aanleveren. Leverancier bepaalt naar welk aantal haar voorkeur uitgaat en meldt dit aan Cluster Inkoop van UMC.</w:t>
      </w:r>
    </w:p>
    <w:p w:rsidR="00C15BF0" w:rsidRPr="007267D6" w:rsidRDefault="00C15BF0" w:rsidP="00C15BF0">
      <w:pPr>
        <w:numPr>
          <w:ilvl w:val="1"/>
          <w:numId w:val="2"/>
        </w:numPr>
        <w:tabs>
          <w:tab w:val="clear" w:pos="360"/>
          <w:tab w:val="num" w:pos="720"/>
          <w:tab w:val="num" w:pos="1080"/>
        </w:tabs>
        <w:ind w:left="720" w:hanging="720"/>
        <w:rPr>
          <w:rFonts w:ascii="Arial" w:hAnsi="Arial" w:cs="Arial"/>
          <w:sz w:val="22"/>
          <w:szCs w:val="22"/>
        </w:rPr>
      </w:pPr>
      <w:r w:rsidRPr="007267D6">
        <w:rPr>
          <w:rFonts w:ascii="Arial" w:hAnsi="Arial" w:cs="Arial"/>
          <w:sz w:val="22"/>
          <w:szCs w:val="22"/>
        </w:rPr>
        <w:t>Leverancier dient zorg te dragen voor het tijdig aanleveren van een catalogus aan GHX Benelux.</w:t>
      </w:r>
    </w:p>
    <w:p w:rsidR="00C15BF0" w:rsidRPr="007267D6" w:rsidRDefault="00C15BF0" w:rsidP="00C15BF0">
      <w:pPr>
        <w:numPr>
          <w:ilvl w:val="1"/>
          <w:numId w:val="2"/>
        </w:numPr>
        <w:tabs>
          <w:tab w:val="clear" w:pos="360"/>
          <w:tab w:val="num" w:pos="720"/>
        </w:tabs>
        <w:ind w:left="720" w:hanging="720"/>
        <w:rPr>
          <w:rFonts w:ascii="Arial" w:hAnsi="Arial" w:cs="Arial"/>
          <w:sz w:val="22"/>
          <w:szCs w:val="22"/>
        </w:rPr>
      </w:pPr>
      <w:r w:rsidRPr="007267D6">
        <w:rPr>
          <w:rFonts w:ascii="Arial" w:hAnsi="Arial" w:cs="Arial"/>
          <w:sz w:val="22"/>
          <w:szCs w:val="22"/>
        </w:rPr>
        <w:t>Leverancier meldt het Cluster Inkoop van UMC vóór aanleveren van de catalogus wat de reden is van aanleveren en op welke punten de catalogus gewijzigd is ten opzichte van de voorgaande catalogus.</w:t>
      </w:r>
    </w:p>
    <w:p w:rsidR="00C15BF0" w:rsidRPr="007267D6" w:rsidRDefault="00C15BF0" w:rsidP="00C15BF0">
      <w:pPr>
        <w:numPr>
          <w:ilvl w:val="1"/>
          <w:numId w:val="2"/>
        </w:numPr>
        <w:tabs>
          <w:tab w:val="clear" w:pos="360"/>
          <w:tab w:val="num" w:pos="720"/>
        </w:tabs>
        <w:ind w:left="720" w:hanging="720"/>
        <w:rPr>
          <w:rFonts w:ascii="Arial" w:hAnsi="Arial" w:cs="Arial"/>
          <w:sz w:val="22"/>
          <w:szCs w:val="22"/>
        </w:rPr>
      </w:pPr>
      <w:r w:rsidRPr="007267D6">
        <w:rPr>
          <w:rFonts w:ascii="Arial" w:hAnsi="Arial" w:cs="Arial"/>
          <w:sz w:val="22"/>
          <w:szCs w:val="22"/>
        </w:rPr>
        <w:t>UMC Utrecht zal zorgen, dat een catalogus binnen 10 werkdagen wordt goed- of afgekeurd, mits sprake is van een technisch correct aangeleverde catalogus. In het geval van afkeur stelt het Cluster Inkoop van UMC Leverancier zo snel mogelijk op de hoogte van de redenen op grond waarvan de catalogus is afgekeurd. Indien er sprake is van afkeuring, betekent dit handhaving van de op GHX actuele catalogus.</w:t>
      </w:r>
    </w:p>
    <w:p w:rsidR="00C15BF0" w:rsidRPr="007267D6" w:rsidRDefault="00C15BF0" w:rsidP="00C15BF0">
      <w:pPr>
        <w:numPr>
          <w:ilvl w:val="1"/>
          <w:numId w:val="2"/>
        </w:numPr>
        <w:tabs>
          <w:tab w:val="clear" w:pos="360"/>
          <w:tab w:val="num" w:pos="720"/>
        </w:tabs>
        <w:ind w:left="720" w:hanging="720"/>
        <w:rPr>
          <w:rFonts w:ascii="Arial" w:hAnsi="Arial" w:cs="Arial"/>
          <w:sz w:val="22"/>
          <w:szCs w:val="22"/>
        </w:rPr>
      </w:pPr>
      <w:r w:rsidRPr="007267D6">
        <w:rPr>
          <w:rFonts w:ascii="Arial" w:hAnsi="Arial" w:cs="Arial"/>
          <w:sz w:val="22"/>
          <w:szCs w:val="22"/>
        </w:rPr>
        <w:t>Catalogi dienen opgesteld te zijn in de Nederlandse taal. Alleen bij uitzondering en in overleg met UMC mag gebruik gemaakt worden van de Engelse taal.</w:t>
      </w:r>
    </w:p>
    <w:p w:rsidR="00C15BF0" w:rsidRPr="007267D6" w:rsidRDefault="00C15BF0" w:rsidP="00C15BF0">
      <w:pPr>
        <w:numPr>
          <w:ilvl w:val="1"/>
          <w:numId w:val="2"/>
        </w:numPr>
        <w:tabs>
          <w:tab w:val="clear" w:pos="360"/>
          <w:tab w:val="num" w:pos="720"/>
          <w:tab w:val="num" w:pos="1080"/>
        </w:tabs>
        <w:ind w:left="720" w:hanging="720"/>
        <w:rPr>
          <w:rFonts w:ascii="Arial" w:hAnsi="Arial" w:cs="Arial"/>
          <w:sz w:val="22"/>
          <w:szCs w:val="22"/>
        </w:rPr>
      </w:pPr>
      <w:r w:rsidRPr="007267D6">
        <w:rPr>
          <w:rFonts w:ascii="Arial" w:hAnsi="Arial" w:cs="Arial"/>
          <w:sz w:val="22"/>
          <w:szCs w:val="22"/>
        </w:rPr>
        <w:t>Binnen één catalogus mag geen gebruik gemaakt worden van meerdere talen tegelijk.</w:t>
      </w:r>
    </w:p>
    <w:p w:rsidR="00C15BF0" w:rsidRPr="007267D6" w:rsidRDefault="00C15BF0" w:rsidP="00C15BF0">
      <w:pPr>
        <w:numPr>
          <w:ilvl w:val="1"/>
          <w:numId w:val="2"/>
        </w:numPr>
        <w:tabs>
          <w:tab w:val="clear" w:pos="360"/>
          <w:tab w:val="num" w:pos="720"/>
          <w:tab w:val="num" w:pos="1080"/>
        </w:tabs>
        <w:ind w:left="720" w:hanging="720"/>
        <w:rPr>
          <w:rFonts w:ascii="Arial" w:hAnsi="Arial" w:cs="Arial"/>
          <w:sz w:val="22"/>
          <w:szCs w:val="22"/>
        </w:rPr>
      </w:pPr>
      <w:r w:rsidRPr="007267D6">
        <w:rPr>
          <w:rFonts w:ascii="Arial" w:hAnsi="Arial" w:cs="Arial"/>
          <w:sz w:val="22"/>
          <w:szCs w:val="22"/>
        </w:rPr>
        <w:t xml:space="preserve">Leverancier dient catalogi steeds in één en dezelfde taal aan te leveren. Eveneens dient steeds dezelfde schrijfwijze en indeling gebruikt te worden (denk aan: voluit schrijven van woorden/afkortingen; kleine en hoofdletters, productgroepen, etc.) </w:t>
      </w:r>
    </w:p>
    <w:p w:rsidR="00C15BF0" w:rsidRPr="007267D6" w:rsidRDefault="00C15BF0" w:rsidP="00C15BF0">
      <w:pPr>
        <w:numPr>
          <w:ilvl w:val="1"/>
          <w:numId w:val="2"/>
        </w:numPr>
        <w:tabs>
          <w:tab w:val="clear" w:pos="360"/>
          <w:tab w:val="num" w:pos="720"/>
          <w:tab w:val="num" w:pos="1080"/>
        </w:tabs>
        <w:ind w:left="720" w:hanging="720"/>
        <w:rPr>
          <w:rFonts w:ascii="Arial" w:hAnsi="Arial" w:cs="Arial"/>
          <w:sz w:val="22"/>
          <w:szCs w:val="22"/>
        </w:rPr>
      </w:pPr>
      <w:r w:rsidRPr="007267D6">
        <w:rPr>
          <w:rFonts w:ascii="Arial" w:hAnsi="Arial" w:cs="Arial"/>
          <w:sz w:val="22"/>
          <w:szCs w:val="22"/>
        </w:rPr>
        <w:t>Binnen catalogi is Leverancier verplicht per product de onderstaande gegevens te vermelden:</w:t>
      </w:r>
    </w:p>
    <w:p w:rsidR="00C15BF0" w:rsidRPr="007267D6" w:rsidRDefault="00C15BF0" w:rsidP="00C15BF0">
      <w:pPr>
        <w:numPr>
          <w:ilvl w:val="0"/>
          <w:numId w:val="3"/>
        </w:numPr>
        <w:tabs>
          <w:tab w:val="num" w:pos="1080"/>
        </w:tabs>
        <w:ind w:left="720" w:firstLine="0"/>
        <w:rPr>
          <w:rFonts w:ascii="Arial" w:hAnsi="Arial" w:cs="Arial"/>
          <w:sz w:val="22"/>
          <w:szCs w:val="22"/>
        </w:rPr>
      </w:pPr>
      <w:r w:rsidRPr="007267D6">
        <w:rPr>
          <w:rFonts w:ascii="Arial" w:hAnsi="Arial" w:cs="Arial"/>
          <w:sz w:val="22"/>
          <w:szCs w:val="22"/>
        </w:rPr>
        <w:lastRenderedPageBreak/>
        <w:t xml:space="preserve">Artikelnummer leverancier </w:t>
      </w:r>
    </w:p>
    <w:p w:rsidR="00C15BF0" w:rsidRPr="007267D6"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Artikelnaam</w:t>
      </w:r>
    </w:p>
    <w:p w:rsidR="00C15BF0" w:rsidRPr="007267D6" w:rsidRDefault="00C15BF0" w:rsidP="00C15BF0">
      <w:pPr>
        <w:numPr>
          <w:ilvl w:val="0"/>
          <w:numId w:val="3"/>
        </w:numPr>
        <w:tabs>
          <w:tab w:val="num" w:pos="1080"/>
        </w:tabs>
        <w:ind w:left="1080"/>
        <w:rPr>
          <w:rFonts w:ascii="Arial" w:hAnsi="Arial" w:cs="Arial"/>
          <w:sz w:val="22"/>
          <w:szCs w:val="22"/>
        </w:rPr>
      </w:pPr>
      <w:r w:rsidRPr="007267D6">
        <w:rPr>
          <w:rFonts w:ascii="Arial" w:hAnsi="Arial" w:cs="Arial"/>
          <w:sz w:val="22"/>
          <w:szCs w:val="22"/>
        </w:rPr>
        <w:t>Lange omschrijving (hierin kunnen ter bevordering van het zoeken zoveel mogelijk synoniemen/in de vaktaal gebruikte omschrijvingen worden opgenomen)</w:t>
      </w:r>
    </w:p>
    <w:p w:rsidR="00C15BF0" w:rsidRPr="007267D6"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Fabrikantnaam</w:t>
      </w:r>
    </w:p>
    <w:p w:rsidR="00C15BF0" w:rsidRPr="007267D6"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Artikelnummer Fabrikant</w:t>
      </w:r>
    </w:p>
    <w:p w:rsidR="00C15BF0"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Duidelijke omschrijving besteleenheid</w:t>
      </w:r>
      <w:r w:rsidR="00F3513C">
        <w:rPr>
          <w:rFonts w:ascii="Arial" w:hAnsi="Arial" w:cs="Arial"/>
          <w:sz w:val="22"/>
          <w:szCs w:val="22"/>
        </w:rPr>
        <w:t xml:space="preserve"> </w:t>
      </w:r>
    </w:p>
    <w:p w:rsidR="00F3513C" w:rsidRPr="007267D6" w:rsidRDefault="00F3513C" w:rsidP="00C15BF0">
      <w:pPr>
        <w:numPr>
          <w:ilvl w:val="0"/>
          <w:numId w:val="3"/>
        </w:numPr>
        <w:tabs>
          <w:tab w:val="num" w:pos="1080"/>
        </w:tabs>
        <w:ind w:hanging="705"/>
        <w:rPr>
          <w:rFonts w:ascii="Arial" w:hAnsi="Arial" w:cs="Arial"/>
          <w:sz w:val="22"/>
          <w:szCs w:val="22"/>
        </w:rPr>
      </w:pPr>
      <w:r>
        <w:rPr>
          <w:rFonts w:ascii="Arial" w:hAnsi="Arial" w:cs="Arial"/>
          <w:sz w:val="22"/>
          <w:szCs w:val="22"/>
        </w:rPr>
        <w:t>Aantal per verpakking</w:t>
      </w:r>
    </w:p>
    <w:p w:rsidR="00C15BF0" w:rsidRPr="007267D6"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 xml:space="preserve">Minimale </w:t>
      </w:r>
      <w:r w:rsidR="00F3513C" w:rsidRPr="007267D6">
        <w:rPr>
          <w:rFonts w:ascii="Arial" w:hAnsi="Arial" w:cs="Arial"/>
          <w:sz w:val="22"/>
          <w:szCs w:val="22"/>
        </w:rPr>
        <w:t>bestel</w:t>
      </w:r>
      <w:r w:rsidR="00F3513C">
        <w:rPr>
          <w:rFonts w:ascii="Arial" w:hAnsi="Arial" w:cs="Arial"/>
          <w:sz w:val="22"/>
          <w:szCs w:val="22"/>
        </w:rPr>
        <w:t>grootte</w:t>
      </w:r>
    </w:p>
    <w:p w:rsidR="00C15BF0" w:rsidRPr="007267D6"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Bij chemicaliën; CAS code</w:t>
      </w:r>
    </w:p>
    <w:p w:rsidR="00C15BF0" w:rsidRPr="007267D6"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 xml:space="preserve">UNSPSC-code </w:t>
      </w:r>
    </w:p>
    <w:p w:rsidR="00C15BF0" w:rsidRDefault="00C15BF0" w:rsidP="00C15BF0">
      <w:pPr>
        <w:numPr>
          <w:ilvl w:val="0"/>
          <w:numId w:val="3"/>
        </w:numPr>
        <w:tabs>
          <w:tab w:val="num" w:pos="1080"/>
        </w:tabs>
        <w:ind w:hanging="705"/>
        <w:rPr>
          <w:rFonts w:ascii="Arial" w:hAnsi="Arial" w:cs="Arial"/>
          <w:sz w:val="22"/>
          <w:szCs w:val="22"/>
        </w:rPr>
      </w:pPr>
      <w:r w:rsidRPr="007267D6">
        <w:rPr>
          <w:rFonts w:ascii="Arial" w:hAnsi="Arial" w:cs="Arial"/>
          <w:sz w:val="22"/>
          <w:szCs w:val="22"/>
        </w:rPr>
        <w:t>BTW code</w:t>
      </w:r>
    </w:p>
    <w:p w:rsidR="00F3513C" w:rsidRDefault="00F3513C" w:rsidP="00C15BF0">
      <w:pPr>
        <w:numPr>
          <w:ilvl w:val="0"/>
          <w:numId w:val="3"/>
        </w:numPr>
        <w:tabs>
          <w:tab w:val="num" w:pos="1080"/>
        </w:tabs>
        <w:ind w:hanging="705"/>
        <w:rPr>
          <w:rFonts w:ascii="Arial" w:hAnsi="Arial" w:cs="Arial"/>
          <w:sz w:val="22"/>
          <w:szCs w:val="22"/>
        </w:rPr>
      </w:pPr>
      <w:r>
        <w:rPr>
          <w:rFonts w:ascii="Arial" w:hAnsi="Arial" w:cs="Arial"/>
          <w:sz w:val="22"/>
          <w:szCs w:val="22"/>
        </w:rPr>
        <w:t>Levertijd in dagen</w:t>
      </w:r>
    </w:p>
    <w:p w:rsidR="00F3513C" w:rsidRPr="007267D6" w:rsidRDefault="00F3513C" w:rsidP="00C15BF0">
      <w:pPr>
        <w:numPr>
          <w:ilvl w:val="0"/>
          <w:numId w:val="3"/>
        </w:numPr>
        <w:tabs>
          <w:tab w:val="num" w:pos="1080"/>
        </w:tabs>
        <w:ind w:hanging="705"/>
        <w:rPr>
          <w:rFonts w:ascii="Arial" w:hAnsi="Arial" w:cs="Arial"/>
          <w:sz w:val="22"/>
          <w:szCs w:val="22"/>
        </w:rPr>
      </w:pPr>
      <w:r>
        <w:rPr>
          <w:rFonts w:ascii="Arial" w:hAnsi="Arial" w:cs="Arial"/>
          <w:sz w:val="22"/>
          <w:szCs w:val="22"/>
        </w:rPr>
        <w:t>Risicoklasse (alleen voor medische hulpmiddelen)</w:t>
      </w:r>
    </w:p>
    <w:p w:rsidR="00C15BF0" w:rsidRPr="007267D6" w:rsidRDefault="00C15BF0" w:rsidP="00C15BF0">
      <w:pPr>
        <w:numPr>
          <w:ilvl w:val="1"/>
          <w:numId w:val="2"/>
        </w:numPr>
        <w:ind w:left="720" w:hanging="720"/>
        <w:rPr>
          <w:rFonts w:ascii="Arial" w:hAnsi="Arial" w:cs="Arial"/>
          <w:sz w:val="22"/>
          <w:szCs w:val="22"/>
        </w:rPr>
      </w:pPr>
      <w:r w:rsidRPr="007267D6">
        <w:rPr>
          <w:rFonts w:ascii="Arial" w:hAnsi="Arial" w:cs="Arial"/>
          <w:sz w:val="22"/>
          <w:szCs w:val="22"/>
        </w:rPr>
        <w:t>UMC vraagt  Leverancier per product eveneens de volgende gegevens aan te leveren:</w:t>
      </w:r>
    </w:p>
    <w:p w:rsidR="00C15BF0" w:rsidRPr="007267D6" w:rsidRDefault="00C15BF0" w:rsidP="00C15BF0">
      <w:pPr>
        <w:ind w:left="1065" w:hanging="345"/>
        <w:rPr>
          <w:rFonts w:ascii="Arial" w:hAnsi="Arial" w:cs="Arial"/>
          <w:sz w:val="22"/>
          <w:szCs w:val="22"/>
        </w:rPr>
      </w:pPr>
      <w:r w:rsidRPr="007267D6">
        <w:rPr>
          <w:rFonts w:ascii="Arial" w:hAnsi="Arial" w:cs="Arial"/>
          <w:sz w:val="22"/>
          <w:szCs w:val="22"/>
        </w:rPr>
        <w:t>-</w:t>
      </w:r>
      <w:r w:rsidRPr="007267D6">
        <w:rPr>
          <w:rFonts w:ascii="Arial" w:hAnsi="Arial" w:cs="Arial"/>
          <w:sz w:val="22"/>
          <w:szCs w:val="22"/>
        </w:rPr>
        <w:tab/>
        <w:t>categorie/productgroep (ter bevordering van het zoeken)</w:t>
      </w:r>
    </w:p>
    <w:p w:rsidR="00C15BF0" w:rsidRPr="007267D6" w:rsidRDefault="00C15BF0" w:rsidP="00C15BF0">
      <w:pPr>
        <w:tabs>
          <w:tab w:val="left" w:pos="3060"/>
        </w:tabs>
        <w:ind w:left="1080" w:hanging="360"/>
        <w:rPr>
          <w:rFonts w:ascii="Arial" w:hAnsi="Arial" w:cs="Arial"/>
          <w:sz w:val="22"/>
          <w:szCs w:val="22"/>
        </w:rPr>
      </w:pPr>
      <w:r w:rsidRPr="007267D6">
        <w:rPr>
          <w:rFonts w:ascii="Arial" w:hAnsi="Arial" w:cs="Arial"/>
          <w:sz w:val="22"/>
          <w:szCs w:val="22"/>
        </w:rPr>
        <w:t>-</w:t>
      </w:r>
      <w:r w:rsidRPr="007267D6">
        <w:rPr>
          <w:rFonts w:ascii="Arial" w:hAnsi="Arial" w:cs="Arial"/>
          <w:sz w:val="22"/>
          <w:szCs w:val="22"/>
        </w:rPr>
        <w:tab/>
        <w:t xml:space="preserve">doorlink op artikel- dan wel </w:t>
      </w:r>
      <w:proofErr w:type="spellStart"/>
      <w:r w:rsidRPr="007267D6">
        <w:rPr>
          <w:rFonts w:ascii="Arial" w:hAnsi="Arial" w:cs="Arial"/>
          <w:sz w:val="22"/>
          <w:szCs w:val="22"/>
        </w:rPr>
        <w:t>artikelgroepniveau</w:t>
      </w:r>
      <w:proofErr w:type="spellEnd"/>
      <w:r w:rsidRPr="007267D6">
        <w:rPr>
          <w:rFonts w:ascii="Arial" w:hAnsi="Arial" w:cs="Arial"/>
          <w:sz w:val="22"/>
          <w:szCs w:val="22"/>
        </w:rPr>
        <w:t xml:space="preserve"> naar de website Leverancier voor productinfo/foto/MSDS, dit betekent nadrukkelijk geen doorlink naar homepage Leverancier.</w:t>
      </w:r>
    </w:p>
    <w:p w:rsidR="00C15BF0" w:rsidRPr="007267D6" w:rsidRDefault="00C15BF0" w:rsidP="00C15BF0">
      <w:pPr>
        <w:numPr>
          <w:ilvl w:val="1"/>
          <w:numId w:val="2"/>
        </w:numPr>
        <w:ind w:left="720" w:hanging="720"/>
        <w:rPr>
          <w:rFonts w:ascii="Arial" w:hAnsi="Arial" w:cs="Arial"/>
          <w:sz w:val="22"/>
          <w:szCs w:val="22"/>
        </w:rPr>
      </w:pPr>
      <w:r w:rsidRPr="007267D6">
        <w:rPr>
          <w:rFonts w:ascii="Arial" w:hAnsi="Arial" w:cs="Arial"/>
          <w:sz w:val="22"/>
          <w:szCs w:val="22"/>
        </w:rPr>
        <w:t xml:space="preserve">Om de continuïteit van het bestellen te waarborgen dienen catalogi te worden aangeleverd zonder geldigheidsdatum of met een geldigheidsdatum gelegen ver in de toekomst. Deze datum is </w:t>
      </w:r>
      <w:r w:rsidRPr="007267D6">
        <w:rPr>
          <w:rFonts w:ascii="Arial" w:hAnsi="Arial" w:cs="Arial"/>
          <w:b/>
          <w:sz w:val="22"/>
          <w:szCs w:val="22"/>
        </w:rPr>
        <w:t xml:space="preserve">niet </w:t>
      </w:r>
      <w:r w:rsidRPr="007267D6">
        <w:rPr>
          <w:rFonts w:ascii="Arial" w:hAnsi="Arial" w:cs="Arial"/>
          <w:sz w:val="22"/>
          <w:szCs w:val="22"/>
        </w:rPr>
        <w:t>gekoppeld aan de geldigheid van de prijzen.</w:t>
      </w:r>
    </w:p>
    <w:p w:rsidR="00C15BF0" w:rsidRPr="007267D6" w:rsidRDefault="00C15BF0" w:rsidP="00C15BF0">
      <w:pPr>
        <w:rPr>
          <w:rFonts w:ascii="Arial" w:hAnsi="Arial" w:cs="Arial"/>
          <w:b/>
          <w:sz w:val="22"/>
          <w:szCs w:val="22"/>
        </w:rPr>
      </w:pPr>
    </w:p>
    <w:p w:rsidR="00C15BF0" w:rsidRPr="007267D6" w:rsidRDefault="00C15BF0" w:rsidP="00C15BF0">
      <w:pPr>
        <w:rPr>
          <w:rFonts w:ascii="Arial" w:hAnsi="Arial" w:cs="Arial"/>
          <w:b/>
          <w:sz w:val="22"/>
          <w:szCs w:val="22"/>
        </w:rPr>
      </w:pPr>
    </w:p>
    <w:p w:rsidR="00C15BF0" w:rsidRPr="007267D6" w:rsidRDefault="00C15BF0" w:rsidP="00C15BF0">
      <w:pPr>
        <w:rPr>
          <w:rFonts w:ascii="Arial" w:hAnsi="Arial" w:cs="Arial"/>
          <w:b/>
          <w:sz w:val="22"/>
          <w:szCs w:val="22"/>
        </w:rPr>
      </w:pPr>
      <w:r w:rsidRPr="007267D6">
        <w:rPr>
          <w:rFonts w:ascii="Arial" w:hAnsi="Arial" w:cs="Arial"/>
          <w:b/>
          <w:sz w:val="22"/>
          <w:szCs w:val="22"/>
        </w:rPr>
        <w:t>3.</w:t>
      </w:r>
      <w:r w:rsidRPr="007267D6">
        <w:rPr>
          <w:rFonts w:ascii="Arial" w:hAnsi="Arial" w:cs="Arial"/>
          <w:b/>
          <w:sz w:val="22"/>
          <w:szCs w:val="22"/>
        </w:rPr>
        <w:tab/>
        <w:t xml:space="preserve">Prijzen </w:t>
      </w:r>
    </w:p>
    <w:p w:rsidR="00C15BF0" w:rsidRPr="007267D6" w:rsidRDefault="00C15BF0" w:rsidP="00C15BF0">
      <w:pPr>
        <w:rPr>
          <w:rFonts w:ascii="Arial" w:hAnsi="Arial" w:cs="Arial"/>
          <w:b/>
          <w:sz w:val="22"/>
          <w:szCs w:val="22"/>
        </w:rPr>
      </w:pPr>
    </w:p>
    <w:p w:rsidR="00C15BF0" w:rsidRPr="007267D6" w:rsidRDefault="00C15BF0" w:rsidP="00C15BF0">
      <w:pPr>
        <w:tabs>
          <w:tab w:val="left" w:pos="720"/>
        </w:tabs>
        <w:ind w:left="705" w:hanging="705"/>
        <w:rPr>
          <w:rFonts w:ascii="Arial" w:hAnsi="Arial" w:cs="Arial"/>
          <w:sz w:val="22"/>
          <w:szCs w:val="22"/>
        </w:rPr>
      </w:pPr>
      <w:r w:rsidRPr="007267D6">
        <w:rPr>
          <w:rFonts w:ascii="Arial" w:hAnsi="Arial" w:cs="Arial"/>
          <w:sz w:val="22"/>
          <w:szCs w:val="22"/>
        </w:rPr>
        <w:t>3.1</w:t>
      </w:r>
      <w:r w:rsidRPr="007267D6">
        <w:rPr>
          <w:rFonts w:ascii="Arial" w:hAnsi="Arial" w:cs="Arial"/>
          <w:sz w:val="22"/>
          <w:szCs w:val="22"/>
        </w:rPr>
        <w:tab/>
        <w:t>De prijzen in de catalogus, geladen in de GHX applicatie zijn leidend (Orderbedrag is in dat geval factuurbedrag). Voor de facturatie is het prijsniveau tijdens het moment van bestellen leidend (conform de in GHX geladen catalogus); dus niet het prijsniveau op het moment van levering.</w:t>
      </w:r>
    </w:p>
    <w:p w:rsidR="00C15BF0" w:rsidRPr="007267D6" w:rsidRDefault="00C15BF0" w:rsidP="00C15BF0">
      <w:pPr>
        <w:numPr>
          <w:ilvl w:val="1"/>
          <w:numId w:val="4"/>
        </w:numPr>
        <w:tabs>
          <w:tab w:val="clear" w:pos="360"/>
          <w:tab w:val="left" w:pos="720"/>
        </w:tabs>
        <w:ind w:left="705" w:hanging="705"/>
        <w:rPr>
          <w:rFonts w:ascii="Arial" w:hAnsi="Arial" w:cs="Arial"/>
          <w:sz w:val="22"/>
          <w:szCs w:val="22"/>
        </w:rPr>
      </w:pPr>
      <w:r w:rsidRPr="007267D6">
        <w:rPr>
          <w:rFonts w:ascii="Arial" w:hAnsi="Arial" w:cs="Arial"/>
          <w:sz w:val="22"/>
          <w:szCs w:val="22"/>
        </w:rPr>
        <w:t xml:space="preserve">Prijzen dienen UMC-netto exclusief BTW te worden vermeld. Het voor de producten geldende </w:t>
      </w:r>
      <w:proofErr w:type="spellStart"/>
      <w:r w:rsidRPr="007267D6">
        <w:rPr>
          <w:rFonts w:ascii="Arial" w:hAnsi="Arial" w:cs="Arial"/>
          <w:sz w:val="22"/>
          <w:szCs w:val="22"/>
        </w:rPr>
        <w:t>BTW-percentage</w:t>
      </w:r>
      <w:proofErr w:type="spellEnd"/>
      <w:r w:rsidRPr="007267D6">
        <w:rPr>
          <w:rFonts w:ascii="Arial" w:hAnsi="Arial" w:cs="Arial"/>
          <w:sz w:val="22"/>
          <w:szCs w:val="22"/>
        </w:rPr>
        <w:t xml:space="preserve"> dient apart te worden vermeld.</w:t>
      </w:r>
    </w:p>
    <w:p w:rsidR="00C15BF0" w:rsidRPr="007267D6" w:rsidRDefault="00C15BF0" w:rsidP="00C15BF0">
      <w:pPr>
        <w:numPr>
          <w:ilvl w:val="1"/>
          <w:numId w:val="4"/>
        </w:numPr>
        <w:tabs>
          <w:tab w:val="clear" w:pos="360"/>
          <w:tab w:val="left" w:pos="720"/>
        </w:tabs>
        <w:ind w:left="705" w:hanging="705"/>
        <w:rPr>
          <w:rFonts w:ascii="Arial" w:hAnsi="Arial" w:cs="Arial"/>
          <w:sz w:val="22"/>
          <w:szCs w:val="22"/>
        </w:rPr>
      </w:pPr>
      <w:r w:rsidRPr="007267D6">
        <w:rPr>
          <w:rFonts w:ascii="Arial" w:hAnsi="Arial" w:cs="Arial"/>
          <w:sz w:val="22"/>
          <w:szCs w:val="22"/>
        </w:rPr>
        <w:t xml:space="preserve">Slechts in uitzonderlijke gevallen mag er sprake zijn van prijs op aanvraag. Leverancier dient in dergelijke gevallen de tekst “prijs op aanvraag” te vermelden bij de omschrijving van het product. De prijs van het product dient op 0 gesteld te worden. Op basis van een door Leverancier gezonden orderbevestiging kan prijs in dit geval achteraf worden aangepast. </w:t>
      </w:r>
    </w:p>
    <w:p w:rsidR="00C15BF0" w:rsidRDefault="00C15BF0" w:rsidP="00C15BF0">
      <w:pPr>
        <w:numPr>
          <w:ilvl w:val="1"/>
          <w:numId w:val="4"/>
        </w:numPr>
        <w:tabs>
          <w:tab w:val="clear" w:pos="360"/>
          <w:tab w:val="left" w:pos="720"/>
        </w:tabs>
        <w:ind w:left="705" w:hanging="705"/>
        <w:rPr>
          <w:rFonts w:ascii="Arial" w:hAnsi="Arial" w:cs="Arial"/>
          <w:sz w:val="22"/>
          <w:szCs w:val="22"/>
        </w:rPr>
      </w:pPr>
      <w:r w:rsidRPr="007267D6">
        <w:rPr>
          <w:rFonts w:ascii="Arial" w:hAnsi="Arial" w:cs="Arial"/>
          <w:sz w:val="22"/>
          <w:szCs w:val="22"/>
        </w:rPr>
        <w:t>Indien gebruik wordt gemaakt van staffelprijzen, dient Leverancier de verschillende staffels in aparte artikelregels te vermelden.</w:t>
      </w:r>
    </w:p>
    <w:p w:rsidR="00403956" w:rsidRDefault="00403956" w:rsidP="00403956">
      <w:pPr>
        <w:numPr>
          <w:ilvl w:val="1"/>
          <w:numId w:val="4"/>
        </w:numPr>
        <w:tabs>
          <w:tab w:val="clear" w:pos="360"/>
          <w:tab w:val="left" w:pos="720"/>
        </w:tabs>
        <w:ind w:left="705" w:hanging="705"/>
        <w:rPr>
          <w:rFonts w:ascii="Arial" w:hAnsi="Arial" w:cs="Arial"/>
          <w:sz w:val="22"/>
          <w:szCs w:val="22"/>
        </w:rPr>
      </w:pPr>
      <w:r>
        <w:rPr>
          <w:rFonts w:ascii="Arial" w:hAnsi="Arial" w:cs="Arial"/>
          <w:sz w:val="22"/>
          <w:szCs w:val="22"/>
        </w:rPr>
        <w:t>De netto prijzen zijn inclusief transport kosten en administratiekosten en exclusief droog-ijskosten. Uitzonderingen hierop uitsluitend in overleg met de afdeling inkoop.</w:t>
      </w:r>
    </w:p>
    <w:p w:rsidR="00403956" w:rsidRPr="00403956" w:rsidRDefault="00403956" w:rsidP="00403956">
      <w:pPr>
        <w:numPr>
          <w:ilvl w:val="1"/>
          <w:numId w:val="4"/>
        </w:numPr>
        <w:tabs>
          <w:tab w:val="clear" w:pos="360"/>
          <w:tab w:val="left" w:pos="720"/>
        </w:tabs>
        <w:ind w:left="705" w:hanging="705"/>
        <w:rPr>
          <w:rFonts w:ascii="Arial" w:hAnsi="Arial" w:cs="Arial"/>
          <w:sz w:val="22"/>
          <w:szCs w:val="22"/>
        </w:rPr>
      </w:pPr>
      <w:r>
        <w:rPr>
          <w:rFonts w:ascii="Arial" w:hAnsi="Arial" w:cs="Arial"/>
          <w:sz w:val="22"/>
          <w:szCs w:val="22"/>
        </w:rPr>
        <w:t>Het tarief voor eventueel droogijs of overige bijzondere aanlever- kosten uitsluitend in overleg met de afdeling inkoop.</w:t>
      </w:r>
    </w:p>
    <w:p w:rsidR="00C15BF0" w:rsidRPr="007267D6" w:rsidRDefault="00C15BF0" w:rsidP="00C15BF0">
      <w:pPr>
        <w:numPr>
          <w:ilvl w:val="1"/>
          <w:numId w:val="4"/>
        </w:numPr>
        <w:tabs>
          <w:tab w:val="clear" w:pos="360"/>
          <w:tab w:val="left" w:pos="720"/>
        </w:tabs>
        <w:ind w:left="705" w:hanging="705"/>
        <w:rPr>
          <w:rFonts w:ascii="Arial" w:hAnsi="Arial" w:cs="Arial"/>
          <w:sz w:val="22"/>
          <w:szCs w:val="22"/>
        </w:rPr>
      </w:pPr>
      <w:r w:rsidRPr="007267D6">
        <w:rPr>
          <w:rFonts w:ascii="Arial" w:hAnsi="Arial" w:cs="Arial"/>
          <w:sz w:val="22"/>
          <w:szCs w:val="22"/>
        </w:rPr>
        <w:t xml:space="preserve">Prijsaanpassingen in de GHX catalogi kunnen alleen worden toegepast na voorafgaand overleg met het Cluster Inkoop van UMC. </w:t>
      </w:r>
    </w:p>
    <w:p w:rsidR="00C15BF0" w:rsidRPr="007267D6" w:rsidRDefault="00C15BF0" w:rsidP="00C15BF0">
      <w:pPr>
        <w:rPr>
          <w:rFonts w:ascii="Arial" w:hAnsi="Arial" w:cs="Arial"/>
          <w:sz w:val="22"/>
          <w:szCs w:val="22"/>
        </w:rPr>
      </w:pPr>
    </w:p>
    <w:p w:rsidR="00DC3871" w:rsidRDefault="00DC3871" w:rsidP="00686004">
      <w:pPr>
        <w:spacing w:after="200" w:line="276" w:lineRule="auto"/>
        <w:rPr>
          <w:rFonts w:ascii="Arial" w:hAnsi="Arial" w:cs="Arial"/>
          <w:color w:val="FF0000"/>
          <w:sz w:val="22"/>
          <w:szCs w:val="22"/>
        </w:rPr>
      </w:pPr>
    </w:p>
    <w:sectPr w:rsidR="00DC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 Offc">
    <w:altName w:val="Meta Off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10B8B"/>
    <w:multiLevelType w:val="multilevel"/>
    <w:tmpl w:val="DEF0549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5A5B2218"/>
    <w:multiLevelType w:val="hybridMultilevel"/>
    <w:tmpl w:val="2AD8E818"/>
    <w:lvl w:ilvl="0" w:tplc="A6A0EF04">
      <w:start w:val="1"/>
      <w:numFmt w:val="decimal"/>
      <w:lvlText w:val="%1."/>
      <w:lvlJc w:val="left"/>
      <w:pPr>
        <w:tabs>
          <w:tab w:val="num" w:pos="1065"/>
        </w:tabs>
        <w:ind w:left="1065" w:hanging="705"/>
      </w:pPr>
    </w:lvl>
    <w:lvl w:ilvl="1" w:tplc="2D0EBF6A">
      <w:numFmt w:val="none"/>
      <w:lvlText w:val=""/>
      <w:lvlJc w:val="left"/>
      <w:pPr>
        <w:tabs>
          <w:tab w:val="num" w:pos="360"/>
        </w:tabs>
        <w:ind w:left="0" w:firstLine="0"/>
      </w:pPr>
    </w:lvl>
    <w:lvl w:ilvl="2" w:tplc="DD1ADA58">
      <w:numFmt w:val="none"/>
      <w:lvlText w:val=""/>
      <w:lvlJc w:val="left"/>
      <w:pPr>
        <w:tabs>
          <w:tab w:val="num" w:pos="360"/>
        </w:tabs>
        <w:ind w:left="0" w:firstLine="0"/>
      </w:pPr>
    </w:lvl>
    <w:lvl w:ilvl="3" w:tplc="02E21378">
      <w:numFmt w:val="none"/>
      <w:lvlText w:val=""/>
      <w:lvlJc w:val="left"/>
      <w:pPr>
        <w:tabs>
          <w:tab w:val="num" w:pos="360"/>
        </w:tabs>
        <w:ind w:left="0" w:firstLine="0"/>
      </w:pPr>
    </w:lvl>
    <w:lvl w:ilvl="4" w:tplc="652EEFB2">
      <w:numFmt w:val="none"/>
      <w:lvlText w:val=""/>
      <w:lvlJc w:val="left"/>
      <w:pPr>
        <w:tabs>
          <w:tab w:val="num" w:pos="360"/>
        </w:tabs>
        <w:ind w:left="0" w:firstLine="0"/>
      </w:pPr>
    </w:lvl>
    <w:lvl w:ilvl="5" w:tplc="143C8F32">
      <w:numFmt w:val="none"/>
      <w:lvlText w:val=""/>
      <w:lvlJc w:val="left"/>
      <w:pPr>
        <w:tabs>
          <w:tab w:val="num" w:pos="360"/>
        </w:tabs>
        <w:ind w:left="0" w:firstLine="0"/>
      </w:pPr>
    </w:lvl>
    <w:lvl w:ilvl="6" w:tplc="F71E01A4">
      <w:numFmt w:val="none"/>
      <w:lvlText w:val=""/>
      <w:lvlJc w:val="left"/>
      <w:pPr>
        <w:tabs>
          <w:tab w:val="num" w:pos="360"/>
        </w:tabs>
        <w:ind w:left="0" w:firstLine="0"/>
      </w:pPr>
    </w:lvl>
    <w:lvl w:ilvl="7" w:tplc="51E884FE">
      <w:numFmt w:val="none"/>
      <w:lvlText w:val=""/>
      <w:lvlJc w:val="left"/>
      <w:pPr>
        <w:tabs>
          <w:tab w:val="num" w:pos="360"/>
        </w:tabs>
        <w:ind w:left="0" w:firstLine="0"/>
      </w:pPr>
    </w:lvl>
    <w:lvl w:ilvl="8" w:tplc="9B64C0F4">
      <w:numFmt w:val="none"/>
      <w:lvlText w:val=""/>
      <w:lvlJc w:val="left"/>
      <w:pPr>
        <w:tabs>
          <w:tab w:val="num" w:pos="360"/>
        </w:tabs>
        <w:ind w:left="0" w:firstLine="0"/>
      </w:pPr>
    </w:lvl>
  </w:abstractNum>
  <w:abstractNum w:abstractNumId="2" w15:restartNumberingAfterBreak="0">
    <w:nsid w:val="66E8202A"/>
    <w:multiLevelType w:val="multilevel"/>
    <w:tmpl w:val="4A72519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DBF06B4"/>
    <w:multiLevelType w:val="hybridMultilevel"/>
    <w:tmpl w:val="1EC00ECE"/>
    <w:lvl w:ilvl="0" w:tplc="C3B2FC3C">
      <w:start w:val="1"/>
      <w:numFmt w:val="bullet"/>
      <w:lvlText w:val="-"/>
      <w:lvlJc w:val="left"/>
      <w:pPr>
        <w:tabs>
          <w:tab w:val="num" w:pos="1425"/>
        </w:tabs>
        <w:ind w:left="1425" w:hanging="360"/>
      </w:pPr>
      <w:rPr>
        <w:rFonts w:ascii="Arial" w:eastAsia="Times New Roman" w:hAnsi="Arial" w:cs="Arial" w:hint="default"/>
      </w:rPr>
    </w:lvl>
    <w:lvl w:ilvl="1" w:tplc="04130003">
      <w:start w:val="1"/>
      <w:numFmt w:val="bullet"/>
      <w:lvlText w:val="o"/>
      <w:lvlJc w:val="left"/>
      <w:pPr>
        <w:tabs>
          <w:tab w:val="num" w:pos="2145"/>
        </w:tabs>
        <w:ind w:left="2145" w:hanging="360"/>
      </w:pPr>
      <w:rPr>
        <w:rFonts w:ascii="Courier New" w:hAnsi="Courier New" w:cs="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cs="Courier New"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cs="Courier New" w:hint="default"/>
      </w:rPr>
    </w:lvl>
    <w:lvl w:ilvl="8" w:tplc="0413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76D653E2"/>
    <w:multiLevelType w:val="hybridMultilevel"/>
    <w:tmpl w:val="20EAFF60"/>
    <w:lvl w:ilvl="0" w:tplc="3F32B69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F0"/>
    <w:rsid w:val="001C3138"/>
    <w:rsid w:val="001F0CAC"/>
    <w:rsid w:val="001F2846"/>
    <w:rsid w:val="00252E32"/>
    <w:rsid w:val="00363F33"/>
    <w:rsid w:val="00365CD8"/>
    <w:rsid w:val="003851AB"/>
    <w:rsid w:val="003C510E"/>
    <w:rsid w:val="003D6A0D"/>
    <w:rsid w:val="00403956"/>
    <w:rsid w:val="0053004B"/>
    <w:rsid w:val="00686004"/>
    <w:rsid w:val="007267D6"/>
    <w:rsid w:val="007A5C97"/>
    <w:rsid w:val="008E3810"/>
    <w:rsid w:val="009B3A2F"/>
    <w:rsid w:val="00AD151C"/>
    <w:rsid w:val="00BE5147"/>
    <w:rsid w:val="00C15BF0"/>
    <w:rsid w:val="00DC3871"/>
    <w:rsid w:val="00F3513C"/>
    <w:rsid w:val="00F8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9930B-9D22-41A4-B270-3DB70D9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5BF0"/>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uiPriority w:val="9"/>
    <w:semiHidden/>
    <w:unhideWhenUsed/>
    <w:qFormat/>
    <w:rsid w:val="00C15BF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ovkChar">
    <w:name w:val="kop 2 ovk Char"/>
    <w:link w:val="kop2ovk"/>
    <w:locked/>
    <w:rsid w:val="00C15BF0"/>
    <w:rPr>
      <w:rFonts w:ascii="Arial" w:eastAsia="Times New Roman" w:hAnsi="Arial" w:cs="Arial"/>
      <w:b/>
      <w:lang w:eastAsia="nl-NL"/>
    </w:rPr>
  </w:style>
  <w:style w:type="paragraph" w:customStyle="1" w:styleId="kop2ovk">
    <w:name w:val="kop 2 ovk"/>
    <w:basedOn w:val="Kop3"/>
    <w:next w:val="Standaard"/>
    <w:link w:val="kop2ovkChar"/>
    <w:rsid w:val="00C15BF0"/>
    <w:pPr>
      <w:keepLines w:val="0"/>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line="360" w:lineRule="auto"/>
      <w:ind w:right="-567"/>
    </w:pPr>
    <w:rPr>
      <w:rFonts w:ascii="Arial" w:eastAsia="Times New Roman" w:hAnsi="Arial" w:cs="Arial"/>
      <w:bCs w:val="0"/>
      <w:color w:val="auto"/>
      <w:sz w:val="22"/>
      <w:szCs w:val="22"/>
      <w:lang w:val="en-US"/>
    </w:rPr>
  </w:style>
  <w:style w:type="character" w:customStyle="1" w:styleId="Kop3Char">
    <w:name w:val="Kop 3 Char"/>
    <w:basedOn w:val="Standaardalinea-lettertype"/>
    <w:link w:val="Kop3"/>
    <w:uiPriority w:val="9"/>
    <w:semiHidden/>
    <w:rsid w:val="00C15BF0"/>
    <w:rPr>
      <w:rFonts w:asciiTheme="majorHAnsi" w:eastAsiaTheme="majorEastAsia" w:hAnsiTheme="majorHAnsi" w:cstheme="majorBidi"/>
      <w:b/>
      <w:bCs/>
      <w:color w:val="4F81BD" w:themeColor="accent1"/>
      <w:sz w:val="24"/>
      <w:szCs w:val="24"/>
      <w:lang w:val="nl-NL" w:eastAsia="nl-NL"/>
    </w:rPr>
  </w:style>
  <w:style w:type="character" w:styleId="Hyperlink">
    <w:name w:val="Hyperlink"/>
    <w:uiPriority w:val="99"/>
    <w:rsid w:val="007267D6"/>
    <w:rPr>
      <w:color w:val="0000FF"/>
      <w:u w:val="single"/>
    </w:rPr>
  </w:style>
  <w:style w:type="paragraph" w:styleId="Lijstalinea">
    <w:name w:val="List Paragraph"/>
    <w:basedOn w:val="Standaard"/>
    <w:uiPriority w:val="34"/>
    <w:qFormat/>
    <w:rsid w:val="003D6A0D"/>
    <w:pPr>
      <w:ind w:left="720"/>
      <w:contextualSpacing/>
    </w:pPr>
  </w:style>
  <w:style w:type="paragraph" w:customStyle="1" w:styleId="Default">
    <w:name w:val="Default"/>
    <w:rsid w:val="001F0CAC"/>
    <w:pPr>
      <w:autoSpaceDE w:val="0"/>
      <w:autoSpaceDN w:val="0"/>
      <w:adjustRightInd w:val="0"/>
      <w:spacing w:after="0" w:line="240" w:lineRule="auto"/>
    </w:pPr>
    <w:rPr>
      <w:rFonts w:ascii="Meta Offc" w:hAnsi="Meta Offc" w:cs="Meta Offc"/>
      <w:color w:val="000000"/>
      <w:sz w:val="24"/>
      <w:szCs w:val="24"/>
      <w:lang w:val="nl-NL"/>
    </w:rPr>
  </w:style>
  <w:style w:type="character" w:styleId="GevolgdeHyperlink">
    <w:name w:val="FollowedHyperlink"/>
    <w:basedOn w:val="Standaardalinea-lettertype"/>
    <w:uiPriority w:val="99"/>
    <w:semiHidden/>
    <w:unhideWhenUsed/>
    <w:rsid w:val="001F0CAC"/>
    <w:rPr>
      <w:color w:val="800080" w:themeColor="followedHyperlink"/>
      <w:u w:val="single"/>
    </w:rPr>
  </w:style>
  <w:style w:type="paragraph" w:styleId="Plattetekst">
    <w:name w:val="Body Text"/>
    <w:basedOn w:val="Standaard"/>
    <w:link w:val="PlattetekstChar"/>
    <w:uiPriority w:val="1"/>
    <w:qFormat/>
    <w:rsid w:val="00252E32"/>
    <w:pPr>
      <w:widowControl w:val="0"/>
      <w:autoSpaceDE w:val="0"/>
      <w:autoSpaceDN w:val="0"/>
    </w:pPr>
    <w:rPr>
      <w:rFonts w:ascii="Segoe UI" w:eastAsia="Segoe UI" w:hAnsi="Segoe UI" w:cs="Segoe UI"/>
      <w:sz w:val="20"/>
      <w:szCs w:val="20"/>
      <w:lang w:eastAsia="en-US"/>
    </w:rPr>
  </w:style>
  <w:style w:type="character" w:customStyle="1" w:styleId="PlattetekstChar">
    <w:name w:val="Platte tekst Char"/>
    <w:basedOn w:val="Standaardalinea-lettertype"/>
    <w:link w:val="Plattetekst"/>
    <w:uiPriority w:val="1"/>
    <w:rsid w:val="00252E32"/>
    <w:rPr>
      <w:rFonts w:eastAsia="Segoe UI" w:cs="Segoe UI"/>
      <w:sz w:val="20"/>
      <w:szCs w:val="20"/>
      <w:lang w:val="nl-NL"/>
    </w:rPr>
  </w:style>
  <w:style w:type="paragraph" w:styleId="Ballontekst">
    <w:name w:val="Balloon Text"/>
    <w:basedOn w:val="Standaard"/>
    <w:link w:val="BallontekstChar"/>
    <w:uiPriority w:val="99"/>
    <w:semiHidden/>
    <w:unhideWhenUsed/>
    <w:rsid w:val="00F351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13C"/>
    <w:rPr>
      <w:rFonts w:eastAsia="Times New Roman"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hx.com/europe/en/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S.R.</dc:creator>
  <cp:lastModifiedBy>Okhuizen, A.E. (Askalu)</cp:lastModifiedBy>
  <cp:revision>2</cp:revision>
  <dcterms:created xsi:type="dcterms:W3CDTF">2021-06-04T10:26:00Z</dcterms:created>
  <dcterms:modified xsi:type="dcterms:W3CDTF">2021-06-04T10:26:00Z</dcterms:modified>
</cp:coreProperties>
</file>